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735E" w:rsidRPr="00D70EA9" w:rsidRDefault="00000000">
      <w:pPr>
        <w:spacing w:after="280"/>
        <w:jc w:val="center"/>
        <w:rPr>
          <w:rFonts w:ascii="Helvetica Neue" w:hAnsi="Helvetica Neue"/>
        </w:rPr>
      </w:pPr>
      <w:r w:rsidRPr="00D70EA9">
        <w:rPr>
          <w:rFonts w:ascii="Helvetica Neue" w:hAnsi="Helvetica Neue"/>
          <w:b/>
          <w:sz w:val="28"/>
        </w:rPr>
        <w:t>Clarity Without Convergence: Commercial SATCOM and the Information Contest over Participation in the Russia–Ukraine War</w:t>
      </w:r>
    </w:p>
    <w:p w:rsidR="00AA4221" w:rsidRPr="00D70EA9" w:rsidRDefault="00773251" w:rsidP="00AA4221">
      <w:pPr>
        <w:spacing w:after="60"/>
        <w:jc w:val="center"/>
        <w:rPr>
          <w:rFonts w:ascii="Helvetica Neue" w:hAnsi="Helvetica Neue"/>
        </w:rPr>
      </w:pPr>
      <w:r w:rsidRPr="00D70EA9">
        <w:rPr>
          <w:rFonts w:ascii="Helvetica Neue" w:hAnsi="Helvetica Neue"/>
        </w:rPr>
        <w:t xml:space="preserve">Santiago </w:t>
      </w:r>
      <w:proofErr w:type="spellStart"/>
      <w:r w:rsidRPr="00D70EA9">
        <w:rPr>
          <w:rFonts w:ascii="Helvetica Neue" w:hAnsi="Helvetica Neue"/>
        </w:rPr>
        <w:t>Verace</w:t>
      </w:r>
      <w:proofErr w:type="spellEnd"/>
      <w:r w:rsidRPr="00D70EA9">
        <w:rPr>
          <w:rFonts w:ascii="Helvetica Neue" w:hAnsi="Helvetica Neue"/>
        </w:rPr>
        <w:t xml:space="preserve"> - z5223432</w:t>
      </w:r>
    </w:p>
    <w:p w:rsidR="00AA4221" w:rsidRPr="00D70EA9" w:rsidRDefault="00773251" w:rsidP="00AA4221">
      <w:pPr>
        <w:spacing w:after="60"/>
        <w:jc w:val="center"/>
        <w:rPr>
          <w:rFonts w:ascii="Helvetica Neue" w:hAnsi="Helvetica Neue"/>
        </w:rPr>
      </w:pPr>
      <w:r w:rsidRPr="00D70EA9">
        <w:rPr>
          <w:rFonts w:ascii="Helvetica Neue" w:hAnsi="Helvetica Neue"/>
        </w:rPr>
        <w:t>s.verace@student.unsw.edu.au</w:t>
      </w:r>
    </w:p>
    <w:p w:rsidR="00AA4221" w:rsidRPr="00D70EA9" w:rsidRDefault="00773251" w:rsidP="00AA4221">
      <w:pPr>
        <w:spacing w:after="60"/>
        <w:jc w:val="center"/>
        <w:rPr>
          <w:rFonts w:ascii="Helvetica Neue" w:hAnsi="Helvetica Neue"/>
        </w:rPr>
      </w:pPr>
      <w:r w:rsidRPr="00D70EA9">
        <w:rPr>
          <w:rFonts w:ascii="Helvetica Neue" w:hAnsi="Helvetica Neue"/>
        </w:rPr>
        <w:t>ADFA / University of New South Wales – ZEIT8115 S2_2026</w:t>
      </w:r>
    </w:p>
    <w:p w:rsidR="00C8735E" w:rsidRPr="00D70EA9" w:rsidRDefault="001A1716">
      <w:pPr>
        <w:spacing w:after="60"/>
        <w:jc w:val="center"/>
        <w:rPr>
          <w:rFonts w:ascii="Helvetica Neue" w:hAnsi="Helvetica Neue"/>
        </w:rPr>
      </w:pPr>
      <w:r w:rsidRPr="00D70EA9">
        <w:rPr>
          <w:rFonts w:ascii="Helvetica Neue" w:hAnsi="Helvetica Neue"/>
          <w:sz w:val="22"/>
        </w:rPr>
        <w:t>1</w:t>
      </w:r>
      <w:r w:rsidR="002C7EFD" w:rsidRPr="00D70EA9">
        <w:rPr>
          <w:rFonts w:ascii="Helvetica Neue" w:hAnsi="Helvetica Neue"/>
          <w:sz w:val="22"/>
        </w:rPr>
        <w:t>6</w:t>
      </w:r>
      <w:r w:rsidRPr="00D70EA9">
        <w:rPr>
          <w:rFonts w:ascii="Helvetica Neue" w:hAnsi="Helvetica Neue"/>
          <w:sz w:val="22"/>
        </w:rPr>
        <w:t xml:space="preserve"> October 2026</w:t>
      </w:r>
    </w:p>
    <w:p w:rsidR="00C8735E" w:rsidRPr="00D70EA9" w:rsidRDefault="00000000">
      <w:pPr>
        <w:spacing w:after="60"/>
        <w:jc w:val="center"/>
        <w:rPr>
          <w:rFonts w:ascii="Helvetica Neue" w:hAnsi="Helvetica Neue"/>
        </w:rPr>
      </w:pPr>
      <w:r w:rsidRPr="00D70EA9">
        <w:rPr>
          <w:rFonts w:ascii="Helvetica Neue" w:hAnsi="Helvetica Neue"/>
        </w:rPr>
        <w:t>Word count (body, excluding abstract, footnotes and bibliography): 3</w:t>
      </w:r>
      <w:r w:rsidR="001E5643">
        <w:rPr>
          <w:rFonts w:ascii="Helvetica Neue" w:hAnsi="Helvetica Neue"/>
        </w:rPr>
        <w:t>786</w:t>
      </w:r>
    </w:p>
    <w:p w:rsidR="00C8735E" w:rsidRPr="00D70EA9" w:rsidRDefault="00C8735E">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t>Abstract</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 xml:space="preserve">Commercial SATCOM created two different problems in Ukraine, and they were often discussed as though they were one. KA-SAT raised a technical and legal problem about what part of a commercial system was actually being used, affected or potentially targetable. </w:t>
      </w:r>
      <w:proofErr w:type="spellStart"/>
      <w:r w:rsidRPr="00D70EA9">
        <w:rPr>
          <w:rFonts w:ascii="Helvetica Neue" w:hAnsi="Helvetica Neue"/>
        </w:rPr>
        <w:t>Starlink</w:t>
      </w:r>
      <w:proofErr w:type="spellEnd"/>
      <w:r w:rsidRPr="00D70EA9">
        <w:rPr>
          <w:rFonts w:ascii="Helvetica Neue" w:hAnsi="Helvetica Neue"/>
        </w:rPr>
        <w:t xml:space="preserve"> raised another problem because Ukrainian forces could depend on a service whose coverage and permitted uses remained under private control. Public statements did not settle either issue. Russia called Western military use of commercial space infrastructure “indirect participation in military conflicts”, while SpaceX later described a boundary of its own between military communications and offensive use. Those were not competing answers to the same question.</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What changed over time was how much of the disagreement could be seen. Article 52 still required an object-specific assessment, regardless of the broader labels being used around commercial participation. Wiener helps with one part of the problem because participation could acquire meaning through practice without acquiring one settled meaning. Fearon points to another limit: some information and incentives remain private even when actors state their positions publicly. The case therefore does not show transparency producing convergence. It shows a disagreement becoming easier to identify.</w:t>
      </w:r>
    </w:p>
    <w:p w:rsidR="00C8735E" w:rsidRPr="00D70EA9" w:rsidRDefault="00C8735E" w:rsidP="005B20B1">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lastRenderedPageBreak/>
        <w:t>Introduction</w:t>
      </w:r>
    </w:p>
    <w:p w:rsidR="00C8735E" w:rsidRPr="00D70EA9" w:rsidRDefault="00AF7CF7">
      <w:pPr>
        <w:rPr>
          <w:rFonts w:ascii="Helvetica Neue" w:hAnsi="Helvetica Neue"/>
        </w:rPr>
      </w:pPr>
      <w:r w:rsidRPr="00D70EA9">
        <w:rPr>
          <w:rFonts w:ascii="Helvetica Neue" w:hAnsi="Helvetica Neue"/>
        </w:rPr>
        <w:t xml:space="preserve">Commercial SATCOM was already part of the war in its first weeks. On 24 February 2022, a cyber operation disrupted </w:t>
      </w:r>
      <w:proofErr w:type="spellStart"/>
      <w:r w:rsidRPr="00D70EA9">
        <w:rPr>
          <w:rFonts w:ascii="Helvetica Neue" w:hAnsi="Helvetica Neue"/>
        </w:rPr>
        <w:t>Viasat’s</w:t>
      </w:r>
      <w:proofErr w:type="spellEnd"/>
      <w:r w:rsidRPr="00D70EA9">
        <w:rPr>
          <w:rFonts w:ascii="Helvetica Neue" w:hAnsi="Helvetica Neue"/>
        </w:rPr>
        <w:t xml:space="preserve"> KA-SAT network. The United Kingdom later attributed the operation to Russia and assessed that the Ukrainian military was believed to have been the primary target.</w:t>
      </w:r>
      <w:r w:rsidRPr="00D70EA9">
        <w:rPr>
          <w:rFonts w:ascii="Helvetica Neue" w:hAnsi="Helvetica Neue"/>
          <w:sz w:val="16"/>
          <w:szCs w:val="16"/>
        </w:rPr>
        <w:footnoteReference w:id="1"/>
      </w:r>
      <w:r w:rsidRPr="00D70EA9">
        <w:rPr>
          <w:rFonts w:ascii="Helvetica Neue" w:hAnsi="Helvetica Neue"/>
        </w:rPr>
        <w:t xml:space="preserve"> The United States described the same event in more operational terms, saying the attack was intended to disrupt Ukrainian command and control.</w:t>
      </w:r>
      <w:r w:rsidRPr="00D70EA9">
        <w:rPr>
          <w:rFonts w:ascii="Helvetica Neue" w:hAnsi="Helvetica Neue"/>
          <w:sz w:val="16"/>
          <w:szCs w:val="16"/>
        </w:rPr>
        <w:footnoteReference w:id="2"/>
      </w:r>
      <w:r w:rsidRPr="00D70EA9">
        <w:rPr>
          <w:rFonts w:ascii="Helvetica Neue" w:hAnsi="Helvetica Neue"/>
        </w:rPr>
        <w:t xml:space="preserve"> By October, however, the argument had moved beyond who carried out the attack. </w:t>
      </w:r>
      <w:proofErr w:type="spellStart"/>
      <w:r w:rsidRPr="00D70EA9">
        <w:rPr>
          <w:rFonts w:ascii="Helvetica Neue" w:hAnsi="Helvetica Neue"/>
        </w:rPr>
        <w:t>Vorontsov</w:t>
      </w:r>
      <w:proofErr w:type="spellEnd"/>
      <w:r w:rsidRPr="00D70EA9">
        <w:rPr>
          <w:rFonts w:ascii="Helvetica Neue" w:hAnsi="Helvetica Neue"/>
        </w:rPr>
        <w:t xml:space="preserve"> used the UN First Committee to describe Western military use of civilian and commercial space infrastructure as “indirect participation in military conflicts” and warned that “Quasi-civilian infrastructure may become a legitimate target for retaliation.”</w:t>
      </w:r>
      <w:r w:rsidRPr="00D70EA9">
        <w:rPr>
          <w:rFonts w:ascii="Helvetica Neue" w:hAnsi="Helvetica Neue"/>
          <w:sz w:val="16"/>
          <w:szCs w:val="16"/>
        </w:rPr>
        <w:footnoteReference w:id="3"/>
      </w:r>
      <w:r w:rsidRPr="00D70EA9">
        <w:rPr>
          <w:rFonts w:ascii="Helvetica Neue" w:hAnsi="Helvetica Neue"/>
        </w:rPr>
        <w:t xml:space="preserve"> SpaceX put a different boundary into the public record in February 2023. Shotwell said military communications over </w:t>
      </w:r>
      <w:proofErr w:type="spellStart"/>
      <w:r w:rsidRPr="00D70EA9">
        <w:rPr>
          <w:rFonts w:ascii="Helvetica Neue" w:hAnsi="Helvetica Neue"/>
        </w:rPr>
        <w:t>Starlink</w:t>
      </w:r>
      <w:proofErr w:type="spellEnd"/>
      <w:r w:rsidRPr="00D70EA9">
        <w:rPr>
          <w:rFonts w:ascii="Helvetica Neue" w:hAnsi="Helvetica Neue"/>
        </w:rPr>
        <w:t xml:space="preserve"> were acceptable, offensive use was not, and the company had taken measures to limit that use.</w:t>
      </w:r>
      <w:r w:rsidRPr="00D70EA9">
        <w:rPr>
          <w:rFonts w:ascii="Helvetica Neue" w:hAnsi="Helvetica Neue"/>
          <w:sz w:val="16"/>
          <w:szCs w:val="16"/>
        </w:rPr>
        <w:footnoteReference w:id="4"/>
      </w:r>
    </w:p>
    <w:p w:rsidR="00E1429E" w:rsidRPr="00D70EA9" w:rsidRDefault="00000000" w:rsidP="00E1429E">
      <w:pPr>
        <w:rPr>
          <w:rFonts w:ascii="Helvetica Neue" w:hAnsi="Helvetica Neue"/>
        </w:rPr>
      </w:pPr>
      <w:r w:rsidRPr="00D70EA9">
        <w:rPr>
          <w:rFonts w:ascii="Helvetica Neue" w:hAnsi="Helvetica Neue"/>
        </w:rPr>
        <w:t>Authority over the service never sat neatly with the actor using it. A military could depend on the network without owning it, and SpaceX could still decide where coverage existed or which uses fell outside its agreement. States, meanwhile, could attach consequences to the same relationship that neither provider nor user accepted. The question examined here is: How did competing public articulations by states and commercial providers shape the information contest over commercial SATCOM in the Russia–Ukraine war, and what does this reveal about the capacity of transparency to reduce interpretive ambiguity?</w:t>
      </w:r>
    </w:p>
    <w:p w:rsidR="00E1429E" w:rsidRPr="00D70EA9" w:rsidRDefault="00AF7CF7" w:rsidP="00E1429E">
      <w:pPr>
        <w:rPr>
          <w:rFonts w:ascii="Helvetica Neue" w:hAnsi="Helvetica Neue"/>
        </w:rPr>
      </w:pPr>
      <w:proofErr w:type="spellStart"/>
      <w:r w:rsidRPr="00D70EA9">
        <w:rPr>
          <w:rFonts w:ascii="Helvetica Neue" w:hAnsi="Helvetica Neue"/>
        </w:rPr>
        <w:t>Starlink</w:t>
      </w:r>
      <w:proofErr w:type="spellEnd"/>
      <w:r w:rsidRPr="00D70EA9">
        <w:rPr>
          <w:rFonts w:ascii="Helvetica Neue" w:hAnsi="Helvetica Neue"/>
        </w:rPr>
        <w:t xml:space="preserve"> makes the disagreement visible before the literature is brought in. SpaceX could decide that some military uses of the service were acceptable and others were not. Russia could look at the same military reliance on commercial </w:t>
      </w:r>
      <w:r w:rsidRPr="00D70EA9">
        <w:rPr>
          <w:rFonts w:ascii="Helvetica Neue" w:hAnsi="Helvetica Neue"/>
        </w:rPr>
        <w:lastRenderedPageBreak/>
        <w:t>infrastructure and describe it as participation. Both positions could be made public without answering the question in the same way.</w:t>
      </w:r>
    </w:p>
    <w:p w:rsidR="00C8735E" w:rsidRPr="00796822" w:rsidRDefault="00796822" w:rsidP="00E1429E">
      <w:pPr>
        <w:rPr>
          <w:rFonts w:ascii="Helvetica Neue" w:hAnsi="Helvetica Neue"/>
        </w:rPr>
      </w:pPr>
      <w:r w:rsidRPr="00796822">
        <w:rPr>
          <w:rFonts w:ascii="Helvetica Neue" w:hAnsi="Helvetica Neue"/>
        </w:rPr>
        <w:t xml:space="preserve">Present military use can be easier to identify than future military purpose. </w:t>
      </w:r>
      <w:proofErr w:type="spellStart"/>
      <w:r w:rsidRPr="00796822">
        <w:rPr>
          <w:rFonts w:ascii="Helvetica Neue" w:hAnsi="Helvetica Neue"/>
        </w:rPr>
        <w:t>Kuplic</w:t>
      </w:r>
      <w:proofErr w:type="spellEnd"/>
      <w:r w:rsidRPr="00796822">
        <w:rPr>
          <w:rFonts w:ascii="Helvetica Neue" w:hAnsi="Helvetica Neue"/>
        </w:rPr>
        <w:t xml:space="preserve"> and Sawmiller make that distinction through </w:t>
      </w:r>
      <w:proofErr w:type="spellStart"/>
      <w:r w:rsidRPr="00796822">
        <w:rPr>
          <w:rFonts w:ascii="Helvetica Neue" w:hAnsi="Helvetica Neue"/>
        </w:rPr>
        <w:t>Viasat</w:t>
      </w:r>
      <w:proofErr w:type="spellEnd"/>
      <w:r w:rsidRPr="00796822">
        <w:rPr>
          <w:rFonts w:ascii="Helvetica Neue" w:hAnsi="Helvetica Neue"/>
        </w:rPr>
        <w:t>, where the question turns on what a commercial object is doing at the time rather than what it might later be used for.</w:t>
      </w:r>
      <w:r w:rsidR="00AF7CF7" w:rsidRPr="00796822">
        <w:rPr>
          <w:rFonts w:ascii="Helvetica Neue" w:hAnsi="Helvetica Neue"/>
          <w:sz w:val="16"/>
          <w:szCs w:val="16"/>
        </w:rPr>
        <w:footnoteReference w:id="5"/>
      </w:r>
      <w:r w:rsidR="00AF7CF7" w:rsidRPr="00796822">
        <w:rPr>
          <w:rFonts w:ascii="Helvetica Neue" w:hAnsi="Helvetica Neue"/>
        </w:rPr>
        <w:t xml:space="preserve"> </w:t>
      </w:r>
      <w:r w:rsidRPr="00796822">
        <w:rPr>
          <w:rFonts w:ascii="Helvetica Neue" w:hAnsi="Helvetica Neue"/>
        </w:rPr>
        <w:t>Published guidance, state practice and dialogue can give other states something more concrete than inference alone without requiring every operational threshold to be public. Common understandings still depend on acceptance, implementation and trust.</w:t>
      </w:r>
      <w:r w:rsidR="00AF7CF7" w:rsidRPr="00796822">
        <w:rPr>
          <w:rFonts w:ascii="Helvetica Neue" w:hAnsi="Helvetica Neue"/>
          <w:sz w:val="16"/>
          <w:szCs w:val="16"/>
        </w:rPr>
        <w:footnoteReference w:id="6"/>
      </w:r>
    </w:p>
    <w:p w:rsidR="00C8735E" w:rsidRPr="00796822" w:rsidRDefault="00796822" w:rsidP="00F40772">
      <w:pPr>
        <w:rPr>
          <w:rFonts w:ascii="Helvetica Neue" w:hAnsi="Helvetica Neue"/>
        </w:rPr>
      </w:pPr>
      <w:proofErr w:type="spellStart"/>
      <w:r w:rsidRPr="00796822">
        <w:rPr>
          <w:rFonts w:ascii="Helvetica Neue" w:hAnsi="Helvetica Neue"/>
        </w:rPr>
        <w:t>Starlink</w:t>
      </w:r>
      <w:proofErr w:type="spellEnd"/>
      <w:r w:rsidRPr="00796822">
        <w:rPr>
          <w:rFonts w:ascii="Helvetica Neue" w:hAnsi="Helvetica Neue"/>
        </w:rPr>
        <w:t xml:space="preserve"> left those conditions unresolved. SpaceX said military communications were acceptable. Russia described military reliance on commercial infrastructure as participation. Neither statement supplied a boundary that the other accepted.</w:t>
      </w:r>
    </w:p>
    <w:p w:rsidR="00C8735E" w:rsidRPr="00D70EA9" w:rsidRDefault="00000000">
      <w:pPr>
        <w:pStyle w:val="Heading1"/>
        <w:rPr>
          <w:rFonts w:ascii="Helvetica Neue" w:hAnsi="Helvetica Neue"/>
        </w:rPr>
      </w:pPr>
      <w:r w:rsidRPr="00D70EA9">
        <w:rPr>
          <w:rFonts w:ascii="Helvetica Neue" w:hAnsi="Helvetica Neue"/>
        </w:rPr>
        <w:t>Commercial SATCOM in the Information Environment</w:t>
      </w:r>
    </w:p>
    <w:p w:rsidR="00D35557" w:rsidRPr="00F40772" w:rsidRDefault="00F40772">
      <w:pPr>
        <w:rPr>
          <w:rFonts w:ascii="Helvetica" w:hAnsi="Helvetica"/>
        </w:rPr>
      </w:pPr>
      <w:r w:rsidRPr="00F40772">
        <w:rPr>
          <w:rFonts w:ascii="Helvetica Neue" w:hAnsi="Helvetica Neue"/>
        </w:rPr>
        <w:t>JP 3-04 replaced JP 3-13, and the older terms Information Operations and information-related capabilities went with it.</w:t>
      </w:r>
      <w:r w:rsidR="00000000" w:rsidRPr="00F40772">
        <w:rPr>
          <w:rStyle w:val="FootnoteReference"/>
          <w:rFonts w:ascii="Helvetica Neue" w:hAnsi="Helvetica Neue"/>
        </w:rPr>
        <w:footnoteReference w:id="7"/>
      </w:r>
      <w:r w:rsidR="00000000" w:rsidRPr="00F40772">
        <w:rPr>
          <w:rFonts w:ascii="Helvetica Neue" w:hAnsi="Helvetica Neue"/>
        </w:rPr>
        <w:t xml:space="preserve"> </w:t>
      </w:r>
      <w:r w:rsidRPr="00F40772">
        <w:rPr>
          <w:rFonts w:ascii="Helvetica Neue" w:hAnsi="Helvetica Neue"/>
        </w:rPr>
        <w:t>The new language did not remove communications systems from the problem. Current US doctrine places systems alongside the organisations and people that collect, process, disseminate and use information.</w:t>
      </w:r>
      <w:r w:rsidR="00000000" w:rsidRPr="00D70EA9">
        <w:rPr>
          <w:rFonts w:ascii="Helvetica Neue" w:hAnsi="Helvetica Neue"/>
        </w:rPr>
        <w:t xml:space="preserve"> </w:t>
      </w:r>
      <w:r w:rsidRPr="00F40772">
        <w:rPr>
          <w:rFonts w:ascii="Helvetica" w:hAnsi="Helvetica"/>
        </w:rPr>
        <w:t xml:space="preserve">The 2023 Department of </w:t>
      </w:r>
      <w:proofErr w:type="spellStart"/>
      <w:r w:rsidRPr="00F40772">
        <w:rPr>
          <w:rFonts w:ascii="Helvetica" w:hAnsi="Helvetica"/>
        </w:rPr>
        <w:t>Defense</w:t>
      </w:r>
      <w:proofErr w:type="spellEnd"/>
      <w:r w:rsidRPr="00F40772">
        <w:rPr>
          <w:rFonts w:ascii="Helvetica" w:hAnsi="Helvetica"/>
        </w:rPr>
        <w:t xml:space="preserve"> Strategy defines the information environment</w:t>
      </w:r>
      <w:r>
        <w:t xml:space="preserve"> </w:t>
      </w:r>
      <w:proofErr w:type="spellStart"/>
      <w:r w:rsidR="00000000" w:rsidRPr="00D70EA9">
        <w:rPr>
          <w:rFonts w:ascii="Helvetica Neue" w:hAnsi="Helvetica Neue"/>
        </w:rPr>
        <w:t>as “</w:t>
      </w:r>
      <w:proofErr w:type="spellEnd"/>
      <w:r w:rsidR="00000000" w:rsidRPr="00D70EA9">
        <w:rPr>
          <w:rFonts w:ascii="Helvetica Neue" w:hAnsi="Helvetica Neue"/>
        </w:rPr>
        <w:t>the aggregate of social, cultural, linguistic, psychological, technical, and physical factors that affect how humans and automated systems derive meaning from, act upon, and are impacted by information, including the individuals, organizations, and systems that collect, process, disseminate, or use information.”</w:t>
      </w:r>
      <w:r w:rsidR="00000000" w:rsidRPr="00D70EA9">
        <w:rPr>
          <w:rStyle w:val="FootnoteReference"/>
          <w:rFonts w:ascii="Helvetica Neue" w:hAnsi="Helvetica Neue"/>
        </w:rPr>
        <w:footnoteReference w:id="8"/>
      </w:r>
      <w:r w:rsidR="00000000" w:rsidRPr="00D70EA9">
        <w:rPr>
          <w:rFonts w:ascii="Helvetica Neue" w:hAnsi="Helvetica Neue"/>
        </w:rPr>
        <w:t xml:space="preserve"> Commercial SATCOM fits comfortably inside it: satellites and terminals matter, but so do gateways, management networks, operators and access rules. The same </w:t>
      </w:r>
      <w:r w:rsidR="00000000" w:rsidRPr="00D70EA9">
        <w:rPr>
          <w:rFonts w:ascii="Helvetica Neue" w:hAnsi="Helvetica Neue"/>
        </w:rPr>
        <w:lastRenderedPageBreak/>
        <w:t xml:space="preserve">Strategy describes consistent integration of informational and physical power as the norm </w:t>
      </w:r>
      <w:r w:rsidR="00000000" w:rsidRPr="00F40772">
        <w:rPr>
          <w:rFonts w:ascii="Helvetica" w:hAnsi="Helvetica"/>
        </w:rPr>
        <w:t>rather than treating information as a separate messaging function.</w:t>
      </w:r>
    </w:p>
    <w:p w:rsidR="00D35557" w:rsidRPr="00F40772" w:rsidRDefault="00F40772">
      <w:pPr>
        <w:rPr>
          <w:rFonts w:ascii="Helvetica" w:hAnsi="Helvetica"/>
        </w:rPr>
      </w:pPr>
      <w:r w:rsidRPr="00F40772">
        <w:rPr>
          <w:rFonts w:ascii="Helvetica" w:hAnsi="Helvetica"/>
        </w:rPr>
        <w:t>JP 3-13 divided the environment into physical, informational and cognitive dimensions. Communications networks and platforms sat in the physical dimension; collection, processing, storage and dissemination in the informational; perception, judgement and decision-making in the cognitive.</w:t>
      </w:r>
      <w:r w:rsidR="00000000" w:rsidRPr="00F40772">
        <w:rPr>
          <w:rStyle w:val="FootnoteReference"/>
          <w:rFonts w:ascii="Helvetica" w:hAnsi="Helvetica"/>
        </w:rPr>
        <w:footnoteReference w:id="9"/>
      </w:r>
      <w:r w:rsidR="00000000" w:rsidRPr="00F40772">
        <w:rPr>
          <w:rFonts w:ascii="Helvetica" w:hAnsi="Helvetica"/>
        </w:rPr>
        <w:t xml:space="preserve"> </w:t>
      </w:r>
      <w:r w:rsidRPr="00F40772">
        <w:rPr>
          <w:rFonts w:ascii="Helvetica" w:hAnsi="Helvetica"/>
        </w:rPr>
        <w:t>JCOIE later criticised the weight this model placed on transmission. It argued that audiences interpret information through different political, social and cultural settings.</w:t>
      </w:r>
      <w:r w:rsidR="00000000" w:rsidRPr="00F40772">
        <w:rPr>
          <w:rStyle w:val="FootnoteReference"/>
          <w:rFonts w:ascii="Helvetica" w:hAnsi="Helvetica"/>
        </w:rPr>
        <w:footnoteReference w:id="10"/>
      </w:r>
      <w:r w:rsidR="00000000" w:rsidRPr="00F40772">
        <w:rPr>
          <w:rFonts w:ascii="Helvetica" w:hAnsi="Helvetica"/>
        </w:rPr>
        <w:t xml:space="preserve"> </w:t>
      </w:r>
      <w:r w:rsidRPr="00F40772">
        <w:rPr>
          <w:rFonts w:ascii="Helvetica" w:hAnsi="Helvetica"/>
        </w:rPr>
        <w:t xml:space="preserve">Ukrainian forces could use </w:t>
      </w:r>
      <w:proofErr w:type="spellStart"/>
      <w:r w:rsidRPr="00F40772">
        <w:rPr>
          <w:rFonts w:ascii="Helvetica" w:hAnsi="Helvetica"/>
        </w:rPr>
        <w:t>Starlink</w:t>
      </w:r>
      <w:proofErr w:type="spellEnd"/>
      <w:r w:rsidRPr="00F40772">
        <w:rPr>
          <w:rFonts w:ascii="Helvetica" w:hAnsi="Helvetica"/>
        </w:rPr>
        <w:t>, but Ukraine did not control the service. SpaceX decided where it operated and what uses it would accept. Civilians used the same infrastructure. The network could therefore work while authority over the service remained elsewhere</w:t>
      </w:r>
      <w:r w:rsidR="00000000" w:rsidRPr="00F40772">
        <w:rPr>
          <w:rFonts w:ascii="Helvetica" w:hAnsi="Helvetica"/>
        </w:rPr>
        <w:t>.</w:t>
      </w:r>
    </w:p>
    <w:p w:rsidR="00C8735E" w:rsidRPr="00F40772" w:rsidRDefault="00F40772" w:rsidP="00E1429E">
      <w:pPr>
        <w:rPr>
          <w:rFonts w:ascii="Helvetica" w:hAnsi="Helvetica"/>
        </w:rPr>
      </w:pPr>
      <w:r w:rsidRPr="00F40772">
        <w:rPr>
          <w:rFonts w:ascii="Helvetica" w:hAnsi="Helvetica"/>
        </w:rPr>
        <w:t xml:space="preserve">By October 2022, military use itself was not especially secret. Singh had publicly described </w:t>
      </w:r>
      <w:proofErr w:type="spellStart"/>
      <w:r w:rsidRPr="00F40772">
        <w:rPr>
          <w:rFonts w:ascii="Helvetica" w:hAnsi="Helvetica"/>
        </w:rPr>
        <w:t>Starlink</w:t>
      </w:r>
      <w:proofErr w:type="spellEnd"/>
      <w:r w:rsidRPr="00F40772">
        <w:rPr>
          <w:rFonts w:ascii="Helvetica" w:hAnsi="Helvetica"/>
        </w:rPr>
        <w:t xml:space="preserve"> as supporting both civilian communications and military command and control. Russia then attached a different significance to military reliance on commercial infrastructure. Wither describes the decision problem created when an activity is visible but its meaning and the appropriate response remain uncertain.</w:t>
      </w:r>
      <w:r w:rsidR="006C67BE" w:rsidRPr="00F40772">
        <w:rPr>
          <w:rFonts w:ascii="Helvetica" w:hAnsi="Helvetica"/>
          <w:sz w:val="16"/>
          <w:szCs w:val="16"/>
        </w:rPr>
        <w:footnoteReference w:id="11"/>
      </w:r>
      <w:r w:rsidR="006C67BE" w:rsidRPr="00F40772">
        <w:rPr>
          <w:rFonts w:ascii="Helvetica" w:hAnsi="Helvetica"/>
        </w:rPr>
        <w:t xml:space="preserve"> </w:t>
      </w:r>
    </w:p>
    <w:p w:rsidR="00C8735E" w:rsidRPr="00D70EA9" w:rsidRDefault="00A63CDA" w:rsidP="00A63CDA">
      <w:pPr>
        <w:rPr>
          <w:rFonts w:ascii="Helvetica Neue" w:hAnsi="Helvetica Neue"/>
        </w:rPr>
      </w:pPr>
      <w:r w:rsidRPr="00D70EA9">
        <w:rPr>
          <w:rFonts w:ascii="Helvetica Neue" w:hAnsi="Helvetica Neue"/>
        </w:rPr>
        <w:t>Later evidence is kept separate from what actors could know at the time. A disclosure made months afterwards can change what can be reconstructed about an event. It does not change when the information became public. Rid and Buchanan treat attribution as assessment and communication together, including communication to third parties and the public.</w:t>
      </w:r>
      <w:r w:rsidRPr="00D70EA9">
        <w:rPr>
          <w:rFonts w:ascii="Helvetica Neue" w:hAnsi="Helvetica Neue"/>
          <w:sz w:val="16"/>
          <w:szCs w:val="16"/>
        </w:rPr>
        <w:footnoteReference w:id="12"/>
      </w:r>
      <w:r w:rsidRPr="00D70EA9">
        <w:rPr>
          <w:rFonts w:ascii="Helvetica Neue" w:hAnsi="Helvetica Neue"/>
        </w:rPr>
        <w:t xml:space="preserve"> Paul cautions against treating later behaviour as evidence that an earlier message worked when other causes remain plausible.</w:t>
      </w:r>
      <w:r w:rsidRPr="00D70EA9">
        <w:rPr>
          <w:rFonts w:ascii="Helvetica Neue" w:hAnsi="Helvetica Neue"/>
          <w:sz w:val="16"/>
          <w:szCs w:val="16"/>
        </w:rPr>
        <w:footnoteReference w:id="13"/>
      </w:r>
    </w:p>
    <w:p w:rsidR="00C8735E" w:rsidRPr="00D70EA9" w:rsidRDefault="00131271">
      <w:pPr>
        <w:rPr>
          <w:rFonts w:ascii="Helvetica Neue" w:hAnsi="Helvetica Neue"/>
        </w:rPr>
      </w:pPr>
      <w:r w:rsidRPr="00D70EA9">
        <w:rPr>
          <w:rFonts w:ascii="Helvetica Neue" w:hAnsi="Helvetica Neue"/>
        </w:rPr>
        <w:t>“</w:t>
      </w:r>
      <w:r w:rsidR="00A63CDA" w:rsidRPr="00D70EA9">
        <w:rPr>
          <w:rFonts w:ascii="Helvetica Neue" w:hAnsi="Helvetica Neue"/>
        </w:rPr>
        <w:t>Public articulation” and “transparency” are not used as synonyms here</w:t>
      </w:r>
      <w:r w:rsidRPr="00D70EA9">
        <w:rPr>
          <w:rFonts w:ascii="Helvetica Neue" w:hAnsi="Helvetica Neue"/>
        </w:rPr>
        <w:t xml:space="preserve">. “Public articulation” means an open statement of a position, interpretation or warning; “transparency” is the stronger proposition that making policies and interpretations </w:t>
      </w:r>
      <w:r w:rsidRPr="00D70EA9">
        <w:rPr>
          <w:rFonts w:ascii="Helvetica Neue" w:hAnsi="Helvetica Neue"/>
        </w:rPr>
        <w:lastRenderedPageBreak/>
        <w:t>public can reduce misunderstanding or miscalculation. Deppe and Schaal’s warning about conceptual stretching is useful here because a category broad enough to absorb every informational consequence stops distinguishing very much.</w:t>
      </w:r>
      <w:r w:rsidRPr="00D70EA9">
        <w:rPr>
          <w:rFonts w:ascii="Helvetica Neue" w:hAnsi="Helvetica Neue"/>
          <w:sz w:val="16"/>
          <w:szCs w:val="16"/>
        </w:rPr>
        <w:footnoteReference w:id="14"/>
      </w:r>
      <w:r w:rsidRPr="00D70EA9">
        <w:rPr>
          <w:rFonts w:ascii="Helvetica Neue" w:hAnsi="Helvetica Neue"/>
        </w:rPr>
        <w:t xml:space="preserve"> The evidence is public and mostly English-language, which leaves classified targeting assessments and SpaceX’s internal deliberations outside it. The Russian Mission statement is assessed through its published unofficial English translation.</w:t>
      </w:r>
    </w:p>
    <w:p w:rsidR="00C8735E" w:rsidRPr="00D70EA9" w:rsidRDefault="00000000">
      <w:pPr>
        <w:pStyle w:val="Heading1"/>
        <w:rPr>
          <w:rFonts w:ascii="Helvetica Neue" w:hAnsi="Helvetica Neue"/>
        </w:rPr>
      </w:pPr>
      <w:r w:rsidRPr="00D70EA9">
        <w:rPr>
          <w:rFonts w:ascii="Helvetica Neue" w:hAnsi="Helvetica Neue"/>
        </w:rPr>
        <w:t>Law, Interpretation and the Norms Proposition</w:t>
      </w:r>
    </w:p>
    <w:p w:rsidR="00C8735E" w:rsidRPr="00D70EA9" w:rsidRDefault="00000000">
      <w:pPr>
        <w:rPr>
          <w:rFonts w:ascii="Helvetica Neue" w:hAnsi="Helvetica Neue"/>
        </w:rPr>
      </w:pPr>
      <w:r w:rsidRPr="00D70EA9">
        <w:rPr>
          <w:rFonts w:ascii="Helvetica Neue" w:hAnsi="Helvetica Neue"/>
        </w:rPr>
        <w:t xml:space="preserve">Russia’s language of participation and retaliation was politically broad, whereas targeting law asks a narrower set of questions. Article 52(2) of Additional Protocol I </w:t>
      </w:r>
      <w:proofErr w:type="gramStart"/>
      <w:r w:rsidRPr="00D70EA9">
        <w:rPr>
          <w:rFonts w:ascii="Helvetica Neue" w:hAnsi="Helvetica Neue"/>
        </w:rPr>
        <w:t>requires</w:t>
      </w:r>
      <w:proofErr w:type="gramEnd"/>
      <w:r w:rsidRPr="00D70EA9">
        <w:rPr>
          <w:rFonts w:ascii="Helvetica Neue" w:hAnsi="Helvetica Neue"/>
        </w:rPr>
        <w:t xml:space="preserve"> both an effective contribution to military action by nature, location, purpose or use and a definite military advantage from destruction, capture or neutralisation in the circumstances ruling at the time.</w:t>
      </w:r>
      <w:r w:rsidRPr="00D70EA9">
        <w:rPr>
          <w:rFonts w:ascii="Helvetica Neue" w:hAnsi="Helvetica Neue"/>
          <w:sz w:val="16"/>
          <w:szCs w:val="16"/>
        </w:rPr>
        <w:footnoteReference w:id="15"/>
      </w:r>
      <w:r w:rsidRPr="00D70EA9">
        <w:rPr>
          <w:rFonts w:ascii="Helvetica Neue" w:hAnsi="Helvetica Neue"/>
        </w:rPr>
        <w:t xml:space="preserve"> The requirements are cumulative. Article 52(3) adds a presumption where an object normally dedicated to civilian purposes is in doubt, while Article 57 keeps verification, feasible precautions and proportionality in the analysis even after an object is considered a military objective.</w:t>
      </w:r>
      <w:r w:rsidRPr="00D70EA9">
        <w:rPr>
          <w:rFonts w:ascii="Helvetica Neue" w:hAnsi="Helvetica Neue"/>
          <w:sz w:val="16"/>
          <w:szCs w:val="16"/>
        </w:rPr>
        <w:footnoteReference w:id="16"/>
      </w:r>
    </w:p>
    <w:p w:rsidR="00C8735E" w:rsidRPr="00D70EA9" w:rsidRDefault="00EB0237">
      <w:pPr>
        <w:rPr>
          <w:rFonts w:ascii="Helvetica Neue" w:hAnsi="Helvetica Neue"/>
        </w:rPr>
      </w:pPr>
      <w:r w:rsidRPr="00D70EA9">
        <w:rPr>
          <w:rFonts w:ascii="Helvetica Neue" w:hAnsi="Helvetica Neue"/>
        </w:rPr>
        <w:t xml:space="preserve">Article 52 does not create a third category between civilian object and military objective. An object remains protected as civilian unless the military-objective test is satisfied in the circumstances ruling at the time. </w:t>
      </w:r>
      <w:proofErr w:type="spellStart"/>
      <w:r w:rsidR="002A29DB" w:rsidRPr="00D70EA9">
        <w:rPr>
          <w:rFonts w:ascii="Helvetica Neue" w:hAnsi="Helvetica Neue"/>
        </w:rPr>
        <w:t>Berrang</w:t>
      </w:r>
      <w:proofErr w:type="spellEnd"/>
      <w:r w:rsidR="002A29DB" w:rsidRPr="00D70EA9">
        <w:rPr>
          <w:rFonts w:ascii="Helvetica Neue" w:hAnsi="Helvetica Neue"/>
        </w:rPr>
        <w:t xml:space="preserve"> reaches the issue from another direction. The fact that a commercial system serves both civilian and military users does not, in his view, make a new space-specific Geneva Convention necessary.</w:t>
      </w:r>
      <w:r w:rsidRPr="00D70EA9">
        <w:rPr>
          <w:rFonts w:ascii="Helvetica Neue" w:hAnsi="Helvetica Neue"/>
          <w:sz w:val="16"/>
          <w:szCs w:val="16"/>
        </w:rPr>
        <w:footnoteReference w:id="17"/>
      </w:r>
      <w:r w:rsidRPr="00D70EA9">
        <w:rPr>
          <w:rFonts w:ascii="Helvetica Neue" w:hAnsi="Helvetica Neue"/>
        </w:rPr>
        <w:t xml:space="preserve"> Hathaway, Khan and </w:t>
      </w:r>
      <w:proofErr w:type="spellStart"/>
      <w:r w:rsidRPr="00D70EA9">
        <w:rPr>
          <w:rFonts w:ascii="Helvetica Neue" w:hAnsi="Helvetica Neue"/>
        </w:rPr>
        <w:t>Revkin</w:t>
      </w:r>
      <w:proofErr w:type="spellEnd"/>
      <w:r w:rsidRPr="00D70EA9">
        <w:rPr>
          <w:rFonts w:ascii="Helvetica Neue" w:hAnsi="Helvetica Neue"/>
        </w:rPr>
        <w:t xml:space="preserve"> focus on a different risk. If “dual-use” begins functioning as a legal category of its own, the civilian–military distinction can blur before the object-specific test is actually applied. Their concern is that civilian protection can weaken when the label starts doing work that Article 52 assigns to the legal test.</w:t>
      </w:r>
      <w:r w:rsidRPr="00D70EA9">
        <w:rPr>
          <w:rFonts w:ascii="Helvetica Neue" w:hAnsi="Helvetica Neue"/>
          <w:sz w:val="16"/>
          <w:szCs w:val="16"/>
        </w:rPr>
        <w:footnoteReference w:id="18"/>
      </w:r>
      <w:r w:rsidRPr="00D70EA9">
        <w:rPr>
          <w:rFonts w:ascii="Helvetica Neue" w:hAnsi="Helvetica Neue"/>
        </w:rPr>
        <w:t xml:space="preserve"> </w:t>
      </w:r>
    </w:p>
    <w:p w:rsidR="00C8735E" w:rsidRPr="00D70EA9" w:rsidRDefault="006C67BE">
      <w:pPr>
        <w:rPr>
          <w:rFonts w:ascii="Helvetica Neue" w:hAnsi="Helvetica Neue"/>
        </w:rPr>
      </w:pPr>
      <w:r w:rsidRPr="00D70EA9">
        <w:rPr>
          <w:rFonts w:ascii="Helvetica Neue" w:hAnsi="Helvetica Neue"/>
        </w:rPr>
        <w:lastRenderedPageBreak/>
        <w:t xml:space="preserve">Calling a satellite network one object hides most of the targeting problem. A satellite, a gateway, a terminal and the management segment do not necessarily perform the same function, and civilian and military dependence can sit on different parts of the same service. </w:t>
      </w:r>
      <w:proofErr w:type="spellStart"/>
      <w:r w:rsidRPr="00D70EA9">
        <w:rPr>
          <w:rFonts w:ascii="Helvetica Neue" w:hAnsi="Helvetica Neue"/>
        </w:rPr>
        <w:t>Kuplic</w:t>
      </w:r>
      <w:proofErr w:type="spellEnd"/>
      <w:r w:rsidRPr="00D70EA9">
        <w:rPr>
          <w:rFonts w:ascii="Helvetica Neue" w:hAnsi="Helvetica Neue"/>
        </w:rPr>
        <w:t xml:space="preserve"> and Sawmiller’s distinction between present “use” and future “purpose” matters at that level. Present military use can be identified from what an object is doing, whereas a claim about future military purpose ordinarily requires more specific intelligence; their example is Ukrainian reliance on secure </w:t>
      </w:r>
      <w:proofErr w:type="spellStart"/>
      <w:r w:rsidRPr="00D70EA9">
        <w:rPr>
          <w:rFonts w:ascii="Helvetica Neue" w:hAnsi="Helvetica Neue"/>
        </w:rPr>
        <w:t>Viasat</w:t>
      </w:r>
      <w:proofErr w:type="spellEnd"/>
      <w:r w:rsidRPr="00D70EA9">
        <w:rPr>
          <w:rFonts w:ascii="Helvetica Neue" w:hAnsi="Helvetica Neue"/>
        </w:rPr>
        <w:t xml:space="preserve"> communications.</w:t>
      </w:r>
      <w:r w:rsidRPr="00D70EA9">
        <w:rPr>
          <w:rFonts w:ascii="Helvetica Neue" w:hAnsi="Helvetica Neue"/>
          <w:sz w:val="16"/>
          <w:szCs w:val="16"/>
        </w:rPr>
        <w:footnoteReference w:id="19"/>
      </w:r>
      <w:r w:rsidRPr="00D70EA9">
        <w:rPr>
          <w:rFonts w:ascii="Helvetica Neue" w:hAnsi="Helvetica Neue"/>
        </w:rPr>
        <w:t xml:space="preserve"> </w:t>
      </w:r>
    </w:p>
    <w:p w:rsidR="006C67BE" w:rsidRPr="00D70EA9" w:rsidRDefault="00142FB7">
      <w:pPr>
        <w:rPr>
          <w:rFonts w:ascii="Helvetica Neue" w:hAnsi="Helvetica Neue"/>
        </w:rPr>
      </w:pPr>
      <w:r w:rsidRPr="00D70EA9">
        <w:rPr>
          <w:rFonts w:ascii="Helvetica Neue" w:hAnsi="Helvetica Neue"/>
        </w:rPr>
        <w:t>Military communications may make an effective contribution to military action, but that does not dispense with the separate requirement for definite military advantage.</w:t>
      </w:r>
      <w:r w:rsidR="00203A4E" w:rsidRPr="00D70EA9">
        <w:rPr>
          <w:rFonts w:ascii="Helvetica Neue" w:hAnsi="Helvetica Neue"/>
        </w:rPr>
        <w:t xml:space="preserve"> The Woomera Manual also keeps distinguishable civilian components and continuing verification in view, making the problem harder to collapse into the label “satellite network.” </w:t>
      </w:r>
      <w:r w:rsidRPr="00D70EA9">
        <w:rPr>
          <w:rFonts w:ascii="Helvetica Neue" w:hAnsi="Helvetica Neue"/>
          <w:sz w:val="16"/>
          <w:szCs w:val="16"/>
        </w:rPr>
        <w:footnoteReference w:id="20"/>
      </w:r>
      <w:r w:rsidRPr="00D70EA9">
        <w:rPr>
          <w:rFonts w:ascii="Helvetica Neue" w:hAnsi="Helvetica Neue"/>
        </w:rPr>
        <w:t xml:space="preserve"> </w:t>
      </w:r>
    </w:p>
    <w:p w:rsidR="00C8735E" w:rsidRPr="00D70EA9" w:rsidRDefault="00142FB7">
      <w:pPr>
        <w:rPr>
          <w:rFonts w:ascii="Helvetica Neue" w:hAnsi="Helvetica Neue"/>
        </w:rPr>
      </w:pPr>
      <w:r w:rsidRPr="00D70EA9">
        <w:rPr>
          <w:rFonts w:ascii="Helvetica Neue" w:hAnsi="Helvetica Neue"/>
        </w:rPr>
        <w:t>Bi and Zhu work at a smaller scale. Their analysis begins with the smallest feasible function of military relevance and then asks what civilian dependence and cascading effects sit around it</w:t>
      </w:r>
      <w:r w:rsidR="006C67BE" w:rsidRPr="00D70EA9">
        <w:rPr>
          <w:rFonts w:ascii="Helvetica Neue" w:hAnsi="Helvetica Neue"/>
        </w:rPr>
        <w:t>.</w:t>
      </w:r>
      <w:r w:rsidRPr="00D70EA9">
        <w:rPr>
          <w:rFonts w:ascii="Helvetica Neue" w:hAnsi="Helvetica Neue"/>
          <w:sz w:val="16"/>
          <w:szCs w:val="16"/>
        </w:rPr>
        <w:footnoteReference w:id="21"/>
      </w:r>
      <w:r w:rsidRPr="00D70EA9">
        <w:rPr>
          <w:rFonts w:ascii="Helvetica Neue" w:hAnsi="Helvetica Neue"/>
        </w:rPr>
        <w:t xml:space="preserve"> </w:t>
      </w:r>
      <w:r w:rsidR="00EA74B1" w:rsidRPr="00D70EA9">
        <w:rPr>
          <w:rFonts w:ascii="Helvetica Neue" w:hAnsi="Helvetica Neue"/>
        </w:rPr>
        <w:t>In some systems, that leaves the relevant question at the level of a function or component rather than the network as a whole</w:t>
      </w:r>
      <w:r w:rsidR="006C67BE" w:rsidRPr="00D70EA9">
        <w:rPr>
          <w:rFonts w:ascii="Helvetica Neue" w:hAnsi="Helvetica Neue"/>
        </w:rPr>
        <w:t>.</w:t>
      </w:r>
    </w:p>
    <w:p w:rsidR="00C8735E" w:rsidRPr="00D70EA9" w:rsidRDefault="00000000">
      <w:pPr>
        <w:rPr>
          <w:rFonts w:ascii="Helvetica Neue" w:hAnsi="Helvetica Neue"/>
        </w:rPr>
      </w:pPr>
      <w:r w:rsidRPr="00D70EA9">
        <w:rPr>
          <w:rFonts w:ascii="Helvetica Neue" w:hAnsi="Helvetica Neue"/>
        </w:rPr>
        <w:t>Publishing those facts and policies can still matter because other actors then have more to work with than inference alone. Kuplic and Sawmiller link guidance, state practice and dialogue to the possibility of common understandings and fewer misunderstandings or miscalculations.</w:t>
      </w:r>
      <w:r w:rsidRPr="00D70EA9">
        <w:rPr>
          <w:rFonts w:ascii="Helvetica Neue" w:hAnsi="Helvetica Neue"/>
          <w:sz w:val="16"/>
          <w:szCs w:val="16"/>
        </w:rPr>
        <w:footnoteReference w:id="22"/>
      </w:r>
      <w:r w:rsidRPr="00D70EA9">
        <w:rPr>
          <w:rFonts w:ascii="Helvetica Neue" w:hAnsi="Helvetica Neue"/>
        </w:rPr>
        <w:t xml:space="preserve"> West and Azcárate Ortega give a reason not to treat that mechanism as automatic: norms still need acceptance and implementation, and weak trust or shared values can turn the process into competition for normative influence.</w:t>
      </w:r>
      <w:r w:rsidRPr="00D70EA9">
        <w:rPr>
          <w:rFonts w:ascii="Helvetica Neue" w:hAnsi="Helvetica Neue"/>
          <w:sz w:val="16"/>
          <w:szCs w:val="16"/>
        </w:rPr>
        <w:footnoteReference w:id="23"/>
      </w:r>
    </w:p>
    <w:p w:rsidR="00C8735E" w:rsidRPr="00D70EA9" w:rsidRDefault="00EB0237">
      <w:pPr>
        <w:rPr>
          <w:rFonts w:ascii="Helvetica Neue" w:hAnsi="Helvetica Neue"/>
        </w:rPr>
      </w:pPr>
      <w:r w:rsidRPr="00D70EA9">
        <w:rPr>
          <w:rFonts w:ascii="Helvetica Neue" w:hAnsi="Helvetica Neue"/>
        </w:rPr>
        <w:t xml:space="preserve">Wiener’s “meaning-in-use” is concerned with what happens after actors share the same vocabulary. The meaning does not sit only in the wording of a norm; practice </w:t>
      </w:r>
      <w:r w:rsidRPr="00D70EA9">
        <w:rPr>
          <w:rFonts w:ascii="Helvetica Neue" w:hAnsi="Helvetica Neue"/>
        </w:rPr>
        <w:lastRenderedPageBreak/>
        <w:t>gives it content.</w:t>
      </w:r>
      <w:r w:rsidRPr="00D70EA9">
        <w:rPr>
          <w:rFonts w:ascii="Helvetica Neue" w:hAnsi="Helvetica Neue"/>
          <w:sz w:val="16"/>
          <w:szCs w:val="16"/>
        </w:rPr>
        <w:footnoteReference w:id="24"/>
      </w:r>
      <w:r w:rsidRPr="00D70EA9">
        <w:rPr>
          <w:rFonts w:ascii="Helvetica Neue" w:hAnsi="Helvetica Neue"/>
        </w:rPr>
        <w:t xml:space="preserve"> </w:t>
      </w:r>
      <w:r w:rsidR="00203A4E" w:rsidRPr="00D70EA9">
        <w:rPr>
          <w:rFonts w:ascii="Helvetica Neue" w:hAnsi="Helvetica Neue"/>
        </w:rPr>
        <w:t xml:space="preserve">In this case, “participation” could be spoken publicly without settling what conduct counted as participation. </w:t>
      </w:r>
      <w:r w:rsidRPr="00D70EA9">
        <w:rPr>
          <w:rFonts w:ascii="Helvetica Neue" w:hAnsi="Helvetica Neue"/>
        </w:rPr>
        <w:t>Fearon is dealing with a different problem. Public communication can still leave private information, capability and resolve undisclosed, while actors retain incentives to misrepresent them.</w:t>
      </w:r>
      <w:r w:rsidRPr="00D70EA9">
        <w:rPr>
          <w:rFonts w:ascii="Helvetica Neue" w:hAnsi="Helvetica Neue"/>
          <w:sz w:val="16"/>
          <w:szCs w:val="16"/>
        </w:rPr>
        <w:footnoteReference w:id="25"/>
      </w:r>
      <w:r w:rsidRPr="00D70EA9">
        <w:rPr>
          <w:rFonts w:ascii="Helvetica Neue" w:hAnsi="Helvetica Neue"/>
        </w:rPr>
        <w:t xml:space="preserve"> </w:t>
      </w:r>
    </w:p>
    <w:p w:rsidR="00C8735E" w:rsidRPr="00D70EA9" w:rsidRDefault="00000000" w:rsidP="00A63CDA">
      <w:pPr>
        <w:rPr>
          <w:rFonts w:ascii="Helvetica Neue" w:hAnsi="Helvetica Neue"/>
        </w:rPr>
      </w:pPr>
      <w:r w:rsidRPr="00D70EA9">
        <w:rPr>
          <w:rFonts w:ascii="Helvetica Neue" w:hAnsi="Helvetica Neue"/>
        </w:rPr>
        <w:t>Legal language also travels outside the legal test. NATO StratCom uses “lawfare” for hostile use of legal claims to damage or delegitimise an opponent, occupy its time or secure a public-relations advantage.</w:t>
      </w:r>
      <w:r w:rsidRPr="00D70EA9">
        <w:rPr>
          <w:rFonts w:ascii="Helvetica Neue" w:hAnsi="Helvetica Neue"/>
          <w:sz w:val="16"/>
          <w:szCs w:val="16"/>
        </w:rPr>
        <w:footnoteReference w:id="26"/>
      </w:r>
      <w:r w:rsidRPr="00D70EA9">
        <w:rPr>
          <w:rFonts w:ascii="Helvetica Neue" w:hAnsi="Helvetica Neue"/>
        </w:rPr>
        <w:t xml:space="preserve"> The label is not used here to infer Russian intent. JCOIE nevertheless gives a reason to take the public characterisation seriously, since actions and communications acquire informational aspects through the meaning observers assign to their features in context.</w:t>
      </w:r>
      <w:r w:rsidRPr="00D70EA9">
        <w:rPr>
          <w:rFonts w:ascii="Helvetica Neue" w:hAnsi="Helvetica Neue"/>
          <w:sz w:val="16"/>
          <w:szCs w:val="16"/>
        </w:rPr>
        <w:footnoteReference w:id="27"/>
      </w:r>
      <w:r w:rsidRPr="00D70EA9">
        <w:rPr>
          <w:rFonts w:ascii="Helvetica Neue" w:hAnsi="Helvetica Neue"/>
        </w:rPr>
        <w:t xml:space="preserve"> </w:t>
      </w:r>
      <w:r w:rsidR="00A63CDA" w:rsidRPr="00D70EA9">
        <w:rPr>
          <w:rFonts w:ascii="Helvetica Neue" w:hAnsi="Helvetica Neue"/>
        </w:rPr>
        <w:t>Russia, the United States and SpaceX did not necessarily use the same boundary when they spoke about commercial military support.</w:t>
      </w:r>
    </w:p>
    <w:p w:rsidR="00C8735E" w:rsidRPr="00D70EA9" w:rsidRDefault="00000000">
      <w:pPr>
        <w:pStyle w:val="Heading1"/>
        <w:rPr>
          <w:rFonts w:ascii="Helvetica Neue" w:hAnsi="Helvetica Neue"/>
        </w:rPr>
      </w:pPr>
      <w:r w:rsidRPr="00D70EA9">
        <w:rPr>
          <w:rFonts w:ascii="Helvetica Neue" w:hAnsi="Helvetica Neue"/>
        </w:rPr>
        <w:t>The Russia–Ukraine Case</w:t>
      </w:r>
    </w:p>
    <w:p w:rsidR="00142FB7" w:rsidRPr="00D70EA9" w:rsidRDefault="00A63CDA" w:rsidP="00A63CDA">
      <w:pPr>
        <w:rPr>
          <w:rFonts w:ascii="Helvetica Neue" w:hAnsi="Helvetica Neue"/>
        </w:rPr>
      </w:pPr>
      <w:proofErr w:type="spellStart"/>
      <w:r w:rsidRPr="00D70EA9">
        <w:rPr>
          <w:rFonts w:ascii="Helvetica Neue" w:hAnsi="Helvetica Neue"/>
        </w:rPr>
        <w:t>Viasat</w:t>
      </w:r>
      <w:proofErr w:type="spellEnd"/>
      <w:r w:rsidRPr="00D70EA9">
        <w:rPr>
          <w:rFonts w:ascii="Helvetica Neue" w:hAnsi="Helvetica Neue"/>
        </w:rPr>
        <w:t xml:space="preserve"> found no evidence that the satellite itself or its supporting satellite ground infrastructure had been directly impaired. The destructive phase instead ran through a VPN misconfiguration into a trusted management segment. Legitimate management commands then left modems unable to reach the network. The affected partition was consumer-oriented. Several thousand customers in Ukraine lost service, along with tens of thousands elsewhere in Europe; directly managed government and mobility users did not. Its wording does not mean that no military user was affected. Ukrainian military users could still have been relying on the affected consumer-oriented partition.</w:t>
      </w:r>
      <w:r w:rsidR="001D36EC" w:rsidRPr="00D70EA9">
        <w:rPr>
          <w:rFonts w:ascii="Helvetica Neue" w:hAnsi="Helvetica Neue"/>
          <w:sz w:val="16"/>
          <w:szCs w:val="16"/>
        </w:rPr>
        <w:footnoteReference w:id="28"/>
      </w:r>
      <w:r w:rsidR="001D36EC" w:rsidRPr="00D70EA9">
        <w:rPr>
          <w:rFonts w:ascii="Helvetica Neue" w:hAnsi="Helvetica Neue"/>
        </w:rPr>
        <w:t xml:space="preserve"> </w:t>
      </w:r>
      <w:r w:rsidRPr="00D70EA9">
        <w:rPr>
          <w:rFonts w:ascii="Helvetica Neue" w:hAnsi="Helvetica Neue"/>
        </w:rPr>
        <w:t xml:space="preserve">MITRE later associated </w:t>
      </w:r>
      <w:proofErr w:type="spellStart"/>
      <w:r w:rsidRPr="00D70EA9">
        <w:rPr>
          <w:rFonts w:ascii="Helvetica Neue" w:hAnsi="Helvetica Neue"/>
        </w:rPr>
        <w:t>AcidRain</w:t>
      </w:r>
      <w:proofErr w:type="spellEnd"/>
      <w:r w:rsidRPr="00D70EA9">
        <w:rPr>
          <w:rFonts w:ascii="Helvetica Neue" w:hAnsi="Helvetica Neue"/>
        </w:rPr>
        <w:t xml:space="preserve"> with the outage and records destructive techniques against network devices.</w:t>
      </w:r>
      <w:r w:rsidR="001D36EC" w:rsidRPr="00D70EA9">
        <w:rPr>
          <w:rFonts w:ascii="Helvetica Neue" w:hAnsi="Helvetica Neue"/>
          <w:sz w:val="16"/>
          <w:szCs w:val="16"/>
        </w:rPr>
        <w:footnoteReference w:id="29"/>
      </w:r>
      <w:r w:rsidR="00F256DD" w:rsidRPr="00D70EA9">
        <w:rPr>
          <w:rFonts w:ascii="Helvetica Neue" w:hAnsi="Helvetica Neue"/>
        </w:rPr>
        <w:t xml:space="preserve"> </w:t>
      </w:r>
    </w:p>
    <w:p w:rsidR="00C8735E" w:rsidRPr="00D70EA9" w:rsidRDefault="001D36EC" w:rsidP="001D36EC">
      <w:pPr>
        <w:rPr>
          <w:rFonts w:ascii="Helvetica Neue" w:hAnsi="Helvetica Neue"/>
        </w:rPr>
      </w:pPr>
      <w:proofErr w:type="spellStart"/>
      <w:r w:rsidRPr="00D70EA9">
        <w:rPr>
          <w:rFonts w:ascii="Helvetica Neue" w:hAnsi="Helvetica Neue"/>
        </w:rPr>
        <w:t>Viasat</w:t>
      </w:r>
      <w:proofErr w:type="spellEnd"/>
      <w:r w:rsidRPr="00D70EA9">
        <w:rPr>
          <w:rFonts w:ascii="Helvetica Neue" w:hAnsi="Helvetica Neue"/>
        </w:rPr>
        <w:t xml:space="preserve"> did not say what the operation was supposed to achieve. Governments did. The United Kingdom attributed the operation to Russia and said the Ukrainian </w:t>
      </w:r>
      <w:r w:rsidRPr="00D70EA9">
        <w:rPr>
          <w:rFonts w:ascii="Helvetica Neue" w:hAnsi="Helvetica Neue"/>
        </w:rPr>
        <w:lastRenderedPageBreak/>
        <w:t xml:space="preserve">military was believed to have been the primary target. </w:t>
      </w:r>
      <w:r w:rsidRPr="00D70EA9">
        <w:rPr>
          <w:rFonts w:ascii="Helvetica Neue" w:hAnsi="Helvetica Neue"/>
          <w:sz w:val="16"/>
          <w:szCs w:val="16"/>
        </w:rPr>
        <w:footnoteReference w:id="30"/>
      </w:r>
      <w:r w:rsidRPr="00D70EA9">
        <w:rPr>
          <w:rFonts w:ascii="Helvetica Neue" w:hAnsi="Helvetica Neue"/>
        </w:rPr>
        <w:t xml:space="preserve"> The United States described a Russian attack on commercial satellite communications networks intended to disrupt Ukrainian command and control. </w:t>
      </w:r>
      <w:r w:rsidRPr="00D70EA9">
        <w:rPr>
          <w:rFonts w:ascii="Helvetica Neue" w:hAnsi="Helvetica Neue"/>
          <w:sz w:val="16"/>
          <w:szCs w:val="16"/>
        </w:rPr>
        <w:footnoteReference w:id="31"/>
      </w:r>
      <w:r w:rsidRPr="00D70EA9">
        <w:rPr>
          <w:rFonts w:ascii="Helvetica Neue" w:hAnsi="Helvetica Neue"/>
        </w:rPr>
        <w:t xml:space="preserve"> </w:t>
      </w:r>
      <w:r w:rsidR="00A63CDA" w:rsidRPr="00D70EA9">
        <w:rPr>
          <w:rFonts w:ascii="Helvetica Neue" w:hAnsi="Helvetica Neue"/>
        </w:rPr>
        <w:t>The European Union tied the operation to the opening of the invasion, said it facilitated the military aggression and referred to “indiscriminate communication outages” across public authorities, businesses and users.</w:t>
      </w:r>
      <w:r w:rsidRPr="00D70EA9">
        <w:rPr>
          <w:rFonts w:ascii="Helvetica Neue" w:hAnsi="Helvetica Neue"/>
          <w:sz w:val="16"/>
          <w:szCs w:val="16"/>
        </w:rPr>
        <w:footnoteReference w:id="32"/>
      </w:r>
      <w:r w:rsidRPr="00D70EA9">
        <w:rPr>
          <w:rFonts w:ascii="Helvetica Neue" w:hAnsi="Helvetica Neue"/>
        </w:rPr>
        <w:t xml:space="preserve"> </w:t>
      </w:r>
      <w:r w:rsidR="00A63CDA" w:rsidRPr="00D70EA9">
        <w:rPr>
          <w:rFonts w:ascii="Helvetica Neue" w:hAnsi="Helvetica Neue"/>
        </w:rPr>
        <w:t>“Indiscriminate” is the language of that declaration. It is not used here as a finding under the law of attack.</w:t>
      </w:r>
    </w:p>
    <w:p w:rsidR="00C8735E" w:rsidRPr="00D70EA9" w:rsidRDefault="00E1429E" w:rsidP="00E1429E">
      <w:pPr>
        <w:rPr>
          <w:rFonts w:ascii="Helvetica Neue" w:hAnsi="Helvetica Neue"/>
        </w:rPr>
      </w:pPr>
      <w:proofErr w:type="spellStart"/>
      <w:r w:rsidRPr="00D70EA9">
        <w:rPr>
          <w:rFonts w:ascii="Helvetica Neue" w:hAnsi="Helvetica Neue"/>
        </w:rPr>
        <w:t>Zhora’s</w:t>
      </w:r>
      <w:proofErr w:type="spellEnd"/>
      <w:r w:rsidRPr="00D70EA9">
        <w:rPr>
          <w:rFonts w:ascii="Helvetica Neue" w:hAnsi="Helvetica Neue"/>
        </w:rPr>
        <w:t xml:space="preserve"> public account became less dramatic over the following months. He initially described a “really huge loss in communications.” By September, he was giving a narrower account: the loss concerned the satellite component, land lines remained the armed forces’ priority, and coordination between forces had not been prevented. The later description did not sit neatly with the earlier one, particularly alongside reports of radio jamming at the front. </w:t>
      </w:r>
      <w:proofErr w:type="spellStart"/>
      <w:r w:rsidRPr="00D70EA9">
        <w:rPr>
          <w:rFonts w:ascii="Helvetica Neue" w:hAnsi="Helvetica Neue"/>
        </w:rPr>
        <w:t>Zetter’s</w:t>
      </w:r>
      <w:proofErr w:type="spellEnd"/>
      <w:r w:rsidRPr="00D70EA9">
        <w:rPr>
          <w:rFonts w:ascii="Helvetica Neue" w:hAnsi="Helvetica Neue"/>
        </w:rPr>
        <w:t xml:space="preserve"> reporting added another account from an unnamed source with recent Ukrainian military experience. That source said </w:t>
      </w:r>
      <w:proofErr w:type="spellStart"/>
      <w:r w:rsidRPr="00D70EA9">
        <w:rPr>
          <w:rFonts w:ascii="Helvetica Neue" w:hAnsi="Helvetica Neue"/>
        </w:rPr>
        <w:t>Viasat</w:t>
      </w:r>
      <w:proofErr w:type="spellEnd"/>
      <w:r w:rsidRPr="00D70EA9">
        <w:rPr>
          <w:rFonts w:ascii="Helvetica Neue" w:hAnsi="Helvetica Neue"/>
        </w:rPr>
        <w:t xml:space="preserve"> had not been distributed widely enough among Ukrainian forces for the disruption to have produced a major military effect.</w:t>
      </w:r>
      <w:r w:rsidR="006C67BE" w:rsidRPr="00D70EA9">
        <w:rPr>
          <w:rFonts w:ascii="Helvetica Neue" w:hAnsi="Helvetica Neue"/>
          <w:sz w:val="16"/>
          <w:szCs w:val="16"/>
        </w:rPr>
        <w:footnoteReference w:id="33"/>
      </w:r>
      <w:r w:rsidR="006C67BE" w:rsidRPr="00D70EA9">
        <w:rPr>
          <w:rFonts w:ascii="Helvetica Neue" w:hAnsi="Helvetica Neue"/>
        </w:rPr>
        <w:t xml:space="preserve"> </w:t>
      </w:r>
      <w:r w:rsidRPr="00D70EA9">
        <w:rPr>
          <w:rFonts w:ascii="Helvetica Neue" w:hAnsi="Helvetica Neue"/>
        </w:rPr>
        <w:t>The public record therefore supported caution about both the scale and the operational significance of the outage.</w:t>
      </w:r>
    </w:p>
    <w:p w:rsidR="00142FB7" w:rsidRPr="00D70EA9" w:rsidRDefault="00000000">
      <w:pPr>
        <w:rPr>
          <w:rFonts w:ascii="Helvetica Neue" w:hAnsi="Helvetica Neue"/>
        </w:rPr>
      </w:pPr>
      <w:r w:rsidRPr="00D70EA9">
        <w:rPr>
          <w:rFonts w:ascii="Helvetica Neue" w:hAnsi="Helvetica Neue"/>
        </w:rPr>
        <w:t>By October 2022, the Starlink record was still thin. On 14 October, Pentagon deputy press secretary Sabrina Singh confirmed that the Department was in communication with SpaceX and, when asked whether Starlink had mainly supported civilian communications or military command and control, replied: “Well, if I remember, I think it has been used for both.”</w:t>
      </w:r>
      <w:r w:rsidR="00593F9B" w:rsidRPr="00D70EA9">
        <w:rPr>
          <w:rFonts w:ascii="Helvetica Neue" w:hAnsi="Helvetica Neue"/>
        </w:rPr>
        <w:t xml:space="preserve"> </w:t>
      </w:r>
      <w:r w:rsidR="00907E99" w:rsidRPr="00D70EA9">
        <w:rPr>
          <w:rFonts w:ascii="Helvetica Neue" w:hAnsi="Helvetica Neue"/>
        </w:rPr>
        <w:t xml:space="preserve">The wording itself was cautious. Singh said “if I remember” and “I think” before describing </w:t>
      </w:r>
      <w:proofErr w:type="spellStart"/>
      <w:r w:rsidR="00907E99" w:rsidRPr="00D70EA9">
        <w:rPr>
          <w:rFonts w:ascii="Helvetica Neue" w:hAnsi="Helvetica Neue"/>
        </w:rPr>
        <w:t>Starlink</w:t>
      </w:r>
      <w:proofErr w:type="spellEnd"/>
      <w:r w:rsidR="00907E99" w:rsidRPr="00D70EA9">
        <w:rPr>
          <w:rFonts w:ascii="Helvetica Neue" w:hAnsi="Helvetica Neue"/>
        </w:rPr>
        <w:t xml:space="preserve"> as serving both civilian communications and military command and control. The answer put dual use into the </w:t>
      </w:r>
      <w:r w:rsidR="00907E99" w:rsidRPr="00D70EA9">
        <w:rPr>
          <w:rFonts w:ascii="Helvetica Neue" w:hAnsi="Helvetica Neue"/>
        </w:rPr>
        <w:lastRenderedPageBreak/>
        <w:t>public record without offering a breakdown of which functions, users or locations were military.</w:t>
      </w:r>
      <w:r w:rsidRPr="00D70EA9">
        <w:rPr>
          <w:rFonts w:ascii="Helvetica Neue" w:hAnsi="Helvetica Neue"/>
          <w:sz w:val="16"/>
          <w:szCs w:val="16"/>
        </w:rPr>
        <w:footnoteReference w:id="34"/>
      </w:r>
      <w:r w:rsidRPr="00D70EA9">
        <w:rPr>
          <w:rFonts w:ascii="Helvetica Neue" w:hAnsi="Helvetica Neue"/>
        </w:rPr>
        <w:t xml:space="preserve"> </w:t>
      </w:r>
    </w:p>
    <w:p w:rsidR="00C8735E" w:rsidRPr="00D70EA9" w:rsidRDefault="00907E99">
      <w:pPr>
        <w:rPr>
          <w:rFonts w:ascii="Helvetica Neue" w:hAnsi="Helvetica Neue"/>
        </w:rPr>
      </w:pPr>
      <w:r w:rsidRPr="00D70EA9">
        <w:rPr>
          <w:rFonts w:ascii="Helvetica Neue" w:hAnsi="Helvetica Neue"/>
        </w:rPr>
        <w:t xml:space="preserve">Twelve days later Konstantin </w:t>
      </w:r>
      <w:proofErr w:type="spellStart"/>
      <w:r w:rsidRPr="00D70EA9">
        <w:rPr>
          <w:rFonts w:ascii="Helvetica Neue" w:hAnsi="Helvetica Neue"/>
        </w:rPr>
        <w:t>Vorontsov</w:t>
      </w:r>
      <w:proofErr w:type="spellEnd"/>
      <w:r w:rsidRPr="00D70EA9">
        <w:rPr>
          <w:rFonts w:ascii="Helvetica Neue" w:hAnsi="Helvetica Neue"/>
        </w:rPr>
        <w:t xml:space="preserve"> told the UN First Committee that US and allied military use of civilian and commercial space infrastructure amounted to “indirect participation in military conflicts.” He then warned that “Quasi-civilian infrastructure may become a legitimate target for retaliation.” </w:t>
      </w:r>
      <w:proofErr w:type="spellStart"/>
      <w:r w:rsidRPr="00D70EA9">
        <w:rPr>
          <w:rFonts w:ascii="Helvetica Neue" w:hAnsi="Helvetica Neue"/>
        </w:rPr>
        <w:t>Vorontsov</w:t>
      </w:r>
      <w:proofErr w:type="spellEnd"/>
      <w:r w:rsidRPr="00D70EA9">
        <w:rPr>
          <w:rFonts w:ascii="Helvetica Neue" w:hAnsi="Helvetica Neue"/>
        </w:rPr>
        <w:t xml:space="preserve"> delivered the warning during the First Committee’s thematic discussion on outer space. It was not a private exchange with SpaceX or a bilateral message to Washington. The statement was made before other state delegations and was also published by the Russian Mission.</w:t>
      </w:r>
      <w:r w:rsidRPr="00D70EA9">
        <w:rPr>
          <w:rFonts w:ascii="Helvetica Neue" w:hAnsi="Helvetica Neue"/>
          <w:sz w:val="16"/>
          <w:szCs w:val="16"/>
        </w:rPr>
        <w:footnoteReference w:id="35"/>
      </w:r>
      <w:r w:rsidR="006751A4" w:rsidRPr="00D70EA9">
        <w:rPr>
          <w:rFonts w:ascii="Helvetica Neue" w:hAnsi="Helvetica Neue"/>
        </w:rPr>
        <w:t xml:space="preserve"> </w:t>
      </w:r>
    </w:p>
    <w:p w:rsidR="00C8735E" w:rsidRPr="00D70EA9" w:rsidRDefault="001D36EC">
      <w:pPr>
        <w:rPr>
          <w:rFonts w:ascii="Helvetica Neue" w:hAnsi="Helvetica Neue"/>
        </w:rPr>
      </w:pPr>
      <w:proofErr w:type="spellStart"/>
      <w:r w:rsidRPr="00D70EA9">
        <w:rPr>
          <w:rFonts w:ascii="Helvetica Neue" w:hAnsi="Helvetica Neue"/>
        </w:rPr>
        <w:t>Karine</w:t>
      </w:r>
      <w:proofErr w:type="spellEnd"/>
      <w:r w:rsidRPr="00D70EA9">
        <w:rPr>
          <w:rFonts w:ascii="Helvetica Neue" w:hAnsi="Helvetica Neue"/>
        </w:rPr>
        <w:t xml:space="preserve"> Jean-Pierre was asked about that warning the next day. </w:t>
      </w:r>
      <w:r w:rsidR="007D0AAD" w:rsidRPr="00D70EA9">
        <w:rPr>
          <w:rFonts w:ascii="Helvetica Neue" w:hAnsi="Helvetica Neue"/>
        </w:rPr>
        <w:t>She answered in deterrent terms, saying an attack on US infrastructure would meet a response “in a time and manner of our choosing” and that the United States would pursue means to deter and hold Russia accountable for such attacks.</w:t>
      </w:r>
      <w:r w:rsidRPr="00D70EA9">
        <w:rPr>
          <w:rFonts w:ascii="Helvetica Neue" w:hAnsi="Helvetica Neue"/>
        </w:rPr>
        <w:t xml:space="preserve"> </w:t>
      </w:r>
      <w:r w:rsidRPr="00D70EA9">
        <w:rPr>
          <w:rFonts w:ascii="Helvetica Neue" w:hAnsi="Helvetica Neue"/>
          <w:sz w:val="16"/>
          <w:szCs w:val="16"/>
        </w:rPr>
        <w:footnoteReference w:id="36"/>
      </w:r>
      <w:r w:rsidRPr="00D70EA9">
        <w:rPr>
          <w:rFonts w:ascii="Helvetica Neue" w:hAnsi="Helvetica Neue"/>
        </w:rPr>
        <w:t xml:space="preserve"> She did not answer </w:t>
      </w:r>
      <w:proofErr w:type="spellStart"/>
      <w:r w:rsidRPr="00D70EA9">
        <w:rPr>
          <w:rFonts w:ascii="Helvetica Neue" w:hAnsi="Helvetica Neue"/>
        </w:rPr>
        <w:t>Vorontsov</w:t>
      </w:r>
      <w:proofErr w:type="spellEnd"/>
      <w:r w:rsidRPr="00D70EA9">
        <w:rPr>
          <w:rFonts w:ascii="Helvetica Neue" w:hAnsi="Helvetica Neue"/>
        </w:rPr>
        <w:t xml:space="preserve"> on the law or accept his characterisation of commercial military support. The warning had been received; the response concerned what the United States might do if its infrastructure were attacked. </w:t>
      </w:r>
    </w:p>
    <w:p w:rsidR="00C8735E" w:rsidRPr="00D70EA9" w:rsidRDefault="00000000">
      <w:pPr>
        <w:rPr>
          <w:rFonts w:ascii="Helvetica Neue" w:hAnsi="Helvetica Neue"/>
        </w:rPr>
      </w:pPr>
      <w:r w:rsidRPr="00D70EA9">
        <w:rPr>
          <w:rFonts w:ascii="Helvetica Neue" w:hAnsi="Helvetica Neue"/>
        </w:rPr>
        <w:t>SpaceX’s public position emerged more slowly. Starshield appeared in December 2022 as a national-security business for government customers, extending SpaceX capabilities into higher-security communications and Earth observation.</w:t>
      </w:r>
      <w:r w:rsidRPr="00D70EA9">
        <w:rPr>
          <w:rFonts w:ascii="Helvetica Neue" w:hAnsi="Helvetica Neue"/>
          <w:sz w:val="16"/>
          <w:szCs w:val="16"/>
        </w:rPr>
        <w:footnoteReference w:id="37"/>
      </w:r>
      <w:r w:rsidRPr="00D70EA9">
        <w:rPr>
          <w:rFonts w:ascii="Helvetica Neue" w:hAnsi="Helvetica Neue"/>
        </w:rPr>
        <w:t xml:space="preserve"> In February 2023, Shotwell said Starlink had never been intended to be “weaponized” and described offensive uses by Ukraine as outside the agreement. Her distinction was specific: “We know the military is using them for comms and that’s OK. But our intent was never to have them use it for offensive purposes.” She also said SpaceX had measures it could use, and had used, to limit that employment without identifying them.</w:t>
      </w:r>
      <w:r w:rsidR="00593F9B" w:rsidRPr="00D70EA9">
        <w:rPr>
          <w:rFonts w:ascii="Helvetica Neue" w:hAnsi="Helvetica Neue"/>
        </w:rPr>
        <w:t xml:space="preserve"> Shotwell did not identify those measures or explain how SpaceX distinguished </w:t>
      </w:r>
      <w:r w:rsidR="00593F9B" w:rsidRPr="00D70EA9">
        <w:rPr>
          <w:rFonts w:ascii="Helvetica Neue" w:hAnsi="Helvetica Neue"/>
        </w:rPr>
        <w:lastRenderedPageBreak/>
        <w:t>an acceptable military communication from an offensive use in practice.</w:t>
      </w:r>
      <w:r w:rsidRPr="00D70EA9">
        <w:rPr>
          <w:rFonts w:ascii="Helvetica Neue" w:hAnsi="Helvetica Neue"/>
          <w:sz w:val="16"/>
          <w:szCs w:val="16"/>
        </w:rPr>
        <w:footnoteReference w:id="38"/>
      </w:r>
      <w:r w:rsidRPr="00D70EA9">
        <w:rPr>
          <w:rFonts w:ascii="Helvetica Neue" w:hAnsi="Helvetica Neue"/>
        </w:rPr>
        <w:t xml:space="preserve"> By June, a US defence official confirmed a Pentagon contract for </w:t>
      </w:r>
      <w:proofErr w:type="spellStart"/>
      <w:r w:rsidRPr="00D70EA9">
        <w:rPr>
          <w:rFonts w:ascii="Helvetica Neue" w:hAnsi="Helvetica Neue"/>
        </w:rPr>
        <w:t>Starlink</w:t>
      </w:r>
      <w:proofErr w:type="spellEnd"/>
      <w:r w:rsidRPr="00D70EA9">
        <w:rPr>
          <w:rFonts w:ascii="Helvetica Neue" w:hAnsi="Helvetica Neue"/>
        </w:rPr>
        <w:t xml:space="preserve"> satellite-communications capabilities in Ukraine.</w:t>
      </w:r>
      <w:r w:rsidRPr="00D70EA9">
        <w:rPr>
          <w:rFonts w:ascii="Helvetica Neue" w:hAnsi="Helvetica Neue"/>
          <w:sz w:val="16"/>
          <w:szCs w:val="16"/>
        </w:rPr>
        <w:footnoteReference w:id="39"/>
      </w:r>
      <w:r w:rsidRPr="00D70EA9">
        <w:rPr>
          <w:rFonts w:ascii="Helvetica Neue" w:hAnsi="Helvetica Neue"/>
        </w:rPr>
        <w:t xml:space="preserve"> The relationship was changing in public view, although the sequence does not tell us what caused each change.</w:t>
      </w:r>
    </w:p>
    <w:p w:rsidR="00C8735E" w:rsidRPr="00D70EA9" w:rsidRDefault="001D36EC">
      <w:pPr>
        <w:rPr>
          <w:rFonts w:ascii="Helvetica Neue" w:hAnsi="Helvetica Neue"/>
        </w:rPr>
      </w:pPr>
      <w:r w:rsidRPr="00D70EA9">
        <w:rPr>
          <w:rFonts w:ascii="Helvetica Neue" w:hAnsi="Helvetica Neue"/>
        </w:rPr>
        <w:t xml:space="preserve">Sevastopol is useful for a different reason because the disclosure arrived long after the event. Reporting around Walter Isaacson’s biography placed a Ukrainian request involving Sevastopol in 2022, but the episode only became public in September 2023. </w:t>
      </w:r>
      <w:r w:rsidRPr="00D70EA9">
        <w:rPr>
          <w:rFonts w:ascii="Helvetica Neue" w:hAnsi="Helvetica Neue"/>
          <w:sz w:val="16"/>
          <w:szCs w:val="16"/>
        </w:rPr>
        <w:footnoteReference w:id="40"/>
      </w:r>
      <w:r w:rsidRPr="00D70EA9">
        <w:rPr>
          <w:rFonts w:ascii="Helvetica Neue" w:hAnsi="Helvetica Neue"/>
        </w:rPr>
        <w:t xml:space="preserve"> </w:t>
      </w:r>
      <w:r w:rsidR="00A63CDA" w:rsidRPr="00D70EA9">
        <w:rPr>
          <w:rFonts w:ascii="Helvetica Neue" w:hAnsi="Helvetica Neue"/>
        </w:rPr>
        <w:t xml:space="preserve">Musk’s posts described the request as one to activate </w:t>
      </w:r>
      <w:proofErr w:type="spellStart"/>
      <w:r w:rsidR="00A63CDA" w:rsidRPr="00D70EA9">
        <w:rPr>
          <w:rFonts w:ascii="Helvetica Neue" w:hAnsi="Helvetica Neue"/>
        </w:rPr>
        <w:t>Starlink</w:t>
      </w:r>
      <w:proofErr w:type="spellEnd"/>
      <w:r w:rsidR="00A63CDA" w:rsidRPr="00D70EA9">
        <w:rPr>
          <w:rFonts w:ascii="Helvetica Neue" w:hAnsi="Helvetica Neue"/>
        </w:rPr>
        <w:t xml:space="preserve"> “all the way to Sevastopol.” He also said the relevant regions “were not activated.”</w:t>
      </w:r>
      <w:r w:rsidRPr="00D70EA9">
        <w:rPr>
          <w:rFonts w:ascii="Helvetica Neue" w:hAnsi="Helvetica Neue"/>
          <w:sz w:val="16"/>
          <w:szCs w:val="16"/>
        </w:rPr>
        <w:footnoteReference w:id="41"/>
      </w:r>
      <w:r w:rsidRPr="00D70EA9">
        <w:rPr>
          <w:rFonts w:ascii="Helvetica Neue" w:hAnsi="Helvetica Neue"/>
        </w:rPr>
        <w:t xml:space="preserve"> </w:t>
      </w:r>
      <w:r w:rsidR="00A63CDA" w:rsidRPr="00D70EA9">
        <w:rPr>
          <w:rFonts w:ascii="Helvetica Neue" w:hAnsi="Helvetica Neue"/>
        </w:rPr>
        <w:t>Those posts appeared in September 2023 after Isaacson’s account became public. They were not part of the public record in 2022.</w:t>
      </w:r>
    </w:p>
    <w:p w:rsidR="00C8735E" w:rsidRPr="00D70EA9" w:rsidRDefault="00000000">
      <w:pPr>
        <w:pStyle w:val="Heading1"/>
        <w:rPr>
          <w:rFonts w:ascii="Helvetica Neue" w:hAnsi="Helvetica Neue"/>
        </w:rPr>
      </w:pPr>
      <w:r w:rsidRPr="00D70EA9">
        <w:rPr>
          <w:rFonts w:ascii="Helvetica Neue" w:hAnsi="Helvetica Neue"/>
        </w:rPr>
        <w:t>Testing the Information Contest</w:t>
      </w:r>
    </w:p>
    <w:p w:rsidR="00494C04" w:rsidRPr="00D70EA9" w:rsidRDefault="00A63CDA" w:rsidP="002A29DB">
      <w:pPr>
        <w:pStyle w:val="NormalWeb"/>
        <w:spacing w:line="360" w:lineRule="auto"/>
        <w:rPr>
          <w:rFonts w:ascii="Helvetica Neue" w:hAnsi="Helvetica Neue"/>
        </w:rPr>
      </w:pPr>
      <w:r w:rsidRPr="00D70EA9">
        <w:rPr>
          <w:rFonts w:ascii="Helvetica Neue" w:hAnsi="Helvetica Neue"/>
        </w:rPr>
        <w:t>Rid and Buchanan treat public communication as part of attribution itself, not as a separate step after assessment.</w:t>
      </w:r>
      <w:r w:rsidR="00637D67" w:rsidRPr="00D70EA9">
        <w:rPr>
          <w:rFonts w:ascii="Helvetica Neue" w:hAnsi="Helvetica Neue"/>
          <w:sz w:val="16"/>
          <w:szCs w:val="16"/>
        </w:rPr>
        <w:footnoteReference w:id="42"/>
      </w:r>
      <w:r w:rsidR="00637D67" w:rsidRPr="00D70EA9">
        <w:rPr>
          <w:rFonts w:ascii="Helvetica Neue" w:hAnsi="Helvetica Neue"/>
        </w:rPr>
        <w:t xml:space="preserve"> </w:t>
      </w:r>
      <w:r w:rsidRPr="00D70EA9">
        <w:rPr>
          <w:rFonts w:ascii="Helvetica Neue" w:hAnsi="Helvetica Neue"/>
        </w:rPr>
        <w:t>The EU declaration named Russia and connected the KA-SAT disruption to the opening of the invasion. It described “indiscriminate communication outages” affecting public authorities, businesses and users. The declaration also said the operation facilitated Russia’s military aggression and referred to expectations of responsible state behaviour.</w:t>
      </w:r>
      <w:r w:rsidR="00637D67" w:rsidRPr="00D70EA9">
        <w:rPr>
          <w:rFonts w:ascii="Helvetica Neue" w:hAnsi="Helvetica Neue"/>
          <w:sz w:val="16"/>
          <w:szCs w:val="16"/>
        </w:rPr>
        <w:footnoteReference w:id="43"/>
      </w:r>
      <w:r w:rsidR="00637D67" w:rsidRPr="00D70EA9">
        <w:rPr>
          <w:rFonts w:ascii="Helvetica Neue" w:hAnsi="Helvetica Neue"/>
        </w:rPr>
        <w:t xml:space="preserve"> </w:t>
      </w:r>
      <w:r w:rsidRPr="00D70EA9">
        <w:rPr>
          <w:rFonts w:ascii="Helvetica Neue" w:hAnsi="Helvetica Neue"/>
        </w:rPr>
        <w:t xml:space="preserve">The outage was already more than two months old when the declaration appeared. </w:t>
      </w:r>
      <w:r w:rsidR="002A29DB" w:rsidRPr="00D70EA9">
        <w:rPr>
          <w:rFonts w:ascii="Helvetica Neue" w:hAnsi="Helvetica Neue"/>
        </w:rPr>
        <w:t>By May there were therefore two public accounts of KA-SAT: the technical account of what had happened to the service and the political account of who was responsible and why.</w:t>
      </w:r>
      <w:r w:rsidR="00637D67" w:rsidRPr="00D70EA9">
        <w:rPr>
          <w:rFonts w:ascii="Helvetica Neue" w:hAnsi="Helvetica Neue"/>
        </w:rPr>
        <w:t xml:space="preserve"> </w:t>
      </w:r>
    </w:p>
    <w:p w:rsidR="002A29DB" w:rsidRPr="00D70EA9" w:rsidRDefault="002A29DB" w:rsidP="002A29DB">
      <w:pPr>
        <w:pStyle w:val="NormalWeb"/>
        <w:spacing w:line="360" w:lineRule="auto"/>
        <w:ind w:firstLine="720"/>
        <w:rPr>
          <w:rFonts w:ascii="Helvetica Neue" w:hAnsi="Helvetica Neue"/>
        </w:rPr>
      </w:pPr>
      <w:r w:rsidRPr="00D70EA9">
        <w:rPr>
          <w:rFonts w:ascii="Helvetica Neue" w:hAnsi="Helvetica Neue"/>
        </w:rPr>
        <w:t xml:space="preserve">Shotwell was talking about permission. SpaceX would allow military communications and reject “offensive purposes”, and she said the company had </w:t>
      </w:r>
      <w:r w:rsidRPr="00D70EA9">
        <w:rPr>
          <w:rFonts w:ascii="Helvetica Neue" w:hAnsi="Helvetica Neue"/>
        </w:rPr>
        <w:lastRenderedPageBreak/>
        <w:t>measures available to enforce that distinction.</w:t>
      </w:r>
      <w:r w:rsidR="00637D67" w:rsidRPr="00D70EA9">
        <w:rPr>
          <w:rFonts w:ascii="Helvetica Neue" w:hAnsi="Helvetica Neue"/>
          <w:sz w:val="16"/>
          <w:szCs w:val="16"/>
        </w:rPr>
        <w:footnoteReference w:id="44"/>
      </w:r>
      <w:r w:rsidR="00637D67" w:rsidRPr="00D70EA9">
        <w:rPr>
          <w:rFonts w:ascii="Helvetica Neue" w:hAnsi="Helvetica Neue"/>
        </w:rPr>
        <w:t xml:space="preserve"> </w:t>
      </w:r>
      <w:proofErr w:type="spellStart"/>
      <w:r w:rsidRPr="00D70EA9">
        <w:rPr>
          <w:rFonts w:ascii="Helvetica Neue" w:hAnsi="Helvetica Neue"/>
        </w:rPr>
        <w:t>Vorontsov</w:t>
      </w:r>
      <w:proofErr w:type="spellEnd"/>
      <w:r w:rsidRPr="00D70EA9">
        <w:rPr>
          <w:rFonts w:ascii="Helvetica Neue" w:hAnsi="Helvetica Neue"/>
        </w:rPr>
        <w:t xml:space="preserve"> was making a different kind of claim. He treated military use of commercial infrastructure as “indirect participation” </w:t>
      </w:r>
      <w:r w:rsidR="00955264" w:rsidRPr="00955264">
        <w:rPr>
          <w:rFonts w:ascii="Helvetica Neue" w:hAnsi="Helvetica Neue"/>
        </w:rPr>
        <w:t>and raised the possibility of retaliation</w:t>
      </w:r>
      <w:r w:rsidRPr="00D70EA9">
        <w:rPr>
          <w:rFonts w:ascii="Helvetica Neue" w:hAnsi="Helvetica Neue"/>
        </w:rPr>
        <w:t>.</w:t>
      </w:r>
      <w:r w:rsidR="00637D67" w:rsidRPr="00D70EA9">
        <w:rPr>
          <w:rFonts w:ascii="Helvetica Neue" w:hAnsi="Helvetica Neue"/>
          <w:sz w:val="16"/>
          <w:szCs w:val="16"/>
        </w:rPr>
        <w:footnoteReference w:id="45"/>
      </w:r>
      <w:r w:rsidR="00637D67" w:rsidRPr="00D70EA9">
        <w:rPr>
          <w:rFonts w:ascii="Helvetica Neue" w:hAnsi="Helvetica Neue"/>
        </w:rPr>
        <w:t xml:space="preserve"> </w:t>
      </w:r>
      <w:r w:rsidRPr="00D70EA9">
        <w:rPr>
          <w:rFonts w:ascii="Helvetica Neue" w:hAnsi="Helvetica Neue"/>
        </w:rPr>
        <w:t>The two positions did not meet at a common threshold.</w:t>
      </w:r>
    </w:p>
    <w:p w:rsidR="00C8735E" w:rsidRPr="00D70EA9" w:rsidRDefault="002A29DB" w:rsidP="002A29DB">
      <w:pPr>
        <w:pStyle w:val="NormalWeb"/>
        <w:spacing w:line="360" w:lineRule="auto"/>
        <w:ind w:firstLine="720"/>
        <w:rPr>
          <w:rFonts w:ascii="Helvetica Neue" w:hAnsi="Helvetica Neue"/>
        </w:rPr>
      </w:pPr>
      <w:r w:rsidRPr="00D70EA9">
        <w:rPr>
          <w:rFonts w:ascii="Helvetica Neue" w:hAnsi="Helvetica Neue"/>
        </w:rPr>
        <w:t>Article 52 cuts across both. It asks about an object rather than a provider’s contract or a state’s political label. The object must make an effective contribution to military action, and attacking it must offer a definite military advantage in the circumstances at the time.</w:t>
      </w:r>
      <w:r w:rsidR="00637D67" w:rsidRPr="00D70EA9">
        <w:rPr>
          <w:rFonts w:ascii="Helvetica Neue" w:hAnsi="Helvetica Neue"/>
          <w:sz w:val="16"/>
          <w:szCs w:val="16"/>
        </w:rPr>
        <w:footnoteReference w:id="46"/>
      </w:r>
      <w:r w:rsidR="00637D67" w:rsidRPr="00D70EA9">
        <w:rPr>
          <w:rFonts w:ascii="Helvetica Neue" w:hAnsi="Helvetica Neue"/>
        </w:rPr>
        <w:t xml:space="preserve"> </w:t>
      </w:r>
      <w:r w:rsidR="00E1429E" w:rsidRPr="00D70EA9">
        <w:rPr>
          <w:rFonts w:ascii="Helvetica Neue" w:hAnsi="Helvetica Neue"/>
        </w:rPr>
        <w:t>The Woomera Manual makes the same separation when it discusses military communications. A communication function may make an effective contribution to military action, but that does not by itself establish the definite military advantage expected from attacking the object. That second requirement still has to be assessed in the circumstances at the time, and the other rules governing attack continue to apply.</w:t>
      </w:r>
      <w:r w:rsidR="00637D67" w:rsidRPr="00D70EA9">
        <w:rPr>
          <w:rFonts w:ascii="Helvetica Neue" w:hAnsi="Helvetica Neue"/>
          <w:sz w:val="16"/>
          <w:szCs w:val="16"/>
        </w:rPr>
        <w:footnoteReference w:id="47"/>
      </w:r>
      <w:r w:rsidR="00637D67" w:rsidRPr="00D70EA9">
        <w:rPr>
          <w:rFonts w:ascii="Helvetica Neue" w:hAnsi="Helvetica Neue"/>
        </w:rPr>
        <w:t xml:space="preserve"> </w:t>
      </w:r>
      <w:r w:rsidR="003531A4" w:rsidRPr="00D70EA9">
        <w:rPr>
          <w:rFonts w:ascii="Helvetica Neue" w:hAnsi="Helvetica Neue"/>
        </w:rPr>
        <w:t xml:space="preserve">SpaceX could police its own service. That did not make its private boundary the legal one. </w:t>
      </w:r>
      <w:r w:rsidR="00637D67" w:rsidRPr="00D70EA9">
        <w:rPr>
          <w:rFonts w:ascii="Helvetica Neue" w:hAnsi="Helvetica Neue"/>
        </w:rPr>
        <w:t xml:space="preserve">More detail about a terminal, gateway or service setting could narrow the factual inquiry. Wiener’s meaning-in-use places normative meaning in practice rather than in wording alone. </w:t>
      </w:r>
      <w:r w:rsidR="00637D67" w:rsidRPr="00D70EA9">
        <w:rPr>
          <w:rFonts w:ascii="Helvetica Neue" w:hAnsi="Helvetica Neue"/>
          <w:sz w:val="16"/>
          <w:szCs w:val="16"/>
        </w:rPr>
        <w:footnoteReference w:id="48"/>
      </w:r>
    </w:p>
    <w:p w:rsidR="00E1429E" w:rsidRPr="00D70EA9" w:rsidRDefault="00637D67" w:rsidP="00E1429E">
      <w:pPr>
        <w:rPr>
          <w:rFonts w:ascii="Helvetica Neue" w:hAnsi="Helvetica Neue"/>
        </w:rPr>
      </w:pPr>
      <w:r w:rsidRPr="00D70EA9">
        <w:rPr>
          <w:rFonts w:ascii="Helvetica Neue" w:hAnsi="Helvetica Neue"/>
        </w:rPr>
        <w:t xml:space="preserve">Published guidance gives other actors more to work with than inference alone. </w:t>
      </w:r>
      <w:proofErr w:type="spellStart"/>
      <w:r w:rsidRPr="00D70EA9">
        <w:rPr>
          <w:rFonts w:ascii="Helvetica Neue" w:hAnsi="Helvetica Neue"/>
        </w:rPr>
        <w:t>Kuplic</w:t>
      </w:r>
      <w:proofErr w:type="spellEnd"/>
      <w:r w:rsidRPr="00D70EA9">
        <w:rPr>
          <w:rFonts w:ascii="Helvetica Neue" w:hAnsi="Helvetica Neue"/>
        </w:rPr>
        <w:t xml:space="preserve"> and Sawmiller connect guidance, state practice and dialogue with the development of common understandings and fewer misunderstandings or miscalculations</w:t>
      </w:r>
      <w:r w:rsidR="006C67BE" w:rsidRPr="00D70EA9">
        <w:rPr>
          <w:rFonts w:ascii="Helvetica Neue" w:hAnsi="Helvetica Neue"/>
        </w:rPr>
        <w:t>.</w:t>
      </w:r>
      <w:r w:rsidRPr="00D70EA9">
        <w:rPr>
          <w:rFonts w:ascii="Helvetica Neue" w:hAnsi="Helvetica Neue"/>
          <w:sz w:val="16"/>
          <w:szCs w:val="16"/>
        </w:rPr>
        <w:footnoteReference w:id="49"/>
      </w:r>
      <w:r w:rsidRPr="00D70EA9">
        <w:rPr>
          <w:rFonts w:ascii="Helvetica Neue" w:hAnsi="Helvetica Neue"/>
        </w:rPr>
        <w:t xml:space="preserve"> </w:t>
      </w:r>
      <w:r w:rsidR="000A547C" w:rsidRPr="00D70EA9">
        <w:rPr>
          <w:rFonts w:ascii="Helvetica Neue" w:hAnsi="Helvetica Neue"/>
        </w:rPr>
        <w:t xml:space="preserve">The OEWG considered dual-use systems, commercial participation, </w:t>
      </w:r>
      <w:proofErr w:type="spellStart"/>
      <w:r w:rsidR="000A547C" w:rsidRPr="00D70EA9">
        <w:rPr>
          <w:rFonts w:ascii="Helvetica Neue" w:hAnsi="Helvetica Neue"/>
        </w:rPr>
        <w:t>megaconstellations</w:t>
      </w:r>
      <w:proofErr w:type="spellEnd"/>
      <w:r w:rsidR="000A547C" w:rsidRPr="00D70EA9">
        <w:rPr>
          <w:rFonts w:ascii="Helvetica Neue" w:hAnsi="Helvetica Neue"/>
        </w:rPr>
        <w:t xml:space="preserve"> used during military operations, humanitarian consequences from disabling space assets and cyber counterspace threats. No consensus substantive report followed. UNIDIR nevertheless identified several areas where states had moved closer together. It also found cross-regional support for using political commitments alongside legally binding measures.</w:t>
      </w:r>
      <w:r w:rsidRPr="00D70EA9">
        <w:rPr>
          <w:rFonts w:ascii="Helvetica Neue" w:hAnsi="Helvetica Neue"/>
          <w:sz w:val="16"/>
          <w:szCs w:val="16"/>
        </w:rPr>
        <w:footnoteReference w:id="50"/>
      </w:r>
      <w:r w:rsidRPr="00D70EA9">
        <w:rPr>
          <w:rFonts w:ascii="Helvetica Neue" w:hAnsi="Helvetica Neue"/>
        </w:rPr>
        <w:t xml:space="preserve"> </w:t>
      </w:r>
      <w:r w:rsidR="000A547C" w:rsidRPr="00D70EA9">
        <w:rPr>
          <w:rFonts w:ascii="Helvetica Neue" w:hAnsi="Helvetica Neue"/>
        </w:rPr>
        <w:t xml:space="preserve">The 2024 PAROS </w:t>
      </w:r>
      <w:r w:rsidR="000A547C" w:rsidRPr="00D70EA9">
        <w:rPr>
          <w:rFonts w:ascii="Helvetica Neue" w:hAnsi="Helvetica Neue"/>
        </w:rPr>
        <w:lastRenderedPageBreak/>
        <w:t xml:space="preserve">Group of Governmental Experts later adopted its report by consensus. </w:t>
      </w:r>
      <w:r w:rsidRPr="00D70EA9">
        <w:rPr>
          <w:rFonts w:ascii="Helvetica Neue" w:hAnsi="Helvetica Neue"/>
          <w:sz w:val="16"/>
          <w:szCs w:val="16"/>
        </w:rPr>
        <w:footnoteReference w:id="51"/>
      </w:r>
      <w:r w:rsidRPr="00D70EA9">
        <w:rPr>
          <w:rFonts w:ascii="Helvetica Neue" w:hAnsi="Helvetica Neue"/>
        </w:rPr>
        <w:t xml:space="preserve"> </w:t>
      </w:r>
      <w:r w:rsidR="002A29DB" w:rsidRPr="00D70EA9">
        <w:rPr>
          <w:rFonts w:ascii="Helvetica Neue" w:hAnsi="Helvetica Neue"/>
        </w:rPr>
        <w:t>Fearon’s problem survives all of this. Public discussion can expose a position without exposing the information behind it. A state may still conceal capability or resolve, and may still have reasons to present either misleadingly.</w:t>
      </w:r>
      <w:r w:rsidRPr="00D70EA9">
        <w:rPr>
          <w:rFonts w:ascii="Helvetica Neue" w:hAnsi="Helvetica Neue"/>
          <w:sz w:val="16"/>
          <w:szCs w:val="16"/>
        </w:rPr>
        <w:footnoteReference w:id="52"/>
      </w:r>
      <w:r w:rsidRPr="00D70EA9">
        <w:rPr>
          <w:rFonts w:ascii="Helvetica Neue" w:hAnsi="Helvetica Neue"/>
        </w:rPr>
        <w:t xml:space="preserve"> </w:t>
      </w:r>
    </w:p>
    <w:p w:rsidR="00E1429E" w:rsidRPr="00D70EA9" w:rsidRDefault="002A29DB" w:rsidP="00E1429E">
      <w:pPr>
        <w:rPr>
          <w:rFonts w:ascii="Helvetica Neue" w:hAnsi="Helvetica Neue"/>
        </w:rPr>
      </w:pPr>
      <w:r w:rsidRPr="00D70EA9">
        <w:rPr>
          <w:rFonts w:ascii="Helvetica Neue" w:hAnsi="Helvetica Neue"/>
        </w:rPr>
        <w:t>Vorontsov spoke on 26 October 2022. The White House responded the following day, although its answer concerned the threatened attack on US infrastructure rather than Russia’s definition of participation.</w:t>
      </w:r>
      <w:r w:rsidRPr="00D70EA9">
        <w:rPr>
          <w:rStyle w:val="FootnoteReference"/>
          <w:rFonts w:ascii="Helvetica Neue" w:hAnsi="Helvetica Neue"/>
        </w:rPr>
        <w:footnoteReference w:id="53"/>
      </w:r>
      <w:r w:rsidRPr="00D70EA9">
        <w:rPr>
          <w:rFonts w:ascii="Helvetica Neue" w:hAnsi="Helvetica Neue"/>
        </w:rPr>
        <w:t xml:space="preserve"> Starshield appeared in December. Shotwell discussed SpaceX’s restrictions in February 2023, and the Pentagon contract became public in June. Put in a line, those events can look like stages in the same development. The public record does not establish that relationship. Battlefield requirements were changing during the same period, contracts were being negotiated and concerns about escalation were also present. The dates establish sequence. They do not tell us which event produced another.</w:t>
      </w:r>
    </w:p>
    <w:p w:rsidR="00C8735E" w:rsidRPr="00D70EA9" w:rsidRDefault="00E1429E" w:rsidP="00E1429E">
      <w:pPr>
        <w:rPr>
          <w:rFonts w:ascii="Helvetica Neue" w:hAnsi="Helvetica Neue"/>
        </w:rPr>
      </w:pPr>
      <w:r w:rsidRPr="00D70EA9">
        <w:rPr>
          <w:rFonts w:ascii="Helvetica Neue" w:hAnsi="Helvetica Neue"/>
        </w:rPr>
        <w:t>Paul’s warning about measures of effectiveness matters for that reason. An observed response is weak evidence that an earlier message caused it when other explanations remain available.</w:t>
      </w:r>
      <w:r w:rsidR="00637D67" w:rsidRPr="00D70EA9">
        <w:rPr>
          <w:rFonts w:ascii="Helvetica Neue" w:hAnsi="Helvetica Neue"/>
          <w:sz w:val="16"/>
          <w:szCs w:val="16"/>
        </w:rPr>
        <w:footnoteReference w:id="54"/>
      </w:r>
      <w:r w:rsidR="00637D67" w:rsidRPr="00D70EA9">
        <w:rPr>
          <w:rFonts w:ascii="Helvetica Neue" w:hAnsi="Helvetica Neue"/>
        </w:rPr>
        <w:t xml:space="preserve"> </w:t>
      </w:r>
      <w:r w:rsidRPr="00D70EA9">
        <w:rPr>
          <w:rFonts w:ascii="Helvetica Neue" w:hAnsi="Helvetica Neue"/>
        </w:rPr>
        <w:t>The same problem applies when later evidence is read back into an earlier period. A later acknowledgement of military use may tell us more about a particular function or relationship, but it cannot alter what was publicly known in October 2022. Later disclosure improves the reconstruction of events; it does not move the disclosure itself backwards in time.</w:t>
      </w:r>
      <w:r w:rsidR="00637D67" w:rsidRPr="00D70EA9">
        <w:rPr>
          <w:rFonts w:ascii="Helvetica Neue" w:hAnsi="Helvetica Neue"/>
        </w:rPr>
        <w:t xml:space="preserve"> Nor can it be used to assume that every satellite, gateway or terminal satisfied Article 52 at the earlier point in time.</w:t>
      </w:r>
      <w:r w:rsidR="00637D67" w:rsidRPr="00D70EA9">
        <w:rPr>
          <w:rFonts w:ascii="Helvetica Neue" w:hAnsi="Helvetica Neue"/>
          <w:sz w:val="16"/>
          <w:szCs w:val="16"/>
        </w:rPr>
        <w:footnoteReference w:id="55"/>
      </w:r>
    </w:p>
    <w:p w:rsidR="00C8735E" w:rsidRPr="00D70EA9" w:rsidRDefault="00000000" w:rsidP="00E1429E">
      <w:pPr>
        <w:pStyle w:val="Heading1"/>
        <w:ind w:firstLine="0"/>
        <w:rPr>
          <w:rFonts w:ascii="Helvetica Neue" w:hAnsi="Helvetica Neue"/>
        </w:rPr>
      </w:pPr>
      <w:r w:rsidRPr="00D70EA9">
        <w:rPr>
          <w:rFonts w:ascii="Helvetica Neue" w:hAnsi="Helvetica Neue"/>
        </w:rPr>
        <w:t>Implications and Responses</w:t>
      </w:r>
    </w:p>
    <w:p w:rsidR="00CC0F65" w:rsidRPr="00D70EA9" w:rsidRDefault="00E15C80" w:rsidP="005F41FA">
      <w:pPr>
        <w:pStyle w:val="NormalWeb"/>
        <w:spacing w:line="360" w:lineRule="auto"/>
        <w:rPr>
          <w:rFonts w:ascii="Helvetica Neue" w:hAnsi="Helvetica Neue"/>
        </w:rPr>
      </w:pPr>
      <w:r w:rsidRPr="00D70EA9">
        <w:rPr>
          <w:rFonts w:ascii="Helvetica Neue" w:hAnsi="Helvetica Neue"/>
        </w:rPr>
        <w:t xml:space="preserve">SpaceX could still alter coverage and use conditions after </w:t>
      </w:r>
      <w:proofErr w:type="spellStart"/>
      <w:r w:rsidRPr="00D70EA9">
        <w:rPr>
          <w:rFonts w:ascii="Helvetica Neue" w:hAnsi="Helvetica Neue"/>
        </w:rPr>
        <w:t>Starlink</w:t>
      </w:r>
      <w:proofErr w:type="spellEnd"/>
      <w:r w:rsidRPr="00D70EA9">
        <w:rPr>
          <w:rFonts w:ascii="Helvetica Neue" w:hAnsi="Helvetica Neue"/>
        </w:rPr>
        <w:t xml:space="preserve"> had become operationally important in Ukraine.</w:t>
      </w:r>
      <w:r w:rsidR="00530F08" w:rsidRPr="00D70EA9">
        <w:rPr>
          <w:rFonts w:ascii="Helvetica Neue" w:hAnsi="Helvetica Neue"/>
          <w:sz w:val="16"/>
          <w:szCs w:val="16"/>
        </w:rPr>
        <w:footnoteReference w:id="56"/>
      </w:r>
      <w:r w:rsidR="00203A4E" w:rsidRPr="00D70EA9">
        <w:rPr>
          <w:rFonts w:ascii="Helvetica Neue" w:hAnsi="Helvetica Neue"/>
        </w:rPr>
        <w:t xml:space="preserve"> </w:t>
      </w:r>
      <w:r w:rsidRPr="00D70EA9">
        <w:rPr>
          <w:rFonts w:ascii="Helvetica Neue" w:hAnsi="Helvetica Neue"/>
        </w:rPr>
        <w:t xml:space="preserve">Once a service reaches that point, a change in coverage is no longer an ordinary provider decision for the government relying on it. The contract can address that earlier. Notice before changes to coverage or functionality can be agreed before deployment. Permitted military uses can also be </w:t>
      </w:r>
      <w:r w:rsidRPr="00D70EA9">
        <w:rPr>
          <w:rFonts w:ascii="Helvetica Neue" w:hAnsi="Helvetica Neue"/>
        </w:rPr>
        <w:lastRenderedPageBreak/>
        <w:t xml:space="preserve">specified there. </w:t>
      </w:r>
      <w:r w:rsidR="007D0AAD" w:rsidRPr="00D70EA9">
        <w:rPr>
          <w:rFonts w:ascii="Helvetica Neue" w:hAnsi="Helvetica Neue"/>
        </w:rPr>
        <w:t xml:space="preserve">Some decisions may remain with the provider; others may require government approval or consultation between the two. Disclosure and escalation-sensitive decisions can be dealt with before they arise during an operation. </w:t>
      </w:r>
      <w:r w:rsidR="007D0AAD" w:rsidRPr="00D70EA9">
        <w:rPr>
          <w:rStyle w:val="Strong"/>
          <w:rFonts w:ascii="Helvetica Neue" w:eastAsiaTheme="majorEastAsia" w:hAnsi="Helvetica Neue"/>
          <w:b w:val="0"/>
          <w:bCs w:val="0"/>
        </w:rPr>
        <w:t>Technical restrictions on coverage or functionality could also be agreed beforehand; geofencing is one option that could be considered.</w:t>
      </w:r>
      <w:r w:rsidR="007D0AAD" w:rsidRPr="00D70EA9">
        <w:rPr>
          <w:rFonts w:ascii="Helvetica Neue" w:hAnsi="Helvetica Neue"/>
          <w:b/>
          <w:bCs/>
        </w:rPr>
        <w:t xml:space="preserve"> </w:t>
      </w:r>
      <w:r w:rsidR="007D0AAD" w:rsidRPr="00D70EA9">
        <w:rPr>
          <w:rFonts w:ascii="Helvetica Neue" w:hAnsi="Helvetica Neue"/>
        </w:rPr>
        <w:t xml:space="preserve">More state authority leaves another issue. A provider tied closely to military requirements may also become more closely embedded in military activity. </w:t>
      </w:r>
    </w:p>
    <w:p w:rsidR="00C8735E" w:rsidRPr="00D70EA9" w:rsidRDefault="00E15C80" w:rsidP="00CC0F65">
      <w:pPr>
        <w:pStyle w:val="NormalWeb"/>
        <w:spacing w:line="360" w:lineRule="auto"/>
        <w:ind w:firstLine="720"/>
        <w:rPr>
          <w:rFonts w:ascii="Helvetica Neue" w:hAnsi="Helvetica Neue"/>
        </w:rPr>
      </w:pPr>
      <w:r w:rsidRPr="00D70EA9">
        <w:rPr>
          <w:rFonts w:ascii="Helvetica Neue" w:hAnsi="Helvetica Neue"/>
        </w:rPr>
        <w:t>KA-SAT points to a different kind of failure. The vulnerable point sat in the path into the service rather than in destruction of the spacecraft itself</w:t>
      </w:r>
      <w:r w:rsidR="00530F08" w:rsidRPr="00D70EA9">
        <w:rPr>
          <w:rFonts w:ascii="Helvetica Neue" w:hAnsi="Helvetica Neue"/>
        </w:rPr>
        <w:t>. Defence users need alternative communications paths, and some separation between military functions and heavily civilian-dependent services may be sensible where feasible. The ICRC treats segregation of military and civilian use as one possible precaution rather than an absolute rule.</w:t>
      </w:r>
      <w:r w:rsidR="00530F08" w:rsidRPr="00D70EA9">
        <w:rPr>
          <w:rFonts w:ascii="Helvetica Neue" w:hAnsi="Helvetica Neue"/>
          <w:sz w:val="16"/>
          <w:szCs w:val="16"/>
        </w:rPr>
        <w:footnoteReference w:id="57"/>
      </w:r>
      <w:r w:rsidR="00530F08" w:rsidRPr="00D70EA9">
        <w:rPr>
          <w:rFonts w:ascii="Helvetica Neue" w:hAnsi="Helvetica Neue"/>
        </w:rPr>
        <w:t xml:space="preserve"> </w:t>
      </w:r>
      <w:proofErr w:type="spellStart"/>
      <w:r w:rsidR="00530F08" w:rsidRPr="00D70EA9">
        <w:rPr>
          <w:rFonts w:ascii="Helvetica Neue" w:hAnsi="Helvetica Neue"/>
        </w:rPr>
        <w:t>Viasat’s</w:t>
      </w:r>
      <w:proofErr w:type="spellEnd"/>
      <w:r w:rsidR="00530F08" w:rsidRPr="00D70EA9">
        <w:rPr>
          <w:rFonts w:ascii="Helvetica Neue" w:hAnsi="Helvetica Neue"/>
        </w:rPr>
        <w:t xml:space="preserve"> account places the vulnerable point in a management function and service partition rather than the satellite as a whole.</w:t>
      </w:r>
      <w:r w:rsidR="00530F08" w:rsidRPr="00D70EA9">
        <w:rPr>
          <w:rFonts w:ascii="Helvetica Neue" w:hAnsi="Helvetica Neue"/>
          <w:sz w:val="16"/>
          <w:szCs w:val="16"/>
        </w:rPr>
        <w:footnoteReference w:id="58"/>
      </w:r>
      <w:r w:rsidR="00530F08" w:rsidRPr="00D70EA9">
        <w:rPr>
          <w:rFonts w:ascii="Helvetica Neue" w:hAnsi="Helvetica Neue"/>
        </w:rPr>
        <w:t xml:space="preserve"> </w:t>
      </w:r>
      <w:r w:rsidR="005F41FA" w:rsidRPr="00D70EA9">
        <w:rPr>
          <w:rFonts w:ascii="Helvetica Neue" w:hAnsi="Helvetica Neue"/>
        </w:rPr>
        <w:t xml:space="preserve">Bi and Zhu’s smallest-feasible-function approach keeps attention on dependencies and cascading effects at the functional level. </w:t>
      </w:r>
      <w:r w:rsidR="00530F08" w:rsidRPr="00D70EA9">
        <w:rPr>
          <w:rFonts w:ascii="Helvetica Neue" w:hAnsi="Helvetica Neue"/>
          <w:sz w:val="16"/>
          <w:szCs w:val="16"/>
        </w:rPr>
        <w:footnoteReference w:id="59"/>
      </w:r>
      <w:r w:rsidR="005F41FA" w:rsidRPr="00D70EA9">
        <w:rPr>
          <w:rFonts w:ascii="Helvetica Neue" w:hAnsi="Helvetica Neue"/>
        </w:rPr>
        <w:t xml:space="preserve"> Complete separation is not always technically or economically sensible. Too much segmentation can also sacrifice the scale and redundancy that make commercial services useful.</w:t>
      </w:r>
    </w:p>
    <w:p w:rsidR="00C8735E" w:rsidRPr="00D70EA9" w:rsidRDefault="00530F08" w:rsidP="00530F08">
      <w:pPr>
        <w:rPr>
          <w:rFonts w:ascii="Helvetica Neue" w:hAnsi="Helvetica Neue"/>
        </w:rPr>
      </w:pPr>
      <w:r w:rsidRPr="00D70EA9">
        <w:rPr>
          <w:rFonts w:ascii="Helvetica Neue" w:hAnsi="Helvetica Neue"/>
        </w:rPr>
        <w:t>Commercial operators also hold much of the technical knowledge needed to judge whether proposed rules are workable. UNIDIR notes that commercial entities make up around 80 per cent of the space economy, and the OEWG was open to industry and civil-society participation.</w:t>
      </w:r>
      <w:r w:rsidRPr="00D70EA9">
        <w:rPr>
          <w:rFonts w:ascii="Helvetica Neue" w:hAnsi="Helvetica Neue"/>
          <w:sz w:val="16"/>
          <w:szCs w:val="16"/>
        </w:rPr>
        <w:footnoteReference w:id="60"/>
      </w:r>
      <w:r w:rsidRPr="00D70EA9">
        <w:rPr>
          <w:rFonts w:ascii="Helvetica Neue" w:hAnsi="Helvetica Neue"/>
        </w:rPr>
        <w:t xml:space="preserve"> Their role does not make them public authorities, but service dependencies, technical feasibility and likely effects can be missed if they are absent from the discussion. </w:t>
      </w:r>
      <w:r w:rsidR="00EB0237" w:rsidRPr="00D70EA9">
        <w:rPr>
          <w:rFonts w:ascii="Helvetica Neue" w:hAnsi="Helvetica Neue"/>
        </w:rPr>
        <w:t xml:space="preserve">West and </w:t>
      </w:r>
      <w:proofErr w:type="spellStart"/>
      <w:r w:rsidR="00EB0237" w:rsidRPr="00D70EA9">
        <w:rPr>
          <w:rFonts w:ascii="Helvetica Neue" w:hAnsi="Helvetica Neue"/>
        </w:rPr>
        <w:t>Azcárate</w:t>
      </w:r>
      <w:proofErr w:type="spellEnd"/>
      <w:r w:rsidR="00EB0237" w:rsidRPr="00D70EA9">
        <w:rPr>
          <w:rFonts w:ascii="Helvetica Neue" w:hAnsi="Helvetica Neue"/>
        </w:rPr>
        <w:t xml:space="preserve"> Ortega identify acceptance, implementation and trust as conditions on how norms operate in practice.</w:t>
      </w:r>
      <w:r w:rsidRPr="00D70EA9">
        <w:rPr>
          <w:rFonts w:ascii="Helvetica Neue" w:hAnsi="Helvetica Neue"/>
          <w:sz w:val="16"/>
          <w:szCs w:val="16"/>
        </w:rPr>
        <w:footnoteReference w:id="61"/>
      </w:r>
      <w:r w:rsidRPr="00D70EA9">
        <w:rPr>
          <w:rFonts w:ascii="Helvetica Neue" w:hAnsi="Helvetica Neue"/>
        </w:rPr>
        <w:t xml:space="preserve"> </w:t>
      </w:r>
    </w:p>
    <w:p w:rsidR="00C8735E" w:rsidRPr="00D70EA9" w:rsidRDefault="00000000">
      <w:pPr>
        <w:pStyle w:val="Heading1"/>
        <w:rPr>
          <w:rFonts w:ascii="Helvetica Neue" w:hAnsi="Helvetica Neue"/>
        </w:rPr>
      </w:pPr>
      <w:r w:rsidRPr="00D70EA9">
        <w:rPr>
          <w:rFonts w:ascii="Helvetica Neue" w:hAnsi="Helvetica Neue"/>
        </w:rPr>
        <w:lastRenderedPageBreak/>
        <w:t>Conclusion</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KA-SAT makes “commercial SATCOM” look like too large a category. The satellite was not the point through which the destructive activity entered the service. Viasat instead traced it through a management function serving a consumer-oriented partition. Civilian disruption was clear. The extent of military disruption was not. That difference matters because Article 52 is concerned with the object in the circumstances at the time, not with whether a network can generally be described as dual-use or commercially owned.</w:t>
      </w:r>
    </w:p>
    <w:p w:rsidR="00CC346E" w:rsidRPr="00F40772" w:rsidRDefault="00CC346E" w:rsidP="00CC346E">
      <w:pPr>
        <w:pStyle w:val="NormalWeb"/>
        <w:spacing w:line="360" w:lineRule="auto"/>
        <w:rPr>
          <w:rFonts w:ascii="Helvetica Neue" w:hAnsi="Helvetica Neue"/>
        </w:rPr>
      </w:pPr>
      <w:proofErr w:type="spellStart"/>
      <w:r w:rsidRPr="00D70EA9">
        <w:rPr>
          <w:rFonts w:ascii="Helvetica Neue" w:hAnsi="Helvetica Neue"/>
        </w:rPr>
        <w:t>Starlink</w:t>
      </w:r>
      <w:proofErr w:type="spellEnd"/>
      <w:r w:rsidRPr="00D70EA9">
        <w:rPr>
          <w:rFonts w:ascii="Helvetica Neue" w:hAnsi="Helvetica Neue"/>
        </w:rPr>
        <w:t xml:space="preserve"> exposed another kind of division. Ukraine could depend on the service without controlling it. SpaceX retained authority over coverage and over uses it considered outside its agreement. That authority became strategically important precisely because the network was already useful to Ukrainian forces. Russia then described Western military reliance on commercial infrastructure in much broader terms, as “indirect participation”, and raised</w:t>
      </w:r>
      <w:r w:rsidR="00796822">
        <w:rPr>
          <w:rFonts w:ascii="Helvetica Neue" w:hAnsi="Helvetica Neue"/>
        </w:rPr>
        <w:t xml:space="preserve"> the possibility of</w:t>
      </w:r>
      <w:r w:rsidRPr="00D70EA9">
        <w:rPr>
          <w:rFonts w:ascii="Helvetica Neue" w:hAnsi="Helvetica Neue"/>
        </w:rPr>
        <w:t xml:space="preserve"> retaliation. The White House answered the threat to US infrastructure rather than accepting or rejecting that category. Shotwell later described a provider boundary between communications and offensive use. These positions sat beside one another without producing one </w:t>
      </w:r>
      <w:r w:rsidRPr="00F40772">
        <w:rPr>
          <w:rFonts w:ascii="Helvetica Neue" w:hAnsi="Helvetica Neue"/>
        </w:rPr>
        <w:t>definition.</w:t>
      </w:r>
    </w:p>
    <w:p w:rsidR="00CC346E" w:rsidRPr="00F40772" w:rsidRDefault="00F40772" w:rsidP="00CC346E">
      <w:pPr>
        <w:pStyle w:val="NormalWeb"/>
        <w:spacing w:line="360" w:lineRule="auto"/>
        <w:rPr>
          <w:rFonts w:ascii="Helvetica Neue" w:hAnsi="Helvetica Neue"/>
        </w:rPr>
      </w:pPr>
      <w:r w:rsidRPr="00F40772">
        <w:rPr>
          <w:rFonts w:ascii="Helvetica Neue" w:hAnsi="Helvetica Neue"/>
        </w:rPr>
        <w:t xml:space="preserve">By </w:t>
      </w:r>
      <w:r w:rsidRPr="00796822">
        <w:rPr>
          <w:rFonts w:ascii="Helvetica Neue" w:hAnsi="Helvetica Neue"/>
        </w:rPr>
        <w:t xml:space="preserve">that point, more of the disagreement had entered the public record. </w:t>
      </w:r>
      <w:r w:rsidR="00796822" w:rsidRPr="00796822">
        <w:rPr>
          <w:rFonts w:ascii="Helvetica Neue" w:hAnsi="Helvetica Neue"/>
        </w:rPr>
        <w:t>Russia had not said exactly what conduct would cross its threshold for retaliation. SpaceX had not explained how it distinguished acceptable military communications from offensive use in practice</w:t>
      </w:r>
      <w:r w:rsidRPr="00F40772">
        <w:rPr>
          <w:rFonts w:ascii="Helvetica Neue" w:hAnsi="Helvetica Neue"/>
        </w:rPr>
        <w:t>. None of those statements supplied a threshold that all three accepted</w:t>
      </w:r>
      <w:r w:rsidR="00B90248">
        <w:rPr>
          <w:rFonts w:ascii="Helvetica Neue" w:hAnsi="Helvetica Neue"/>
        </w:rPr>
        <w:t>.</w:t>
      </w:r>
    </w:p>
    <w:p w:rsidR="00CC346E" w:rsidRPr="00F40772" w:rsidRDefault="00F40772" w:rsidP="00CC346E">
      <w:pPr>
        <w:pStyle w:val="NormalWeb"/>
        <w:spacing w:line="360" w:lineRule="auto"/>
        <w:rPr>
          <w:rFonts w:ascii="Helvetica Neue" w:hAnsi="Helvetica Neue"/>
        </w:rPr>
      </w:pPr>
      <w:r w:rsidRPr="00F40772">
        <w:rPr>
          <w:rFonts w:ascii="Helvetica Neue" w:hAnsi="Helvetica Neue"/>
        </w:rPr>
        <w:t>Governments faced a more immediate problem. Ukrainian forces could rely on a commercial service without controlling its coverage, functionality or permitted use. Those questions can be settled before deployment, and another communications path can be kept available if the service changes or fails. Providers will still hold technical knowledge about the network that ownership of the satellite does not reveal.</w:t>
      </w:r>
    </w:p>
    <w:p w:rsidR="0058256A" w:rsidRPr="00BB2C90" w:rsidRDefault="00BB2C90" w:rsidP="00CC346E">
      <w:pPr>
        <w:pStyle w:val="NormalWeb"/>
        <w:spacing w:line="360" w:lineRule="auto"/>
        <w:rPr>
          <w:rFonts w:ascii="Helvetica Neue" w:hAnsi="Helvetica Neue"/>
        </w:rPr>
      </w:pPr>
      <w:r w:rsidRPr="00BB2C90">
        <w:rPr>
          <w:rFonts w:ascii="Helvetica Neue" w:hAnsi="Helvetica Neue"/>
        </w:rPr>
        <w:lastRenderedPageBreak/>
        <w:t>By the end of the sequence, the disagreement was visible. Russia, the United States and SpaceX had each put a different boundary into the public record. None displaced the others. The strategic problem was therefore not only whether a position had been stated, but whether governments, providers and military users could keep a usable picture of the relationship while the line between support and participation remained unsettled.</w:t>
      </w:r>
      <w:r w:rsidR="00F40772" w:rsidRPr="00BB2C90">
        <w:rPr>
          <w:rFonts w:ascii="Helvetica Neue" w:hAnsi="Helvetica Neue"/>
        </w:rPr>
        <w:t xml:space="preserve"> </w:t>
      </w:r>
    </w:p>
    <w:p w:rsidR="0058256A" w:rsidRPr="00D70EA9" w:rsidRDefault="0058256A">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Default="00861563">
      <w:pPr>
        <w:rPr>
          <w:rFonts w:ascii="Helvetica Neue" w:hAnsi="Helvetica Neue"/>
        </w:rPr>
      </w:pPr>
    </w:p>
    <w:p w:rsidR="0029461F" w:rsidRDefault="0029461F" w:rsidP="0029461F">
      <w:pPr>
        <w:rPr>
          <w:rFonts w:ascii="Helvetica Neue" w:hAnsi="Helvetica Neue"/>
        </w:rPr>
      </w:pPr>
    </w:p>
    <w:p w:rsidR="0029461F" w:rsidRDefault="0029461F" w:rsidP="0029461F">
      <w:pPr>
        <w:rPr>
          <w:rFonts w:ascii="Helvetica Neue" w:hAnsi="Helvetica Neue"/>
        </w:rPr>
      </w:pPr>
    </w:p>
    <w:p w:rsidR="0029461F" w:rsidRDefault="0029461F" w:rsidP="0029461F">
      <w:pPr>
        <w:rPr>
          <w:rFonts w:ascii="Helvetica Neue" w:hAnsi="Helvetica Neue"/>
        </w:rPr>
      </w:pPr>
    </w:p>
    <w:p w:rsidR="0029461F" w:rsidRDefault="0029461F" w:rsidP="0029461F">
      <w:pPr>
        <w:rPr>
          <w:rFonts w:ascii="Helvetica Neue" w:hAnsi="Helvetica Neue"/>
        </w:rPr>
      </w:pPr>
    </w:p>
    <w:p w:rsidR="0029461F" w:rsidRPr="00D70EA9" w:rsidRDefault="0029461F" w:rsidP="0029461F">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lastRenderedPageBreak/>
        <w:t>Bibliography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rPr>
        <w:t xml:space="preserve">Aday, Sean, Māris Andžāns, Una Aleksandra Bērziņa-Čerenkova, Francesca Granelli, John-Paul Gravelines, Mils Hills, Miranda Holmstrom, et al. </w:t>
      </w:r>
      <w:r w:rsidRPr="00D70EA9">
        <w:rPr>
          <w:rFonts w:ascii="Helvetica Neue" w:hAnsi="Helvetica Neue"/>
          <w:i/>
          <w:iCs/>
        </w:rPr>
        <w:t>Hybrid Threats: A Strategic Communications Perspective</w:t>
      </w:r>
      <w:r w:rsidRPr="00D70EA9">
        <w:rPr>
          <w:rFonts w:ascii="Helvetica Neue" w:hAnsi="Helvetica Neue"/>
        </w:rPr>
        <w:t>. Riga: NATO Strategic Communications Centre of Excellence, 2019.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Albon, Courtney. “SpaceX Forms ‘Starshield’ Business Unit to Focus on National Security.” </w:t>
      </w:r>
      <w:r w:rsidRPr="00D70EA9">
        <w:rPr>
          <w:rFonts w:ascii="Helvetica Neue" w:hAnsi="Helvetica Neue"/>
          <w:i/>
          <w:sz w:val="22"/>
        </w:rPr>
        <w:t>Defense News</w:t>
      </w:r>
      <w:r w:rsidRPr="00D70EA9">
        <w:rPr>
          <w:rFonts w:ascii="Helvetica Neue" w:hAnsi="Helvetica Neue"/>
          <w:sz w:val="22"/>
        </w:rPr>
        <w:t>, 5 December 2022. https://www.defensenews.com/battlefield-tech/space/2022/12/05/spacex-forms-starshield-business-unit-to-focus-on-national-security/.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Azcárate Ortega, Almudena, and Sarah Erickson. </w:t>
      </w:r>
      <w:r w:rsidRPr="00D70EA9">
        <w:rPr>
          <w:rFonts w:ascii="Helvetica Neue" w:hAnsi="Helvetica Neue"/>
          <w:i/>
          <w:sz w:val="22"/>
        </w:rPr>
        <w:t>OEWG on Reducing Space Threats: Recap Report</w:t>
      </w:r>
      <w:r w:rsidRPr="00D70EA9">
        <w:rPr>
          <w:rFonts w:ascii="Helvetica Neue" w:hAnsi="Helvetica Neue"/>
          <w:sz w:val="22"/>
        </w:rPr>
        <w:t>. Geneva: United Nations Institute for Disarmament Research, 2024. https://doi.org/10.37559/WMD/24/Space/01.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Beard, Jack, and Dale Stephens, eds., with David Koplow. </w:t>
      </w:r>
      <w:r w:rsidRPr="00D70EA9">
        <w:rPr>
          <w:rFonts w:ascii="Helvetica Neue" w:hAnsi="Helvetica Neue"/>
          <w:i/>
          <w:sz w:val="22"/>
        </w:rPr>
        <w:t>The Woomera Manual on the International Law of Military Space Activities and Operations</w:t>
      </w:r>
      <w:r w:rsidRPr="00D70EA9">
        <w:rPr>
          <w:rFonts w:ascii="Helvetica Neue" w:hAnsi="Helvetica Neue"/>
          <w:sz w:val="22"/>
        </w:rPr>
        <w:t>. Oxford: Oxford University Press, 2024. https://doi.org/10.1093/law/9780192870667.001.0001.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Berrang, Svenja. “Does the Dual-Use of Space Objects Necessitate a New Geneva Convention?” </w:t>
      </w:r>
      <w:r w:rsidRPr="00D70EA9">
        <w:rPr>
          <w:rFonts w:ascii="Helvetica Neue" w:hAnsi="Helvetica Neue"/>
          <w:i/>
          <w:sz w:val="22"/>
        </w:rPr>
        <w:t>Case Western Reserve Journal of International Law</w:t>
      </w:r>
      <w:r w:rsidRPr="00D70EA9">
        <w:rPr>
          <w:rFonts w:ascii="Helvetica Neue" w:hAnsi="Helvetica Neue"/>
          <w:sz w:val="22"/>
        </w:rPr>
        <w:t xml:space="preserve"> 57 (2025): 315–342. https://scholarlycommons.law.case.edu/jil/vol57/iss1/22/.</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Bi, Chen, and Yiyang Zhu. “From Objects to Interdependence: How the Law of Armed Conflict Regulates Attacks on Dual-Use Information Infrastructure in Cyber and Information Warfare.” </w:t>
      </w:r>
      <w:r w:rsidRPr="00D70EA9">
        <w:rPr>
          <w:rFonts w:ascii="Helvetica Neue" w:hAnsi="Helvetica Neue"/>
          <w:i/>
          <w:sz w:val="22"/>
        </w:rPr>
        <w:t>Cogent Social Sciences</w:t>
      </w:r>
      <w:r w:rsidRPr="00D70EA9">
        <w:rPr>
          <w:rFonts w:ascii="Helvetica Neue" w:hAnsi="Helvetica Neue"/>
          <w:sz w:val="22"/>
        </w:rPr>
        <w:t xml:space="preserve"> 12, no. 1 (2026): 2719286. https://doi.org/10.1080/23311886.2026.2719286.</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Blinken, Antony J. “Attribution of Russia’s Malicious Cyber Activity Against Ukraine.” U.S. Department of State, 10 May 2022. https://2021-2025.state.gov/attribution-of-russias-malicious-cyber-activity-against-ukraine/.</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CBS News/AFP. “Elon Musk Says He Denied Ukraine Satellite Request to Avoid Complicity in ‘Major Act of War’ vs. Russia.” </w:t>
      </w:r>
      <w:r w:rsidRPr="00D70EA9">
        <w:rPr>
          <w:rFonts w:ascii="Helvetica Neue" w:hAnsi="Helvetica Neue"/>
          <w:i/>
          <w:sz w:val="22"/>
        </w:rPr>
        <w:t>CBS News</w:t>
      </w:r>
      <w:r w:rsidRPr="00D70EA9">
        <w:rPr>
          <w:rFonts w:ascii="Helvetica Neue" w:hAnsi="Helvetica Neue"/>
          <w:sz w:val="22"/>
        </w:rPr>
        <w:t>, 8 September 2023. https://www.cbsnews.com/news/elon-musk-ukraine-russia-war-starlink-satellite-denied-major-act-of-war/.</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Congressional Research Service. </w:t>
      </w:r>
      <w:r w:rsidRPr="00D70EA9">
        <w:rPr>
          <w:rFonts w:ascii="Helvetica Neue" w:hAnsi="Helvetica Neue"/>
          <w:i/>
          <w:sz w:val="22"/>
        </w:rPr>
        <w:t>Defense Primer: Operations in the Information Environment</w:t>
      </w:r>
      <w:r w:rsidRPr="00D70EA9">
        <w:rPr>
          <w:rFonts w:ascii="Helvetica Neue" w:hAnsi="Helvetica Neue"/>
          <w:sz w:val="22"/>
        </w:rPr>
        <w:t>. IF10771. Updated 29 November 2024. https://www.everycrsreport.com/reports/IF10771.html.</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Deppe, Christoph, and Gary S. Schaal. “Cognitive Warfare: A Conceptual Analysis of the NATO ACT Cognitive Warfare Exploratory Concept.” </w:t>
      </w:r>
      <w:r w:rsidRPr="00D70EA9">
        <w:rPr>
          <w:rFonts w:ascii="Helvetica Neue" w:hAnsi="Helvetica Neue"/>
          <w:i/>
          <w:sz w:val="22"/>
        </w:rPr>
        <w:t>Frontiers in Big Data</w:t>
      </w:r>
      <w:r w:rsidRPr="00D70EA9">
        <w:rPr>
          <w:rFonts w:ascii="Helvetica Neue" w:hAnsi="Helvetica Neue"/>
          <w:sz w:val="22"/>
        </w:rPr>
        <w:t xml:space="preserve"> 7 (2024): 1452129. https://doi.org/10.3389/fdata.2024.1452129.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Fearon, James D. “Rationalist Explanations for War.” </w:t>
      </w:r>
      <w:r w:rsidRPr="00D70EA9">
        <w:rPr>
          <w:rFonts w:ascii="Helvetica Neue" w:hAnsi="Helvetica Neue"/>
          <w:i/>
          <w:sz w:val="22"/>
        </w:rPr>
        <w:t>International Organization</w:t>
      </w:r>
      <w:r w:rsidRPr="00D70EA9">
        <w:rPr>
          <w:rFonts w:ascii="Helvetica Neue" w:hAnsi="Helvetica Neue"/>
          <w:sz w:val="22"/>
        </w:rPr>
        <w:t xml:space="preserve"> 49, no. 3 (1995): 379–414. https://doi.org/10.1017/S0020818300033324.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Foust, Jeff. “Shotwell: Ukraine ‘Weaponized’ Starlink in War against Russia.” </w:t>
      </w:r>
      <w:r w:rsidRPr="00D70EA9">
        <w:rPr>
          <w:rFonts w:ascii="Helvetica Neue" w:hAnsi="Helvetica Neue"/>
          <w:i/>
          <w:sz w:val="22"/>
        </w:rPr>
        <w:t>SpaceNews</w:t>
      </w:r>
      <w:r w:rsidRPr="00D70EA9">
        <w:rPr>
          <w:rFonts w:ascii="Helvetica Neue" w:hAnsi="Helvetica Neue"/>
          <w:sz w:val="22"/>
        </w:rPr>
        <w:t>, 8 February 2023. https://spacenews.com/shotwell-ukraine-weaponized-starlink-in-war-against-russia/.</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lastRenderedPageBreak/>
        <w:t xml:space="preserve">Harper, Jon. “Pentagon Contracting with SpaceX’s Starlink to Provide Satellite Communication Capabilities for Ukraine.” </w:t>
      </w:r>
      <w:r w:rsidRPr="00D70EA9">
        <w:rPr>
          <w:rFonts w:ascii="Helvetica Neue" w:hAnsi="Helvetica Neue"/>
          <w:i/>
          <w:sz w:val="22"/>
        </w:rPr>
        <w:t>DefenseScoop</w:t>
      </w:r>
      <w:r w:rsidRPr="00D70EA9">
        <w:rPr>
          <w:rFonts w:ascii="Helvetica Neue" w:hAnsi="Helvetica Neue"/>
          <w:sz w:val="22"/>
        </w:rPr>
        <w:t>, 1 June 2023. https://defensescoop.com/2023/06/01/pentagon-contracting-with-spacexs-starlink-to-provide-satellite-communication-capabilities-for-ukraine/.</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Hathaway, Oona A., Azmat Khan, and Mara R. Revkin. “The Dangerous Rise of ‘Dual-Use’ Objects in War.” </w:t>
      </w:r>
      <w:r w:rsidRPr="00D70EA9">
        <w:rPr>
          <w:rFonts w:ascii="Helvetica Neue" w:hAnsi="Helvetica Neue"/>
          <w:i/>
          <w:sz w:val="22"/>
        </w:rPr>
        <w:t>Yale Law Journal</w:t>
      </w:r>
      <w:r w:rsidRPr="00D70EA9">
        <w:rPr>
          <w:rFonts w:ascii="Helvetica Neue" w:hAnsi="Helvetica Neue"/>
          <w:sz w:val="22"/>
        </w:rPr>
        <w:t xml:space="preserve"> 134, no. 8 (2025): 2645–2750. https://yalelawjournal.org/article/the-dangerous-rise-of-dual-use-objects-in-war.</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International Committee of the Red Cross. </w:t>
      </w:r>
      <w:r w:rsidRPr="00D70EA9">
        <w:rPr>
          <w:rFonts w:ascii="Helvetica Neue" w:hAnsi="Helvetica Neue"/>
          <w:i/>
          <w:sz w:val="22"/>
        </w:rPr>
        <w:t>Constraints under International Law on Military Operations in, or in Relation to, Outer Space during Armed Conflicts</w:t>
      </w:r>
      <w:r w:rsidRPr="00D70EA9">
        <w:rPr>
          <w:rFonts w:ascii="Helvetica Neue" w:hAnsi="Helvetica Neue"/>
          <w:sz w:val="22"/>
        </w:rPr>
        <w:t>. Working paper submitted to the Open-ended Working Group on Reducing Space Threats through Norms, Rules and Principles of Responsible Behaviours, UN Doc. A/AC.294/2022/WP.4, 3 May 2022. https://www.icrc.org/en/document/constraints-under-international-law-military-space-operations.</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Joint Chiefs of Staff. </w:t>
      </w:r>
      <w:r w:rsidRPr="00D70EA9">
        <w:rPr>
          <w:rFonts w:ascii="Helvetica Neue" w:hAnsi="Helvetica Neue"/>
          <w:i/>
          <w:sz w:val="22"/>
        </w:rPr>
        <w:t>Joint Concept for Operating in the Information Environment (JCOIE)</w:t>
      </w:r>
      <w:r w:rsidRPr="00D70EA9">
        <w:rPr>
          <w:rFonts w:ascii="Helvetica Neue" w:hAnsi="Helvetica Neue"/>
          <w:sz w:val="22"/>
        </w:rPr>
        <w:t>. Washington, DC: Joint Chiefs of Staff, 25 July 2018.</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rPr>
        <w:t xml:space="preserve">———. </w:t>
      </w:r>
      <w:r w:rsidRPr="00D70EA9">
        <w:rPr>
          <w:rFonts w:ascii="Helvetica Neue" w:hAnsi="Helvetica Neue"/>
          <w:i/>
          <w:iCs/>
        </w:rPr>
        <w:t>Joint Publication 3-13: Information Operations</w:t>
      </w:r>
      <w:r w:rsidRPr="00D70EA9">
        <w:rPr>
          <w:rFonts w:ascii="Helvetica Neue" w:hAnsi="Helvetica Neue"/>
        </w:rPr>
        <w:t>. Washington, DC: Joint Chiefs of Staff, 27 November 2012. Incorporating Change 1, 20 November 2014.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Kuplic, G. Blair, and Jonathan Sawmiller. “Humanity on the Final Frontier: Challenges in Applying International Humanitarian Law to Modern Military Space Operations.” </w:t>
      </w:r>
      <w:r w:rsidRPr="00D70EA9">
        <w:rPr>
          <w:rFonts w:ascii="Helvetica Neue" w:hAnsi="Helvetica Neue"/>
          <w:i/>
          <w:sz w:val="22"/>
        </w:rPr>
        <w:t>International Review of the Red Cross</w:t>
      </w:r>
      <w:r w:rsidRPr="00D70EA9">
        <w:rPr>
          <w:rFonts w:ascii="Helvetica Neue" w:hAnsi="Helvetica Neue"/>
          <w:sz w:val="22"/>
        </w:rPr>
        <w:t xml:space="preserve"> 107, no. 928 (2025): 200–237. https://doi.org/10.1017/S1816383124000559.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MITRE ATT&amp;CK. “AcidRain.” Software S1125, version 1.1. Last modified 15 April 2025. https://attack.mitre.org/software/S1125/.</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Paul, Christopher. </w:t>
      </w:r>
      <w:r w:rsidRPr="00D70EA9">
        <w:rPr>
          <w:rFonts w:ascii="Helvetica Neue" w:hAnsi="Helvetica Neue"/>
          <w:i/>
          <w:sz w:val="22"/>
        </w:rPr>
        <w:t>Strategic Communication: Origins, Concepts, and Current Debates</w:t>
      </w:r>
      <w:r w:rsidRPr="00D70EA9">
        <w:rPr>
          <w:rFonts w:ascii="Helvetica Neue" w:hAnsi="Helvetica Neue"/>
          <w:sz w:val="22"/>
        </w:rPr>
        <w:t>. Santa Barbara, CA: Praeger, 2011.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Protocol Additional to the Geneva Conventions of 12 August 1949, and Relating to the Protection of Victims of International Armed Conflicts (Protocol I). 8 June 1977. 1125 U.N.T.S. 3.</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Rid, Thomas, and Ben Buchanan. “Attributing Cyber Attacks.” </w:t>
      </w:r>
      <w:r w:rsidRPr="00D70EA9">
        <w:rPr>
          <w:rFonts w:ascii="Helvetica Neue" w:hAnsi="Helvetica Neue"/>
          <w:i/>
          <w:sz w:val="22"/>
        </w:rPr>
        <w:t>Journal of Strategic Studies</w:t>
      </w:r>
      <w:r w:rsidRPr="00D70EA9">
        <w:rPr>
          <w:rFonts w:ascii="Helvetica Neue" w:hAnsi="Helvetica Neue"/>
          <w:sz w:val="22"/>
        </w:rPr>
        <w:t xml:space="preserve"> 38, nos. 1–2 (2015): 4–37. https://doi.org/10.1080/01402390.2014.977382.</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UK National Cyber Security Centre. “Russia behind Cyber Attack with Europe-Wide Impact an Hour before Ukraine Invasion.” 10 May 2022. https://www.ncsc.gov.uk/news/russia-behind-cyber-attack-with-europe-wide-impact-hour-before-ukraine-invasion.</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United Nations General Assembly. </w:t>
      </w:r>
      <w:r w:rsidRPr="00D70EA9">
        <w:rPr>
          <w:rFonts w:ascii="Helvetica Neue" w:hAnsi="Helvetica Neue"/>
          <w:i/>
          <w:sz w:val="22"/>
        </w:rPr>
        <w:t>Report of the Group of Governmental Experts on Further Practical Measures for the Prevention of an Arms Race in Outer Space</w:t>
      </w:r>
      <w:r w:rsidRPr="00D70EA9">
        <w:rPr>
          <w:rFonts w:ascii="Helvetica Neue" w:hAnsi="Helvetica Neue"/>
          <w:sz w:val="22"/>
        </w:rPr>
        <w:t>. A/79/364. 20 September 2024.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U.S. Department of Defense. “Sabrina Singh, Deputy Pentagon Press Secretary, Holds a Press Briefing.” Transcript, 14 October 2022. https://www.defense.gov/News/Transcripts/Transcript/Article/3189495/sabrina-singh-deputy-pentagon-press-secretary-holds-a-press-briefing/.</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 </w:t>
      </w:r>
      <w:r w:rsidRPr="00D70EA9">
        <w:rPr>
          <w:rFonts w:ascii="Helvetica Neue" w:hAnsi="Helvetica Neue"/>
          <w:i/>
          <w:sz w:val="22"/>
        </w:rPr>
        <w:t>Strategy for Operations in the Information Environment</w:t>
      </w:r>
      <w:r w:rsidRPr="00D70EA9">
        <w:rPr>
          <w:rFonts w:ascii="Helvetica Neue" w:hAnsi="Helvetica Neue"/>
          <w:sz w:val="22"/>
        </w:rPr>
        <w:t>. Washington, DC: Department of Defense, 2023.</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lastRenderedPageBreak/>
        <w:t>Viasat, Inc. “KA-SAT Network Cyber Attack Overview.” 30 March 2022. https://www.viasat.com/perspectives/corporate/2022/ka-sat-network-cyber-attack-overview/.</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Vorontsov, Konstantin.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West, Jessica, and Almudena Azcárate Ortega. </w:t>
      </w:r>
      <w:r w:rsidRPr="00D70EA9">
        <w:rPr>
          <w:rFonts w:ascii="Helvetica Neue" w:hAnsi="Helvetica Neue"/>
          <w:i/>
          <w:sz w:val="22"/>
        </w:rPr>
        <w:t>Norms for Outer Space: A Small Step or a Giant Leap for Policymaking?</w:t>
      </w:r>
      <w:r w:rsidRPr="00D70EA9">
        <w:rPr>
          <w:rFonts w:ascii="Helvetica Neue" w:hAnsi="Helvetica Neue"/>
          <w:sz w:val="22"/>
        </w:rPr>
        <w:t xml:space="preserve"> Space Dossier 7. Geneva: United Nations Institute for Disarmament Research, 2022. https://doi.org/10.37559/WMD/22/Space/01.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The White House. “Press Gaggle by Press Secretary Karine Jean-Pierre En Route Syracuse, NY.” 27 October 2022. https://bidenwhitehouse.archives.gov/briefing-room/press-briefings/2022/10/27/press-gaggle-by-press-secretary-karine-jean-pierre-en-route-syracuse-ny/.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Wiener, Antje. “Contested Compliance: Interventions on the Normative Structure of World Politics.” </w:t>
      </w:r>
      <w:r w:rsidRPr="00D70EA9">
        <w:rPr>
          <w:rFonts w:ascii="Helvetica Neue" w:hAnsi="Helvetica Neue"/>
          <w:i/>
          <w:sz w:val="22"/>
        </w:rPr>
        <w:t>European Journal of International Relations</w:t>
      </w:r>
      <w:r w:rsidRPr="00D70EA9">
        <w:rPr>
          <w:rFonts w:ascii="Helvetica Neue" w:hAnsi="Helvetica Neue"/>
          <w:sz w:val="22"/>
        </w:rPr>
        <w:t xml:space="preserve"> 10, no. 2 (2004): 189–234. https://doi.org/10.1177/1354066104042934.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Wither, James K. “Making Sense of Hybrid Warfare.” </w:t>
      </w:r>
      <w:r w:rsidRPr="00D70EA9">
        <w:rPr>
          <w:rFonts w:ascii="Helvetica Neue" w:hAnsi="Helvetica Neue"/>
          <w:i/>
          <w:sz w:val="22"/>
        </w:rPr>
        <w:t>Connections: The Quarterly Journal</w:t>
      </w:r>
      <w:r w:rsidRPr="00D70EA9">
        <w:rPr>
          <w:rFonts w:ascii="Helvetica Neue" w:hAnsi="Helvetica Neue"/>
          <w:sz w:val="22"/>
        </w:rPr>
        <w:t xml:space="preserve"> 15, no. 2 (2016): 73–87. https://doi.org/10.11610/Connections.15.2.06.</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Zetter, Kim. “Viasat Hack ‘Did Not’ Have Huge Impact on Ukrainian Military Communications, Official Says.” </w:t>
      </w:r>
      <w:r w:rsidRPr="00D70EA9">
        <w:rPr>
          <w:rFonts w:ascii="Helvetica Neue" w:hAnsi="Helvetica Neue"/>
          <w:i/>
          <w:sz w:val="22"/>
        </w:rPr>
        <w:t>Zero Day</w:t>
      </w:r>
      <w:r w:rsidRPr="00D70EA9">
        <w:rPr>
          <w:rFonts w:ascii="Helvetica Neue" w:hAnsi="Helvetica Neue"/>
          <w:sz w:val="22"/>
        </w:rPr>
        <w:t>, 26 September 2022. https://www.zetter-zeroday.com/viasat-hack-did-not-have-huge-impact/.</w:t>
      </w:r>
    </w:p>
    <w:sectPr w:rsidR="00C8735E" w:rsidRPr="00D70EA9">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1FBB" w:rsidRDefault="00F01FBB" w:rsidP="004326E1">
      <w:r>
        <w:separator/>
      </w:r>
    </w:p>
  </w:endnote>
  <w:endnote w:type="continuationSeparator" w:id="0">
    <w:p w:rsidR="00F01FBB" w:rsidRDefault="00F01FBB" w:rsidP="00432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6266886"/>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A1716">
          <w:rPr>
            <w:rStyle w:val="PageNumber"/>
            <w:noProof/>
          </w:rPr>
          <w:t>1</w:t>
        </w:r>
        <w:r>
          <w:rPr>
            <w:rStyle w:val="PageNumber"/>
          </w:rPr>
          <w:fldChar w:fldCharType="end"/>
        </w:r>
      </w:p>
    </w:sdtContent>
  </w:sdt>
  <w:p w:rsidR="004326E1" w:rsidRDefault="004326E1" w:rsidP="004326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3848188"/>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1FBB" w:rsidRDefault="00F01FBB" w:rsidP="004326E1">
      <w:r>
        <w:separator/>
      </w:r>
    </w:p>
  </w:footnote>
  <w:footnote w:type="continuationSeparator" w:id="0">
    <w:p w:rsidR="00F01FBB" w:rsidRDefault="00F01FBB" w:rsidP="004326E1">
      <w:r>
        <w:continuationSeparator/>
      </w:r>
    </w:p>
  </w:footnote>
  <w:footnote w:id="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UK National Cyber Security Centre, “Russia behind Cyber Attack with Europe-Wide Impact an Hour before Ukraine Invasion,” 10 May 2022, https://www.ncsc.gov.uk/news/russia-behind-cyber-attack-with-europe-wide-impact-hour-before-ukraine-invasion.</w:t>
      </w:r>
    </w:p>
  </w:footnote>
  <w:footnote w:id="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Antony J. Blinken, “Attribution of Russia’s Malicious Cyber Activity Against Ukraine,” U.S. Department of State, 10 May 2022, https://2021-2025.state.gov/attribution-of-russias-malicious-cyber-activity-against-ukraine/.</w:t>
      </w:r>
    </w:p>
  </w:footnote>
  <w:footnote w:id="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Konstantin </w:t>
      </w:r>
      <w:proofErr w:type="spellStart"/>
      <w:r w:rsidRPr="002418D7">
        <w:rPr>
          <w:rFonts w:ascii="Helvetica Neue" w:hAnsi="Helvetica Neue"/>
          <w:sz w:val="16"/>
          <w:szCs w:val="16"/>
        </w:rPr>
        <w:t>Vorontsov</w:t>
      </w:r>
      <w:proofErr w:type="spellEnd"/>
      <w:r w:rsidRPr="002418D7">
        <w:rPr>
          <w:rFonts w:ascii="Helvetica Neue" w:hAnsi="Helvetica Neue"/>
          <w:sz w:val="16"/>
          <w:szCs w:val="16"/>
        </w:rPr>
        <w:t>,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footnote>
  <w:footnote w:id="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Jeff Foust, “Shotwell: Ukraine ‘Weaponized’ </w:t>
      </w:r>
      <w:proofErr w:type="spellStart"/>
      <w:r w:rsidRPr="002418D7">
        <w:rPr>
          <w:rFonts w:ascii="Helvetica Neue" w:hAnsi="Helvetica Neue"/>
          <w:sz w:val="16"/>
          <w:szCs w:val="16"/>
        </w:rPr>
        <w:t>Starlink</w:t>
      </w:r>
      <w:proofErr w:type="spellEnd"/>
      <w:r w:rsidRPr="002418D7">
        <w:rPr>
          <w:rFonts w:ascii="Helvetica Neue" w:hAnsi="Helvetica Neue"/>
          <w:sz w:val="16"/>
          <w:szCs w:val="16"/>
        </w:rPr>
        <w:t xml:space="preserve"> in War against Russia,” </w:t>
      </w:r>
      <w:proofErr w:type="spellStart"/>
      <w:r w:rsidRPr="002418D7">
        <w:rPr>
          <w:rFonts w:ascii="Helvetica Neue" w:hAnsi="Helvetica Neue"/>
          <w:i/>
          <w:sz w:val="16"/>
          <w:szCs w:val="16"/>
        </w:rPr>
        <w:t>SpaceNews</w:t>
      </w:r>
      <w:proofErr w:type="spellEnd"/>
      <w:r w:rsidRPr="002418D7">
        <w:rPr>
          <w:rFonts w:ascii="Helvetica Neue" w:hAnsi="Helvetica Neue"/>
          <w:sz w:val="16"/>
          <w:szCs w:val="16"/>
        </w:rPr>
        <w:t>, 8 February 2023, https://spacenews.com/shotwell-ukraine-weaponized-starlink-in-war-against-russia/.</w:t>
      </w:r>
    </w:p>
  </w:footnote>
  <w:footnote w:id="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G. Blair Kuplic and Jonathan Sawmiller, “Humanity on the Final Frontier: Challenges in Applying International Humanitarian Law to Modern Military Space Operations,” </w:t>
      </w:r>
      <w:r w:rsidRPr="002418D7">
        <w:rPr>
          <w:rFonts w:ascii="Helvetica Neue" w:hAnsi="Helvetica Neue"/>
          <w:i/>
          <w:sz w:val="16"/>
          <w:szCs w:val="16"/>
        </w:rPr>
        <w:t>International Review of the Red Cross</w:t>
      </w:r>
      <w:r w:rsidRPr="002418D7">
        <w:rPr>
          <w:rFonts w:ascii="Helvetica Neue" w:hAnsi="Helvetica Neue"/>
          <w:sz w:val="16"/>
          <w:szCs w:val="16"/>
        </w:rPr>
        <w:t xml:space="preserve"> 107, no. 928 (2025): 219, 235–37, https://doi.org/10.1017/S1816383124000559.</w:t>
      </w:r>
    </w:p>
  </w:footnote>
  <w:footnote w:id="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Jessica West and </w:t>
      </w:r>
      <w:proofErr w:type="spellStart"/>
      <w:r w:rsidRPr="002418D7">
        <w:rPr>
          <w:rFonts w:ascii="Helvetica Neue" w:hAnsi="Helvetica Neue"/>
          <w:sz w:val="16"/>
          <w:szCs w:val="16"/>
        </w:rPr>
        <w:t>Almudena</w:t>
      </w:r>
      <w:proofErr w:type="spellEnd"/>
      <w:r w:rsidRPr="002418D7">
        <w:rPr>
          <w:rFonts w:ascii="Helvetica Neue" w:hAnsi="Helvetica Neue"/>
          <w:sz w:val="16"/>
          <w:szCs w:val="16"/>
        </w:rPr>
        <w:t xml:space="preserve"> </w:t>
      </w:r>
      <w:proofErr w:type="spellStart"/>
      <w:r w:rsidRPr="002418D7">
        <w:rPr>
          <w:rFonts w:ascii="Helvetica Neue" w:hAnsi="Helvetica Neue"/>
          <w:sz w:val="16"/>
          <w:szCs w:val="16"/>
        </w:rPr>
        <w:t>Azcárate</w:t>
      </w:r>
      <w:proofErr w:type="spellEnd"/>
      <w:r w:rsidRPr="002418D7">
        <w:rPr>
          <w:rFonts w:ascii="Helvetica Neue" w:hAnsi="Helvetica Neue"/>
          <w:sz w:val="16"/>
          <w:szCs w:val="16"/>
        </w:rPr>
        <w:t xml:space="preserve"> Ortega, </w:t>
      </w:r>
      <w:r w:rsidRPr="002418D7">
        <w:rPr>
          <w:rFonts w:ascii="Helvetica Neue" w:hAnsi="Helvetica Neue"/>
          <w:i/>
          <w:sz w:val="16"/>
          <w:szCs w:val="16"/>
        </w:rPr>
        <w:t xml:space="preserve">Norms for Outer Space: A Small Step or a Giant Leap for </w:t>
      </w:r>
      <w:proofErr w:type="gramStart"/>
      <w:r w:rsidRPr="002418D7">
        <w:rPr>
          <w:rFonts w:ascii="Helvetica Neue" w:hAnsi="Helvetica Neue"/>
          <w:i/>
          <w:sz w:val="16"/>
          <w:szCs w:val="16"/>
        </w:rPr>
        <w:t>Policymaking?</w:t>
      </w:r>
      <w:r w:rsidRPr="002418D7">
        <w:rPr>
          <w:rFonts w:ascii="Helvetica Neue" w:hAnsi="Helvetica Neue"/>
          <w:sz w:val="16"/>
          <w:szCs w:val="16"/>
        </w:rPr>
        <w:t>,</w:t>
      </w:r>
      <w:proofErr w:type="gramEnd"/>
      <w:r w:rsidRPr="002418D7">
        <w:rPr>
          <w:rFonts w:ascii="Helvetica Neue" w:hAnsi="Helvetica Neue"/>
          <w:sz w:val="16"/>
          <w:szCs w:val="16"/>
        </w:rPr>
        <w:t xml:space="preserve"> Space Dossier 7 (Geneva: United Nations Institute for Disarmament Research, 2022), 26–27, https://doi.org/10.37559/WMD/22/Space/01.</w:t>
      </w:r>
    </w:p>
  </w:footnote>
  <w:footnote w:id="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Congressional Research Service, </w:t>
      </w:r>
      <w:proofErr w:type="spellStart"/>
      <w:r w:rsidRPr="002418D7">
        <w:rPr>
          <w:rFonts w:ascii="Helvetica Neue" w:hAnsi="Helvetica Neue"/>
          <w:i/>
          <w:sz w:val="16"/>
          <w:szCs w:val="16"/>
        </w:rPr>
        <w:t>Defense</w:t>
      </w:r>
      <w:proofErr w:type="spellEnd"/>
      <w:r w:rsidRPr="002418D7">
        <w:rPr>
          <w:rFonts w:ascii="Helvetica Neue" w:hAnsi="Helvetica Neue"/>
          <w:i/>
          <w:sz w:val="16"/>
          <w:szCs w:val="16"/>
        </w:rPr>
        <w:t xml:space="preserve"> Primer: Operations in the Information Environment</w:t>
      </w:r>
      <w:r w:rsidRPr="002418D7">
        <w:rPr>
          <w:rFonts w:ascii="Helvetica Neue" w:hAnsi="Helvetica Neue"/>
          <w:sz w:val="16"/>
          <w:szCs w:val="16"/>
        </w:rPr>
        <w:t>, IF10771, updated 29 November 2024, https://www.everycrsreport.com/reports/IF10771.html.</w:t>
      </w:r>
    </w:p>
  </w:footnote>
  <w:footnote w:id="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U.S. Department of </w:t>
      </w:r>
      <w:proofErr w:type="spellStart"/>
      <w:r w:rsidRPr="002418D7">
        <w:rPr>
          <w:rFonts w:ascii="Helvetica Neue" w:hAnsi="Helvetica Neue"/>
          <w:sz w:val="16"/>
          <w:szCs w:val="16"/>
        </w:rPr>
        <w:t>Defense</w:t>
      </w:r>
      <w:proofErr w:type="spellEnd"/>
      <w:r w:rsidRPr="002418D7">
        <w:rPr>
          <w:rFonts w:ascii="Helvetica Neue" w:hAnsi="Helvetica Neue"/>
          <w:sz w:val="16"/>
          <w:szCs w:val="16"/>
        </w:rPr>
        <w:t xml:space="preserve">, </w:t>
      </w:r>
      <w:r w:rsidRPr="002418D7">
        <w:rPr>
          <w:rFonts w:ascii="Helvetica Neue" w:hAnsi="Helvetica Neue"/>
          <w:i/>
          <w:sz w:val="16"/>
          <w:szCs w:val="16"/>
        </w:rPr>
        <w:t>Strategy for Operations in the Information Environment</w:t>
      </w:r>
      <w:r w:rsidRPr="002418D7">
        <w:rPr>
          <w:rFonts w:ascii="Helvetica Neue" w:hAnsi="Helvetica Neue"/>
          <w:sz w:val="16"/>
          <w:szCs w:val="16"/>
        </w:rPr>
        <w:t xml:space="preserve"> (Washington, DC: Department of </w:t>
      </w:r>
      <w:proofErr w:type="spellStart"/>
      <w:r w:rsidRPr="002418D7">
        <w:rPr>
          <w:rFonts w:ascii="Helvetica Neue" w:hAnsi="Helvetica Neue"/>
          <w:sz w:val="16"/>
          <w:szCs w:val="16"/>
        </w:rPr>
        <w:t>Defense</w:t>
      </w:r>
      <w:proofErr w:type="spellEnd"/>
      <w:r w:rsidRPr="002418D7">
        <w:rPr>
          <w:rFonts w:ascii="Helvetica Neue" w:hAnsi="Helvetica Neue"/>
          <w:sz w:val="16"/>
          <w:szCs w:val="16"/>
        </w:rPr>
        <w:t>, 2023), 1.</w:t>
      </w:r>
    </w:p>
  </w:footnote>
  <w:footnote w:id="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w:t>
      </w:r>
      <w:r w:rsidRPr="002418D7">
        <w:rPr>
          <w:rFonts w:ascii="Helvetica Neue" w:hAnsi="Helvetica Neue"/>
          <w:i/>
          <w:iCs/>
          <w:sz w:val="16"/>
          <w:szCs w:val="16"/>
        </w:rPr>
        <w:t>Joint Publication 3-13: Information Operations</w:t>
      </w:r>
      <w:r w:rsidRPr="002418D7">
        <w:rPr>
          <w:rFonts w:ascii="Helvetica Neue" w:hAnsi="Helvetica Neue"/>
          <w:sz w:val="16"/>
          <w:szCs w:val="16"/>
        </w:rPr>
        <w:t xml:space="preserve"> (Washington, DC: Joint Chiefs of Staff, 27 November 2012, incorporating Change 1, 20 November 2014), I-2–I-3.</w:t>
      </w:r>
    </w:p>
  </w:footnote>
  <w:footnote w:id="1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Joint Concept for Operating in the Information Environment (JCOIE) (Washington, DC: Joint Chiefs of Staff, 25 July 2018), 3–4.</w:t>
      </w:r>
    </w:p>
  </w:footnote>
  <w:footnote w:id="1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James K. Wither, “Making Sense of Hybrid Warfare,” </w:t>
      </w:r>
      <w:r w:rsidRPr="002418D7">
        <w:rPr>
          <w:rFonts w:ascii="Helvetica Neue" w:hAnsi="Helvetica Neue"/>
          <w:i/>
          <w:sz w:val="16"/>
          <w:szCs w:val="16"/>
        </w:rPr>
        <w:t>Connections: The Quarterly Journal</w:t>
      </w:r>
      <w:r w:rsidRPr="002418D7">
        <w:rPr>
          <w:rFonts w:ascii="Helvetica Neue" w:hAnsi="Helvetica Neue"/>
          <w:sz w:val="16"/>
          <w:szCs w:val="16"/>
        </w:rPr>
        <w:t xml:space="preserve"> 15, no. 2 (2016): 82, https://doi.org/10.11610/Connections.15.2.06.</w:t>
      </w:r>
    </w:p>
  </w:footnote>
  <w:footnote w:id="1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Thomas Rid and Ben Buchanan, “Attributing Cyber Attacks,” </w:t>
      </w:r>
      <w:r w:rsidRPr="002418D7">
        <w:rPr>
          <w:rFonts w:ascii="Helvetica Neue" w:hAnsi="Helvetica Neue"/>
          <w:i/>
          <w:sz w:val="16"/>
          <w:szCs w:val="16"/>
        </w:rPr>
        <w:t>Journal of Strategic Studies</w:t>
      </w:r>
      <w:r w:rsidRPr="002418D7">
        <w:rPr>
          <w:rFonts w:ascii="Helvetica Neue" w:hAnsi="Helvetica Neue"/>
          <w:sz w:val="16"/>
          <w:szCs w:val="16"/>
        </w:rPr>
        <w:t xml:space="preserve"> 38, nos. 1–2 (2015): 7, https://doi.org/10.1080/01402390.2014.977382.</w:t>
      </w:r>
    </w:p>
  </w:footnote>
  <w:footnote w:id="1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Christopher Paul, </w:t>
      </w:r>
      <w:r w:rsidRPr="002418D7">
        <w:rPr>
          <w:rFonts w:ascii="Helvetica Neue" w:hAnsi="Helvetica Neue"/>
          <w:i/>
          <w:sz w:val="16"/>
          <w:szCs w:val="16"/>
        </w:rPr>
        <w:t>Strategic Communication: Origins, Concepts, and Current Debates</w:t>
      </w:r>
      <w:r w:rsidRPr="002418D7">
        <w:rPr>
          <w:rFonts w:ascii="Helvetica Neue" w:hAnsi="Helvetica Neue"/>
          <w:sz w:val="16"/>
          <w:szCs w:val="16"/>
        </w:rPr>
        <w:t xml:space="preserve"> (Santa Barbara, CA: Praeger, 2011), 119.</w:t>
      </w:r>
    </w:p>
  </w:footnote>
  <w:footnote w:id="1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Christoph Deppe and Gary S. Schaal, “Cognitive Warfare: A Conceptual Analysis of the NATO ACT Cognitive Warfare Exploratory Concept,” </w:t>
      </w:r>
      <w:r w:rsidRPr="002418D7">
        <w:rPr>
          <w:rFonts w:ascii="Helvetica Neue" w:hAnsi="Helvetica Neue"/>
          <w:i/>
          <w:sz w:val="16"/>
          <w:szCs w:val="16"/>
        </w:rPr>
        <w:t>Frontiers in Big Data</w:t>
      </w:r>
      <w:r w:rsidRPr="002418D7">
        <w:rPr>
          <w:rFonts w:ascii="Helvetica Neue" w:hAnsi="Helvetica Neue"/>
          <w:sz w:val="16"/>
          <w:szCs w:val="16"/>
        </w:rPr>
        <w:t xml:space="preserve"> 7 (2024): 2, 10, https://doi.org/10.3389/fdata.2024.1452129.</w:t>
      </w:r>
    </w:p>
  </w:footnote>
  <w:footnote w:id="1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Protocol Additional to the Geneva Conventions of 12 August 1949, and Relating to the Protection of Victims of International Armed Conflicts (Protocol I), 8 June 1977, 1125 U.N.T.S. 3,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1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arts. 52(3), 57.</w:t>
      </w:r>
    </w:p>
  </w:footnote>
  <w:footnote w:id="1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Svenja Berrang, “Does the Dual-Use of Space Objects Necessitate a New Geneva </w:t>
      </w:r>
      <w:proofErr w:type="gramStart"/>
      <w:r w:rsidRPr="002418D7">
        <w:rPr>
          <w:rFonts w:ascii="Helvetica Neue" w:hAnsi="Helvetica Neue"/>
          <w:sz w:val="16"/>
          <w:szCs w:val="16"/>
        </w:rPr>
        <w:t>Convention?,</w:t>
      </w:r>
      <w:proofErr w:type="gramEnd"/>
      <w:r w:rsidRPr="002418D7">
        <w:rPr>
          <w:rFonts w:ascii="Helvetica Neue" w:hAnsi="Helvetica Neue"/>
          <w:sz w:val="16"/>
          <w:szCs w:val="16"/>
        </w:rPr>
        <w:t xml:space="preserve">” </w:t>
      </w:r>
      <w:r w:rsidRPr="002418D7">
        <w:rPr>
          <w:rFonts w:ascii="Helvetica Neue" w:hAnsi="Helvetica Neue"/>
          <w:i/>
          <w:sz w:val="16"/>
          <w:szCs w:val="16"/>
        </w:rPr>
        <w:t>Case Western Reserve Journal of International Law</w:t>
      </w:r>
      <w:r w:rsidRPr="002418D7">
        <w:rPr>
          <w:rFonts w:ascii="Helvetica Neue" w:hAnsi="Helvetica Neue"/>
          <w:sz w:val="16"/>
          <w:szCs w:val="16"/>
        </w:rPr>
        <w:t xml:space="preserve"> 57 (2025): 315, 341, https://scholarlycommons.law.case.edu/jil/vol57/iss1/22/.</w:t>
      </w:r>
    </w:p>
  </w:footnote>
  <w:footnote w:id="1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Oona A. Hathaway, Azmat Khan, and Mara R. Revkin, “The Dangerous Rise of ‘Dual-Use’ Objects in War,” </w:t>
      </w:r>
      <w:r w:rsidRPr="002418D7">
        <w:rPr>
          <w:rFonts w:ascii="Helvetica Neue" w:hAnsi="Helvetica Neue"/>
          <w:i/>
          <w:sz w:val="16"/>
          <w:szCs w:val="16"/>
        </w:rPr>
        <w:t>Yale Law Journal</w:t>
      </w:r>
      <w:r w:rsidRPr="002418D7">
        <w:rPr>
          <w:rFonts w:ascii="Helvetica Neue" w:hAnsi="Helvetica Neue"/>
          <w:sz w:val="16"/>
          <w:szCs w:val="16"/>
        </w:rPr>
        <w:t xml:space="preserve"> 134, no. 8 (2025): 2652–53, https://yalelawjournal.org/article/the-dangerous-rise-of-dual-use-objects-in-war.</w:t>
      </w:r>
    </w:p>
  </w:footnote>
  <w:footnote w:id="1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Kuplic and Sawmiller, “Humanity on the Final Frontier,” 219.</w:t>
      </w:r>
    </w:p>
  </w:footnote>
  <w:footnote w:id="2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Jack Beard and Dale Stephens, eds., with David Koplow, </w:t>
      </w:r>
      <w:r w:rsidRPr="002418D7">
        <w:rPr>
          <w:rFonts w:ascii="Helvetica Neue" w:hAnsi="Helvetica Neue"/>
          <w:i/>
          <w:sz w:val="16"/>
          <w:szCs w:val="16"/>
        </w:rPr>
        <w:t>The Woomera Manual on the International Law of Military Space Activities and Operations</w:t>
      </w:r>
      <w:r w:rsidRPr="002418D7">
        <w:rPr>
          <w:rFonts w:ascii="Helvetica Neue" w:hAnsi="Helvetica Neue"/>
          <w:sz w:val="16"/>
          <w:szCs w:val="16"/>
        </w:rPr>
        <w:t xml:space="preserve"> (Oxford: Oxford University Press, 2024), 320–21, 331–32, https://doi.org/10.1093/law/9780192870667.001.0001.</w:t>
      </w:r>
    </w:p>
  </w:footnote>
  <w:footnote w:id="2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Chen Bi and </w:t>
      </w:r>
      <w:proofErr w:type="spellStart"/>
      <w:r w:rsidRPr="002418D7">
        <w:rPr>
          <w:rFonts w:ascii="Helvetica Neue" w:hAnsi="Helvetica Neue"/>
          <w:sz w:val="16"/>
          <w:szCs w:val="16"/>
        </w:rPr>
        <w:t>Yiyang</w:t>
      </w:r>
      <w:proofErr w:type="spellEnd"/>
      <w:r w:rsidRPr="002418D7">
        <w:rPr>
          <w:rFonts w:ascii="Helvetica Neue" w:hAnsi="Helvetica Neue"/>
          <w:sz w:val="16"/>
          <w:szCs w:val="16"/>
        </w:rPr>
        <w:t xml:space="preserve"> Zhu, “From Objects to Interdependence: How the Law of Armed Conflict Regulates Attacks on Dual-Use Information Infrastructure in Cyber and Information Warfare,” </w:t>
      </w:r>
      <w:r w:rsidRPr="002418D7">
        <w:rPr>
          <w:rFonts w:ascii="Helvetica Neue" w:hAnsi="Helvetica Neue"/>
          <w:i/>
          <w:sz w:val="16"/>
          <w:szCs w:val="16"/>
        </w:rPr>
        <w:t>Cogent Social Sciences</w:t>
      </w:r>
      <w:r w:rsidRPr="002418D7">
        <w:rPr>
          <w:rFonts w:ascii="Helvetica Neue" w:hAnsi="Helvetica Neue"/>
          <w:sz w:val="16"/>
          <w:szCs w:val="16"/>
        </w:rPr>
        <w:t xml:space="preserve"> 12, no. 1 (2026): 2719286, 12–13, https://doi.org/10.1080/23311886.2026.2719286.</w:t>
      </w:r>
    </w:p>
  </w:footnote>
  <w:footnote w:id="2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t>
      </w:r>
      <w:proofErr w:type="spellStart"/>
      <w:r w:rsidRPr="002418D7">
        <w:rPr>
          <w:rFonts w:ascii="Helvetica Neue" w:hAnsi="Helvetica Neue"/>
          <w:sz w:val="16"/>
          <w:szCs w:val="16"/>
        </w:rPr>
        <w:t>Kuplic</w:t>
      </w:r>
      <w:proofErr w:type="spellEnd"/>
      <w:r w:rsidRPr="002418D7">
        <w:rPr>
          <w:rFonts w:ascii="Helvetica Neue" w:hAnsi="Helvetica Neue"/>
          <w:sz w:val="16"/>
          <w:szCs w:val="16"/>
        </w:rPr>
        <w:t xml:space="preserve"> and Sawmiller, “Humanity on the Final Frontier,” 235–37.</w:t>
      </w:r>
    </w:p>
  </w:footnote>
  <w:footnote w:id="2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West and Azcárate Ortega, </w:t>
      </w:r>
      <w:r w:rsidRPr="002418D7">
        <w:rPr>
          <w:rFonts w:ascii="Helvetica Neue" w:hAnsi="Helvetica Neue"/>
          <w:i/>
          <w:sz w:val="16"/>
          <w:szCs w:val="16"/>
        </w:rPr>
        <w:t>Norms for Outer Space</w:t>
      </w:r>
      <w:r w:rsidRPr="002418D7">
        <w:rPr>
          <w:rFonts w:ascii="Helvetica Neue" w:hAnsi="Helvetica Neue"/>
          <w:sz w:val="16"/>
          <w:szCs w:val="16"/>
        </w:rPr>
        <w:t>, 26–27.</w:t>
      </w:r>
    </w:p>
  </w:footnote>
  <w:footnote w:id="2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Antje Wiener, “Contested Compliance: Interventions on the Normative Structure of World Politics,” </w:t>
      </w:r>
      <w:r w:rsidRPr="002418D7">
        <w:rPr>
          <w:rFonts w:ascii="Helvetica Neue" w:hAnsi="Helvetica Neue"/>
          <w:i/>
          <w:sz w:val="16"/>
          <w:szCs w:val="16"/>
        </w:rPr>
        <w:t>European Journal of International Relations</w:t>
      </w:r>
      <w:r w:rsidRPr="002418D7">
        <w:rPr>
          <w:rFonts w:ascii="Helvetica Neue" w:hAnsi="Helvetica Neue"/>
          <w:sz w:val="16"/>
          <w:szCs w:val="16"/>
        </w:rPr>
        <w:t xml:space="preserve"> 10, no. 2 (2004): 189–92, https://doi.org/10.1177/1354066104042934.</w:t>
      </w:r>
    </w:p>
  </w:footnote>
  <w:footnote w:id="2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James D. Fearon, “Rationalist Explanations for War,” </w:t>
      </w:r>
      <w:r w:rsidRPr="002418D7">
        <w:rPr>
          <w:rFonts w:ascii="Helvetica Neue" w:hAnsi="Helvetica Neue"/>
          <w:i/>
          <w:sz w:val="16"/>
          <w:szCs w:val="16"/>
        </w:rPr>
        <w:t>International Organization</w:t>
      </w:r>
      <w:r w:rsidRPr="002418D7">
        <w:rPr>
          <w:rFonts w:ascii="Helvetica Neue" w:hAnsi="Helvetica Neue"/>
          <w:sz w:val="16"/>
          <w:szCs w:val="16"/>
        </w:rPr>
        <w:t xml:space="preserve"> 49, no. 3 (1995): 395–97, https://doi.org/10.1017/S0020818300033324.</w:t>
      </w:r>
    </w:p>
  </w:footnote>
  <w:footnote w:id="2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Sean Aday et al., </w:t>
      </w:r>
      <w:r w:rsidRPr="002418D7">
        <w:rPr>
          <w:rFonts w:ascii="Helvetica Neue" w:hAnsi="Helvetica Neue"/>
          <w:i/>
          <w:sz w:val="16"/>
          <w:szCs w:val="16"/>
        </w:rPr>
        <w:t>Hybrid Threats: A Strategic Communications Perspective</w:t>
      </w:r>
      <w:r w:rsidRPr="002418D7">
        <w:rPr>
          <w:rFonts w:ascii="Helvetica Neue" w:hAnsi="Helvetica Neue"/>
          <w:sz w:val="16"/>
          <w:szCs w:val="16"/>
        </w:rPr>
        <w:t xml:space="preserve"> (Riga: NATO Strategic Communications Centre of Excellence, 2019), 38, 42.</w:t>
      </w:r>
    </w:p>
  </w:footnote>
  <w:footnote w:id="2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JCOIE, 4.</w:t>
      </w:r>
    </w:p>
  </w:footnote>
  <w:footnote w:id="2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Viasat, Inc., “KA-SAT Network Cyber Attack Overview,” 30 March 2022, 1–2, https://www.viasat.com/perspectives/corporate/2022/ka-sat-network-cyber-attack-overview/.</w:t>
      </w:r>
    </w:p>
  </w:footnote>
  <w:footnote w:id="2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MITRE ATT&amp;CK, “AcidRain,” Software S1125, version 1.1, last modified 15 April 2025, https://attack.mitre.org/software/S1125/.</w:t>
      </w:r>
    </w:p>
  </w:footnote>
  <w:footnote w:id="3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UK National Cyber Security Centre, “Russia behind Cyber Attack.”</w:t>
      </w:r>
    </w:p>
  </w:footnote>
  <w:footnote w:id="3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Blinken, “Attribution of Russia’s Malicious Cyber Activity.”</w:t>
      </w:r>
    </w:p>
  </w:footnote>
  <w:footnote w:id="3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footnote>
  <w:footnote w:id="3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Kim Zetter, “Viasat Hack ‘Did Not’ Have Huge Impact on Ukrainian Military Communications, Official Says,” </w:t>
      </w:r>
      <w:r w:rsidRPr="002418D7">
        <w:rPr>
          <w:rFonts w:ascii="Helvetica Neue" w:hAnsi="Helvetica Neue"/>
          <w:i/>
          <w:sz w:val="16"/>
          <w:szCs w:val="16"/>
        </w:rPr>
        <w:t>Zero Day</w:t>
      </w:r>
      <w:r w:rsidRPr="002418D7">
        <w:rPr>
          <w:rFonts w:ascii="Helvetica Neue" w:hAnsi="Helvetica Neue"/>
          <w:sz w:val="16"/>
          <w:szCs w:val="16"/>
        </w:rPr>
        <w:t>, 26 September 2022, including update at 3:30 p.m. PST, https://www.zetter-zeroday.com/viasat-hack-did-not-have-huge-impact/.</w:t>
      </w:r>
    </w:p>
  </w:footnote>
  <w:footnote w:id="3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U.S. Department of Defense, “Sabrina Singh, Deputy Pentagon Press Secretary, Holds a Press Briefing,” transcript, 14 October 2022, https://www.defense.gov/News/Transcripts/Transcript/Article/3189495/sabrina-singh-deputy-pentagon-press-secretary-holds-a-press-briefing/.</w:t>
      </w:r>
    </w:p>
  </w:footnote>
  <w:footnote w:id="3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Vorontsov, “Statement … on Outer Space,” 26 October 2022.</w:t>
      </w:r>
    </w:p>
  </w:footnote>
  <w:footnote w:id="3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The White House, “Press Gaggle by Press Secretary Karine Jean-Pierre En Route Syracuse, NY,” 27 October 2022, https://bidenwhitehouse.archives.gov/briefing-room/press-briefings/2022/10/27/press-gaggle-by-press-secretary-karine-jean-pierre-en-route-syracuse-ny/.</w:t>
      </w:r>
    </w:p>
  </w:footnote>
  <w:footnote w:id="3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Courtney Albon, “SpaceX Forms ‘Starshield’ Business Unit to Focus on National Security,” </w:t>
      </w:r>
      <w:r w:rsidRPr="002418D7">
        <w:rPr>
          <w:rFonts w:ascii="Helvetica Neue" w:hAnsi="Helvetica Neue"/>
          <w:i/>
          <w:sz w:val="16"/>
          <w:szCs w:val="16"/>
        </w:rPr>
        <w:t>Defense News</w:t>
      </w:r>
      <w:r w:rsidRPr="002418D7">
        <w:rPr>
          <w:rFonts w:ascii="Helvetica Neue" w:hAnsi="Helvetica Neue"/>
          <w:sz w:val="16"/>
          <w:szCs w:val="16"/>
        </w:rPr>
        <w:t>, 5 December 2022, https://www.defensenews.com/battlefield-tech/space/2022/12/05/spacex-forms-starshield-business-unit-to-focus-on-national-security/.</w:t>
      </w:r>
    </w:p>
  </w:footnote>
  <w:footnote w:id="3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Starlink.”</w:t>
      </w:r>
    </w:p>
  </w:footnote>
  <w:footnote w:id="3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Jon Harper, “Pentagon Contracting with SpaceX’s Starlink to Provide Satellite Communication Capabilities for Ukraine,” </w:t>
      </w:r>
      <w:r w:rsidRPr="002418D7">
        <w:rPr>
          <w:rFonts w:ascii="Helvetica Neue" w:hAnsi="Helvetica Neue"/>
          <w:i/>
          <w:sz w:val="16"/>
          <w:szCs w:val="16"/>
        </w:rPr>
        <w:t>DefenseScoop</w:t>
      </w:r>
      <w:r w:rsidRPr="002418D7">
        <w:rPr>
          <w:rFonts w:ascii="Helvetica Neue" w:hAnsi="Helvetica Neue"/>
          <w:sz w:val="16"/>
          <w:szCs w:val="16"/>
        </w:rPr>
        <w:t>, 1 June 2023, https://defensescoop.com/2023/06/01/pentagon-contracting-with-spacexs-starlink-to-provide-satellite-communication-capabilities-for-ukraine/.</w:t>
      </w:r>
    </w:p>
  </w:footnote>
  <w:footnote w:id="4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CBS News/AFP, “Elon Musk Says He Denied Ukraine Satellite Request to Avoid Complicity in ‘Major Act of War’ vs. Russia,” </w:t>
      </w:r>
      <w:r w:rsidRPr="002418D7">
        <w:rPr>
          <w:rFonts w:ascii="Helvetica Neue" w:hAnsi="Helvetica Neue"/>
          <w:i/>
          <w:sz w:val="16"/>
          <w:szCs w:val="16"/>
        </w:rPr>
        <w:t>CBS News</w:t>
      </w:r>
      <w:r w:rsidRPr="002418D7">
        <w:rPr>
          <w:rFonts w:ascii="Helvetica Neue" w:hAnsi="Helvetica Neue"/>
          <w:sz w:val="16"/>
          <w:szCs w:val="16"/>
        </w:rPr>
        <w:t>, 8 September 2023, https://www.cbsnews.com/news/elon-musk-ukraine-russia-war-starlink-satellite-denied-major-act-of-war/.</w:t>
      </w:r>
    </w:p>
  </w:footnote>
  <w:footnote w:id="4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Elon Musk (@elonmusk), “There was an emergency request from government authorities to activate Starlink all the way to Sevastopol,” X, 7 September 2023, https://x.com/elonmusk/status/1699917639043404146; Elon Musk (@elonmusk), “The Starlink regions in question were not activated. SpaceX did not deactivate anything,” X, 7 September 2023, https://x.com/elonmusk/status/1699913329261813809.</w:t>
      </w:r>
    </w:p>
  </w:footnote>
  <w:footnote w:id="4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Rid and Buchanan, “Attributing Cyber Attacks,” 7.</w:t>
      </w:r>
    </w:p>
  </w:footnote>
  <w:footnote w:id="4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Council of the European Union, “Russian Cyber Operations against Ukraine.”</w:t>
      </w:r>
    </w:p>
  </w:footnote>
  <w:footnote w:id="4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Starlink.”</w:t>
      </w:r>
    </w:p>
  </w:footnote>
  <w:footnote w:id="4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Vorontsov, “Statement … on Outer Space,” 26 October 2022.</w:t>
      </w:r>
    </w:p>
  </w:footnote>
  <w:footnote w:id="4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4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Beard and Stephens, </w:t>
      </w:r>
      <w:r w:rsidRPr="002418D7">
        <w:rPr>
          <w:rFonts w:ascii="Helvetica Neue" w:hAnsi="Helvetica Neue"/>
          <w:i/>
          <w:sz w:val="16"/>
          <w:szCs w:val="16"/>
        </w:rPr>
        <w:t>Woomera Manual</w:t>
      </w:r>
      <w:r w:rsidRPr="002418D7">
        <w:rPr>
          <w:rFonts w:ascii="Helvetica Neue" w:hAnsi="Helvetica Neue"/>
          <w:sz w:val="16"/>
          <w:szCs w:val="16"/>
        </w:rPr>
        <w:t>, 320–21.</w:t>
      </w:r>
    </w:p>
  </w:footnote>
  <w:footnote w:id="4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Wiener, “Contested Compliance,” 189–92.</w:t>
      </w:r>
    </w:p>
  </w:footnote>
  <w:footnote w:id="4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Kuplic and Sawmiller, “Humanity on the Final Frontier,” 235–37.</w:t>
      </w:r>
    </w:p>
  </w:footnote>
  <w:footnote w:id="5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Almudena Azcárate Ortega and Sarah Erickson, </w:t>
      </w:r>
      <w:r w:rsidRPr="002418D7">
        <w:rPr>
          <w:rFonts w:ascii="Helvetica Neue" w:hAnsi="Helvetica Neue"/>
          <w:i/>
          <w:sz w:val="16"/>
          <w:szCs w:val="16"/>
        </w:rPr>
        <w:t>OEWG on Reducing Space Threats: Recap Report</w:t>
      </w:r>
      <w:r w:rsidRPr="002418D7">
        <w:rPr>
          <w:rFonts w:ascii="Helvetica Neue" w:hAnsi="Helvetica Neue"/>
          <w:sz w:val="16"/>
          <w:szCs w:val="16"/>
        </w:rPr>
        <w:t xml:space="preserve"> (Geneva: United Nations Institute for Disarmament Research, 2024), 22, 30–33, 36, https://doi.org/10.37559/WMD/24/Space/01.</w:t>
      </w:r>
    </w:p>
  </w:footnote>
  <w:footnote w:id="5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United Nations General Assembly, </w:t>
      </w:r>
      <w:r w:rsidRPr="002418D7">
        <w:rPr>
          <w:rFonts w:ascii="Helvetica Neue" w:hAnsi="Helvetica Neue"/>
          <w:i/>
          <w:sz w:val="16"/>
          <w:szCs w:val="16"/>
        </w:rPr>
        <w:t>Report of the Group of Governmental Experts on Further Practical Measures for the Prevention of an Arms Race in Outer Space</w:t>
      </w:r>
      <w:r w:rsidRPr="002418D7">
        <w:rPr>
          <w:rFonts w:ascii="Helvetica Neue" w:hAnsi="Helvetica Neue"/>
          <w:sz w:val="16"/>
          <w:szCs w:val="16"/>
        </w:rPr>
        <w:t>, A/79/364, 20 September 2024, 2.</w:t>
      </w:r>
    </w:p>
  </w:footnote>
  <w:footnote w:id="5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Fearon, “Rationalist Explanations for War,” 395–97.</w:t>
      </w:r>
    </w:p>
  </w:footnote>
  <w:footnote w:id="5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White House, “Press Gaggle by Press Secretary Karine Jean-Pierre,” 27 October 2022.</w:t>
      </w:r>
    </w:p>
  </w:footnote>
  <w:footnote w:id="5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Paul, </w:t>
      </w:r>
      <w:r w:rsidRPr="002418D7">
        <w:rPr>
          <w:rFonts w:ascii="Helvetica Neue" w:hAnsi="Helvetica Neue"/>
          <w:i/>
          <w:sz w:val="16"/>
          <w:szCs w:val="16"/>
        </w:rPr>
        <w:t>Strategic Communication</w:t>
      </w:r>
      <w:r w:rsidRPr="002418D7">
        <w:rPr>
          <w:rFonts w:ascii="Helvetica Neue" w:hAnsi="Helvetica Neue"/>
          <w:sz w:val="16"/>
          <w:szCs w:val="16"/>
        </w:rPr>
        <w:t>, 119.</w:t>
      </w:r>
    </w:p>
  </w:footnote>
  <w:footnote w:id="5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5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w:t>
      </w:r>
      <w:proofErr w:type="spellStart"/>
      <w:r w:rsidRPr="002418D7">
        <w:rPr>
          <w:rFonts w:ascii="Helvetica Neue" w:hAnsi="Helvetica Neue"/>
          <w:sz w:val="16"/>
          <w:szCs w:val="16"/>
        </w:rPr>
        <w:t>Starlink</w:t>
      </w:r>
      <w:proofErr w:type="spellEnd"/>
      <w:r w:rsidRPr="002418D7">
        <w:rPr>
          <w:rFonts w:ascii="Helvetica Neue" w:hAnsi="Helvetica Neue"/>
          <w:sz w:val="16"/>
          <w:szCs w:val="16"/>
        </w:rPr>
        <w:t>.”</w:t>
      </w:r>
    </w:p>
  </w:footnote>
  <w:footnote w:id="5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International Committee of the Red Cross, </w:t>
      </w:r>
      <w:r w:rsidRPr="002418D7">
        <w:rPr>
          <w:rFonts w:ascii="Helvetica Neue" w:hAnsi="Helvetica Neue"/>
          <w:i/>
          <w:sz w:val="16"/>
          <w:szCs w:val="16"/>
        </w:rPr>
        <w:t>Constraints under International Law on Military Operations in, or in Relation to, Outer Space during Armed Conflicts</w:t>
      </w:r>
      <w:r w:rsidRPr="002418D7">
        <w:rPr>
          <w:rFonts w:ascii="Helvetica Neue" w:hAnsi="Helvetica Neue"/>
          <w:sz w:val="16"/>
          <w:szCs w:val="16"/>
        </w:rPr>
        <w:t>, working paper submitted to the Open-ended Working Group on Reducing Space Threats through Norms, Rules and Principles of Responsible Behaviours, UN Doc. A/AC.294/2022/WP.4, 3 May 2022, 5–6, https://www.icrc.org/en/document/constraints-under-international-law-military-space-operations.</w:t>
      </w:r>
    </w:p>
  </w:footnote>
  <w:footnote w:id="5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Viasat, “KA-SAT Network Cyber Attack Overview,” 1–2.</w:t>
      </w:r>
    </w:p>
  </w:footnote>
  <w:footnote w:id="5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Bi and Zhu, “From Objects to Interdependence,” 12–13.</w:t>
      </w:r>
    </w:p>
  </w:footnote>
  <w:footnote w:id="6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Azcárate Ortega and Erickson, </w:t>
      </w:r>
      <w:r w:rsidRPr="002418D7">
        <w:rPr>
          <w:rFonts w:ascii="Helvetica Neue" w:hAnsi="Helvetica Neue"/>
          <w:i/>
          <w:sz w:val="16"/>
          <w:szCs w:val="16"/>
        </w:rPr>
        <w:t>OEWG on Reducing Space Threats</w:t>
      </w:r>
      <w:r w:rsidRPr="002418D7">
        <w:rPr>
          <w:rFonts w:ascii="Helvetica Neue" w:hAnsi="Helvetica Neue"/>
          <w:sz w:val="16"/>
          <w:szCs w:val="16"/>
        </w:rPr>
        <w:t>, 11.</w:t>
      </w:r>
    </w:p>
  </w:footnote>
  <w:footnote w:id="6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West and Azcárate Ortega, </w:t>
      </w:r>
      <w:r w:rsidRPr="002418D7">
        <w:rPr>
          <w:rFonts w:ascii="Helvetica Neue" w:hAnsi="Helvetica Neue"/>
          <w:i/>
          <w:sz w:val="16"/>
          <w:szCs w:val="16"/>
        </w:rPr>
        <w:t>Norms for Outer Space</w:t>
      </w:r>
      <w:r w:rsidRPr="002418D7">
        <w:rPr>
          <w:rFonts w:ascii="Helvetica Neue" w:hAnsi="Helvetica Neue"/>
          <w:sz w:val="16"/>
          <w:szCs w:val="16"/>
        </w:rPr>
        <w:t>, 26–27.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E1"/>
    <w:rsid w:val="0008385A"/>
    <w:rsid w:val="000A547C"/>
    <w:rsid w:val="000B6549"/>
    <w:rsid w:val="000E0EA0"/>
    <w:rsid w:val="00105BA6"/>
    <w:rsid w:val="00131271"/>
    <w:rsid w:val="00142FB7"/>
    <w:rsid w:val="001722CA"/>
    <w:rsid w:val="00176FBA"/>
    <w:rsid w:val="001A116A"/>
    <w:rsid w:val="001A1716"/>
    <w:rsid w:val="001A7D57"/>
    <w:rsid w:val="001B13D1"/>
    <w:rsid w:val="001D2F88"/>
    <w:rsid w:val="001D36EC"/>
    <w:rsid w:val="001D6F25"/>
    <w:rsid w:val="001E5643"/>
    <w:rsid w:val="00203A4E"/>
    <w:rsid w:val="002418D7"/>
    <w:rsid w:val="0029461F"/>
    <w:rsid w:val="002A29DB"/>
    <w:rsid w:val="002B616E"/>
    <w:rsid w:val="002C7EFD"/>
    <w:rsid w:val="00315FA8"/>
    <w:rsid w:val="003266AD"/>
    <w:rsid w:val="003314EB"/>
    <w:rsid w:val="003531A4"/>
    <w:rsid w:val="003B18A3"/>
    <w:rsid w:val="003B7C8F"/>
    <w:rsid w:val="004326E1"/>
    <w:rsid w:val="0044741C"/>
    <w:rsid w:val="00476604"/>
    <w:rsid w:val="00493B4B"/>
    <w:rsid w:val="00494C04"/>
    <w:rsid w:val="004F29F0"/>
    <w:rsid w:val="00530F08"/>
    <w:rsid w:val="00551825"/>
    <w:rsid w:val="0058256A"/>
    <w:rsid w:val="00593F9B"/>
    <w:rsid w:val="005B20B1"/>
    <w:rsid w:val="005D6BFC"/>
    <w:rsid w:val="005F41FA"/>
    <w:rsid w:val="00617BBE"/>
    <w:rsid w:val="00637D67"/>
    <w:rsid w:val="00664BE6"/>
    <w:rsid w:val="006751A4"/>
    <w:rsid w:val="006C67BE"/>
    <w:rsid w:val="006E194F"/>
    <w:rsid w:val="0072458F"/>
    <w:rsid w:val="0073286F"/>
    <w:rsid w:val="007472E5"/>
    <w:rsid w:val="00773251"/>
    <w:rsid w:val="00796822"/>
    <w:rsid w:val="007B74A6"/>
    <w:rsid w:val="007D0AAD"/>
    <w:rsid w:val="007F112A"/>
    <w:rsid w:val="008010F3"/>
    <w:rsid w:val="00825C61"/>
    <w:rsid w:val="00861563"/>
    <w:rsid w:val="008C3B2F"/>
    <w:rsid w:val="00905DD0"/>
    <w:rsid w:val="00907E99"/>
    <w:rsid w:val="00915AFC"/>
    <w:rsid w:val="0092093D"/>
    <w:rsid w:val="00946A51"/>
    <w:rsid w:val="00955264"/>
    <w:rsid w:val="00980C8D"/>
    <w:rsid w:val="009C637D"/>
    <w:rsid w:val="00A453FE"/>
    <w:rsid w:val="00A61CFE"/>
    <w:rsid w:val="00A63CDA"/>
    <w:rsid w:val="00AA4221"/>
    <w:rsid w:val="00AF7CF7"/>
    <w:rsid w:val="00B62869"/>
    <w:rsid w:val="00B76AE8"/>
    <w:rsid w:val="00B90248"/>
    <w:rsid w:val="00BB2C90"/>
    <w:rsid w:val="00C0086C"/>
    <w:rsid w:val="00C85398"/>
    <w:rsid w:val="00C8735E"/>
    <w:rsid w:val="00C92A50"/>
    <w:rsid w:val="00C94FFF"/>
    <w:rsid w:val="00CA6086"/>
    <w:rsid w:val="00CC0F65"/>
    <w:rsid w:val="00CC346E"/>
    <w:rsid w:val="00CC5884"/>
    <w:rsid w:val="00CF0620"/>
    <w:rsid w:val="00CF6C22"/>
    <w:rsid w:val="00D35557"/>
    <w:rsid w:val="00D70EA9"/>
    <w:rsid w:val="00E1429E"/>
    <w:rsid w:val="00E15C80"/>
    <w:rsid w:val="00E5626E"/>
    <w:rsid w:val="00EA74B1"/>
    <w:rsid w:val="00EB0237"/>
    <w:rsid w:val="00EB2FD6"/>
    <w:rsid w:val="00F01FBB"/>
    <w:rsid w:val="00F256DD"/>
    <w:rsid w:val="00F407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FCC1485"/>
  <w15:chartTrackingRefBased/>
  <w15:docId w15:val="{F3C02614-EE2C-DD4D-93C8-1BB0930D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eastAsia="Times New Roman" w:hAnsi="Times New Roman"/>
    </w:rPr>
  </w:style>
  <w:style w:type="paragraph" w:styleId="Heading1">
    <w:name w:val="heading 1"/>
    <w:basedOn w:val="Normal"/>
    <w:next w:val="Normal"/>
    <w:link w:val="Heading1Char"/>
    <w:uiPriority w:val="9"/>
    <w:qFormat/>
    <w:rsid w:val="004326E1"/>
    <w:pPr>
      <w:keepNext/>
      <w:keepLines/>
      <w:spacing w:before="240" w:after="12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Normal"/>
    <w:link w:val="Heading2Char"/>
    <w:uiPriority w:val="9"/>
    <w:semiHidden/>
    <w:unhideWhenUsed/>
    <w:qFormat/>
    <w:rsid w:val="004326E1"/>
    <w:pPr>
      <w:keepNext/>
      <w:keepLines/>
      <w:spacing w:before="240" w:after="12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43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6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6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6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6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6E1"/>
    <w:rPr>
      <w:rFonts w:eastAsiaTheme="majorEastAsia" w:cstheme="majorBidi"/>
      <w:color w:val="272727" w:themeColor="text1" w:themeTint="D8"/>
    </w:rPr>
  </w:style>
  <w:style w:type="paragraph" w:styleId="Title">
    <w:name w:val="Title"/>
    <w:basedOn w:val="Normal"/>
    <w:next w:val="Normal"/>
    <w:link w:val="TitleChar"/>
    <w:uiPriority w:val="10"/>
    <w:qFormat/>
    <w:rsid w:val="004326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6E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6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6E1"/>
    <w:rPr>
      <w:i/>
      <w:iCs/>
      <w:color w:val="404040" w:themeColor="text1" w:themeTint="BF"/>
    </w:rPr>
  </w:style>
  <w:style w:type="paragraph" w:styleId="ListParagraph">
    <w:name w:val="List Paragraph"/>
    <w:basedOn w:val="Normal"/>
    <w:uiPriority w:val="34"/>
    <w:qFormat/>
    <w:rsid w:val="004326E1"/>
    <w:pPr>
      <w:ind w:left="720"/>
      <w:contextualSpacing/>
    </w:pPr>
  </w:style>
  <w:style w:type="character" w:styleId="IntenseEmphasis">
    <w:name w:val="Intense Emphasis"/>
    <w:basedOn w:val="DefaultParagraphFont"/>
    <w:uiPriority w:val="21"/>
    <w:qFormat/>
    <w:rsid w:val="004326E1"/>
    <w:rPr>
      <w:i/>
      <w:iCs/>
      <w:color w:val="0F4761" w:themeColor="accent1" w:themeShade="BF"/>
    </w:rPr>
  </w:style>
  <w:style w:type="paragraph" w:styleId="IntenseQuote">
    <w:name w:val="Intense Quote"/>
    <w:basedOn w:val="Normal"/>
    <w:next w:val="Normal"/>
    <w:link w:val="IntenseQuoteChar"/>
    <w:uiPriority w:val="30"/>
    <w:qFormat/>
    <w:rsid w:val="0043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6E1"/>
    <w:rPr>
      <w:i/>
      <w:iCs/>
      <w:color w:val="0F4761" w:themeColor="accent1" w:themeShade="BF"/>
    </w:rPr>
  </w:style>
  <w:style w:type="character" w:styleId="IntenseReference">
    <w:name w:val="Intense Reference"/>
    <w:basedOn w:val="DefaultParagraphFont"/>
    <w:uiPriority w:val="32"/>
    <w:qFormat/>
    <w:rsid w:val="004326E1"/>
    <w:rPr>
      <w:b/>
      <w:bCs/>
      <w:smallCaps/>
      <w:color w:val="0F4761" w:themeColor="accent1" w:themeShade="BF"/>
      <w:spacing w:val="5"/>
    </w:rPr>
  </w:style>
  <w:style w:type="paragraph" w:styleId="Header">
    <w:name w:val="header"/>
    <w:basedOn w:val="Normal"/>
    <w:link w:val="HeaderChar"/>
    <w:uiPriority w:val="99"/>
    <w:unhideWhenUsed/>
    <w:rsid w:val="004326E1"/>
    <w:pPr>
      <w:tabs>
        <w:tab w:val="center" w:pos="4513"/>
        <w:tab w:val="right" w:pos="9026"/>
      </w:tabs>
    </w:pPr>
  </w:style>
  <w:style w:type="character" w:customStyle="1" w:styleId="HeaderChar">
    <w:name w:val="Header Char"/>
    <w:basedOn w:val="DefaultParagraphFont"/>
    <w:link w:val="Header"/>
    <w:uiPriority w:val="99"/>
    <w:rsid w:val="004326E1"/>
  </w:style>
  <w:style w:type="paragraph" w:styleId="Footer">
    <w:name w:val="footer"/>
    <w:basedOn w:val="Normal"/>
    <w:link w:val="FooterChar"/>
    <w:uiPriority w:val="99"/>
    <w:unhideWhenUsed/>
    <w:rsid w:val="004326E1"/>
    <w:pPr>
      <w:tabs>
        <w:tab w:val="center" w:pos="4513"/>
        <w:tab w:val="right" w:pos="9026"/>
      </w:tabs>
    </w:pPr>
  </w:style>
  <w:style w:type="character" w:customStyle="1" w:styleId="FooterChar">
    <w:name w:val="Footer Char"/>
    <w:basedOn w:val="DefaultParagraphFont"/>
    <w:link w:val="Footer"/>
    <w:uiPriority w:val="99"/>
    <w:rsid w:val="004326E1"/>
  </w:style>
  <w:style w:type="character" w:styleId="PageNumber">
    <w:name w:val="page number"/>
    <w:basedOn w:val="DefaultParagraphFont"/>
    <w:uiPriority w:val="99"/>
    <w:semiHidden/>
    <w:unhideWhenUsed/>
    <w:rsid w:val="004326E1"/>
  </w:style>
  <w:style w:type="paragraph" w:customStyle="1" w:styleId="FootnoteText1">
    <w:name w:val="Footnote Text1"/>
    <w:rPr>
      <w:rFonts w:ascii="Times New Roman" w:eastAsia="Times New Roman" w:hAnsi="Times New Roman"/>
      <w:sz w:val="18"/>
    </w:rPr>
  </w:style>
  <w:style w:type="paragraph" w:styleId="FootnoteText">
    <w:name w:val="footnote text"/>
    <w:basedOn w:val="Normal"/>
    <w:link w:val="FootnoteTextChar"/>
    <w:uiPriority w:val="99"/>
    <w:semiHidden/>
    <w:unhideWhenUsed/>
    <w:rsid w:val="00176FBA"/>
    <w:pPr>
      <w:spacing w:line="240" w:lineRule="auto"/>
    </w:pPr>
    <w:rPr>
      <w:sz w:val="20"/>
      <w:szCs w:val="20"/>
    </w:rPr>
  </w:style>
  <w:style w:type="character" w:customStyle="1" w:styleId="FootnoteTextChar">
    <w:name w:val="Footnote Text Char"/>
    <w:basedOn w:val="DefaultParagraphFont"/>
    <w:link w:val="FootnoteText"/>
    <w:uiPriority w:val="99"/>
    <w:semiHidden/>
    <w:rsid w:val="00176FBA"/>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176FBA"/>
    <w:rPr>
      <w:vertAlign w:val="superscript"/>
    </w:rPr>
  </w:style>
  <w:style w:type="paragraph" w:styleId="NormalWeb">
    <w:name w:val="Normal (Web)"/>
    <w:basedOn w:val="Normal"/>
    <w:uiPriority w:val="99"/>
    <w:unhideWhenUsed/>
    <w:rsid w:val="00EB0237"/>
    <w:pPr>
      <w:spacing w:before="100" w:beforeAutospacing="1" w:after="100" w:afterAutospacing="1" w:line="240" w:lineRule="auto"/>
      <w:ind w:firstLine="0"/>
      <w:jc w:val="left"/>
    </w:pPr>
    <w:rPr>
      <w:rFonts w:cs="Times New Roman"/>
      <w:kern w:val="0"/>
      <w:lang w:eastAsia="en-GB"/>
      <w14:ligatures w14:val="none"/>
    </w:rPr>
  </w:style>
  <w:style w:type="character" w:styleId="Strong">
    <w:name w:val="Strong"/>
    <w:basedOn w:val="DefaultParagraphFont"/>
    <w:uiPriority w:val="22"/>
    <w:qFormat/>
    <w:rsid w:val="007D0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205">
      <w:bodyDiv w:val="1"/>
      <w:marLeft w:val="0"/>
      <w:marRight w:val="0"/>
      <w:marTop w:val="0"/>
      <w:marBottom w:val="0"/>
      <w:divBdr>
        <w:top w:val="none" w:sz="0" w:space="0" w:color="auto"/>
        <w:left w:val="none" w:sz="0" w:space="0" w:color="auto"/>
        <w:bottom w:val="none" w:sz="0" w:space="0" w:color="auto"/>
        <w:right w:val="none" w:sz="0" w:space="0" w:color="auto"/>
      </w:divBdr>
    </w:div>
    <w:div w:id="58526987">
      <w:bodyDiv w:val="1"/>
      <w:marLeft w:val="0"/>
      <w:marRight w:val="0"/>
      <w:marTop w:val="0"/>
      <w:marBottom w:val="0"/>
      <w:divBdr>
        <w:top w:val="none" w:sz="0" w:space="0" w:color="auto"/>
        <w:left w:val="none" w:sz="0" w:space="0" w:color="auto"/>
        <w:bottom w:val="none" w:sz="0" w:space="0" w:color="auto"/>
        <w:right w:val="none" w:sz="0" w:space="0" w:color="auto"/>
      </w:divBdr>
    </w:div>
    <w:div w:id="134957543">
      <w:bodyDiv w:val="1"/>
      <w:marLeft w:val="0"/>
      <w:marRight w:val="0"/>
      <w:marTop w:val="0"/>
      <w:marBottom w:val="0"/>
      <w:divBdr>
        <w:top w:val="none" w:sz="0" w:space="0" w:color="auto"/>
        <w:left w:val="none" w:sz="0" w:space="0" w:color="auto"/>
        <w:bottom w:val="none" w:sz="0" w:space="0" w:color="auto"/>
        <w:right w:val="none" w:sz="0" w:space="0" w:color="auto"/>
      </w:divBdr>
    </w:div>
    <w:div w:id="154037264">
      <w:bodyDiv w:val="1"/>
      <w:marLeft w:val="0"/>
      <w:marRight w:val="0"/>
      <w:marTop w:val="0"/>
      <w:marBottom w:val="0"/>
      <w:divBdr>
        <w:top w:val="none" w:sz="0" w:space="0" w:color="auto"/>
        <w:left w:val="none" w:sz="0" w:space="0" w:color="auto"/>
        <w:bottom w:val="none" w:sz="0" w:space="0" w:color="auto"/>
        <w:right w:val="none" w:sz="0" w:space="0" w:color="auto"/>
      </w:divBdr>
    </w:div>
    <w:div w:id="188418210">
      <w:bodyDiv w:val="1"/>
      <w:marLeft w:val="0"/>
      <w:marRight w:val="0"/>
      <w:marTop w:val="0"/>
      <w:marBottom w:val="0"/>
      <w:divBdr>
        <w:top w:val="none" w:sz="0" w:space="0" w:color="auto"/>
        <w:left w:val="none" w:sz="0" w:space="0" w:color="auto"/>
        <w:bottom w:val="none" w:sz="0" w:space="0" w:color="auto"/>
        <w:right w:val="none" w:sz="0" w:space="0" w:color="auto"/>
      </w:divBdr>
    </w:div>
    <w:div w:id="214705586">
      <w:bodyDiv w:val="1"/>
      <w:marLeft w:val="0"/>
      <w:marRight w:val="0"/>
      <w:marTop w:val="0"/>
      <w:marBottom w:val="0"/>
      <w:divBdr>
        <w:top w:val="none" w:sz="0" w:space="0" w:color="auto"/>
        <w:left w:val="none" w:sz="0" w:space="0" w:color="auto"/>
        <w:bottom w:val="none" w:sz="0" w:space="0" w:color="auto"/>
        <w:right w:val="none" w:sz="0" w:space="0" w:color="auto"/>
      </w:divBdr>
    </w:div>
    <w:div w:id="250313811">
      <w:bodyDiv w:val="1"/>
      <w:marLeft w:val="0"/>
      <w:marRight w:val="0"/>
      <w:marTop w:val="0"/>
      <w:marBottom w:val="0"/>
      <w:divBdr>
        <w:top w:val="none" w:sz="0" w:space="0" w:color="auto"/>
        <w:left w:val="none" w:sz="0" w:space="0" w:color="auto"/>
        <w:bottom w:val="none" w:sz="0" w:space="0" w:color="auto"/>
        <w:right w:val="none" w:sz="0" w:space="0" w:color="auto"/>
      </w:divBdr>
    </w:div>
    <w:div w:id="473136992">
      <w:bodyDiv w:val="1"/>
      <w:marLeft w:val="0"/>
      <w:marRight w:val="0"/>
      <w:marTop w:val="0"/>
      <w:marBottom w:val="0"/>
      <w:divBdr>
        <w:top w:val="none" w:sz="0" w:space="0" w:color="auto"/>
        <w:left w:val="none" w:sz="0" w:space="0" w:color="auto"/>
        <w:bottom w:val="none" w:sz="0" w:space="0" w:color="auto"/>
        <w:right w:val="none" w:sz="0" w:space="0" w:color="auto"/>
      </w:divBdr>
    </w:div>
    <w:div w:id="486867939">
      <w:bodyDiv w:val="1"/>
      <w:marLeft w:val="0"/>
      <w:marRight w:val="0"/>
      <w:marTop w:val="0"/>
      <w:marBottom w:val="0"/>
      <w:divBdr>
        <w:top w:val="none" w:sz="0" w:space="0" w:color="auto"/>
        <w:left w:val="none" w:sz="0" w:space="0" w:color="auto"/>
        <w:bottom w:val="none" w:sz="0" w:space="0" w:color="auto"/>
        <w:right w:val="none" w:sz="0" w:space="0" w:color="auto"/>
      </w:divBdr>
    </w:div>
    <w:div w:id="494346704">
      <w:bodyDiv w:val="1"/>
      <w:marLeft w:val="0"/>
      <w:marRight w:val="0"/>
      <w:marTop w:val="0"/>
      <w:marBottom w:val="0"/>
      <w:divBdr>
        <w:top w:val="none" w:sz="0" w:space="0" w:color="auto"/>
        <w:left w:val="none" w:sz="0" w:space="0" w:color="auto"/>
        <w:bottom w:val="none" w:sz="0" w:space="0" w:color="auto"/>
        <w:right w:val="none" w:sz="0" w:space="0" w:color="auto"/>
      </w:divBdr>
    </w:div>
    <w:div w:id="591859967">
      <w:bodyDiv w:val="1"/>
      <w:marLeft w:val="0"/>
      <w:marRight w:val="0"/>
      <w:marTop w:val="0"/>
      <w:marBottom w:val="0"/>
      <w:divBdr>
        <w:top w:val="none" w:sz="0" w:space="0" w:color="auto"/>
        <w:left w:val="none" w:sz="0" w:space="0" w:color="auto"/>
        <w:bottom w:val="none" w:sz="0" w:space="0" w:color="auto"/>
        <w:right w:val="none" w:sz="0" w:space="0" w:color="auto"/>
      </w:divBdr>
    </w:div>
    <w:div w:id="617570279">
      <w:bodyDiv w:val="1"/>
      <w:marLeft w:val="0"/>
      <w:marRight w:val="0"/>
      <w:marTop w:val="0"/>
      <w:marBottom w:val="0"/>
      <w:divBdr>
        <w:top w:val="none" w:sz="0" w:space="0" w:color="auto"/>
        <w:left w:val="none" w:sz="0" w:space="0" w:color="auto"/>
        <w:bottom w:val="none" w:sz="0" w:space="0" w:color="auto"/>
        <w:right w:val="none" w:sz="0" w:space="0" w:color="auto"/>
      </w:divBdr>
    </w:div>
    <w:div w:id="630210894">
      <w:bodyDiv w:val="1"/>
      <w:marLeft w:val="0"/>
      <w:marRight w:val="0"/>
      <w:marTop w:val="0"/>
      <w:marBottom w:val="0"/>
      <w:divBdr>
        <w:top w:val="none" w:sz="0" w:space="0" w:color="auto"/>
        <w:left w:val="none" w:sz="0" w:space="0" w:color="auto"/>
        <w:bottom w:val="none" w:sz="0" w:space="0" w:color="auto"/>
        <w:right w:val="none" w:sz="0" w:space="0" w:color="auto"/>
      </w:divBdr>
    </w:div>
    <w:div w:id="658309370">
      <w:bodyDiv w:val="1"/>
      <w:marLeft w:val="0"/>
      <w:marRight w:val="0"/>
      <w:marTop w:val="0"/>
      <w:marBottom w:val="0"/>
      <w:divBdr>
        <w:top w:val="none" w:sz="0" w:space="0" w:color="auto"/>
        <w:left w:val="none" w:sz="0" w:space="0" w:color="auto"/>
        <w:bottom w:val="none" w:sz="0" w:space="0" w:color="auto"/>
        <w:right w:val="none" w:sz="0" w:space="0" w:color="auto"/>
      </w:divBdr>
    </w:div>
    <w:div w:id="809781958">
      <w:bodyDiv w:val="1"/>
      <w:marLeft w:val="0"/>
      <w:marRight w:val="0"/>
      <w:marTop w:val="0"/>
      <w:marBottom w:val="0"/>
      <w:divBdr>
        <w:top w:val="none" w:sz="0" w:space="0" w:color="auto"/>
        <w:left w:val="none" w:sz="0" w:space="0" w:color="auto"/>
        <w:bottom w:val="none" w:sz="0" w:space="0" w:color="auto"/>
        <w:right w:val="none" w:sz="0" w:space="0" w:color="auto"/>
      </w:divBdr>
    </w:div>
    <w:div w:id="1018309972">
      <w:bodyDiv w:val="1"/>
      <w:marLeft w:val="0"/>
      <w:marRight w:val="0"/>
      <w:marTop w:val="0"/>
      <w:marBottom w:val="0"/>
      <w:divBdr>
        <w:top w:val="none" w:sz="0" w:space="0" w:color="auto"/>
        <w:left w:val="none" w:sz="0" w:space="0" w:color="auto"/>
        <w:bottom w:val="none" w:sz="0" w:space="0" w:color="auto"/>
        <w:right w:val="none" w:sz="0" w:space="0" w:color="auto"/>
      </w:divBdr>
      <w:divsChild>
        <w:div w:id="100239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40653">
      <w:bodyDiv w:val="1"/>
      <w:marLeft w:val="0"/>
      <w:marRight w:val="0"/>
      <w:marTop w:val="0"/>
      <w:marBottom w:val="0"/>
      <w:divBdr>
        <w:top w:val="none" w:sz="0" w:space="0" w:color="auto"/>
        <w:left w:val="none" w:sz="0" w:space="0" w:color="auto"/>
        <w:bottom w:val="none" w:sz="0" w:space="0" w:color="auto"/>
        <w:right w:val="none" w:sz="0" w:space="0" w:color="auto"/>
      </w:divBdr>
    </w:div>
    <w:div w:id="1070152134">
      <w:bodyDiv w:val="1"/>
      <w:marLeft w:val="0"/>
      <w:marRight w:val="0"/>
      <w:marTop w:val="0"/>
      <w:marBottom w:val="0"/>
      <w:divBdr>
        <w:top w:val="none" w:sz="0" w:space="0" w:color="auto"/>
        <w:left w:val="none" w:sz="0" w:space="0" w:color="auto"/>
        <w:bottom w:val="none" w:sz="0" w:space="0" w:color="auto"/>
        <w:right w:val="none" w:sz="0" w:space="0" w:color="auto"/>
      </w:divBdr>
    </w:div>
    <w:div w:id="1072047573">
      <w:bodyDiv w:val="1"/>
      <w:marLeft w:val="0"/>
      <w:marRight w:val="0"/>
      <w:marTop w:val="0"/>
      <w:marBottom w:val="0"/>
      <w:divBdr>
        <w:top w:val="none" w:sz="0" w:space="0" w:color="auto"/>
        <w:left w:val="none" w:sz="0" w:space="0" w:color="auto"/>
        <w:bottom w:val="none" w:sz="0" w:space="0" w:color="auto"/>
        <w:right w:val="none" w:sz="0" w:space="0" w:color="auto"/>
      </w:divBdr>
      <w:divsChild>
        <w:div w:id="1864588266">
          <w:marLeft w:val="0"/>
          <w:marRight w:val="0"/>
          <w:marTop w:val="0"/>
          <w:marBottom w:val="0"/>
          <w:divBdr>
            <w:top w:val="none" w:sz="0" w:space="0" w:color="auto"/>
            <w:left w:val="none" w:sz="0" w:space="0" w:color="auto"/>
            <w:bottom w:val="none" w:sz="0" w:space="0" w:color="auto"/>
            <w:right w:val="none" w:sz="0" w:space="0" w:color="auto"/>
          </w:divBdr>
          <w:divsChild>
            <w:div w:id="1569536738">
              <w:marLeft w:val="0"/>
              <w:marRight w:val="0"/>
              <w:marTop w:val="0"/>
              <w:marBottom w:val="0"/>
              <w:divBdr>
                <w:top w:val="none" w:sz="0" w:space="0" w:color="auto"/>
                <w:left w:val="none" w:sz="0" w:space="0" w:color="auto"/>
                <w:bottom w:val="none" w:sz="0" w:space="0" w:color="auto"/>
                <w:right w:val="none" w:sz="0" w:space="0" w:color="auto"/>
              </w:divBdr>
              <w:divsChild>
                <w:div w:id="738749770">
                  <w:marLeft w:val="0"/>
                  <w:marRight w:val="0"/>
                  <w:marTop w:val="0"/>
                  <w:marBottom w:val="0"/>
                  <w:divBdr>
                    <w:top w:val="none" w:sz="0" w:space="0" w:color="auto"/>
                    <w:left w:val="none" w:sz="0" w:space="0" w:color="auto"/>
                    <w:bottom w:val="none" w:sz="0" w:space="0" w:color="auto"/>
                    <w:right w:val="none" w:sz="0" w:space="0" w:color="auto"/>
                  </w:divBdr>
                </w:div>
              </w:divsChild>
            </w:div>
            <w:div w:id="1267424786">
              <w:marLeft w:val="0"/>
              <w:marRight w:val="0"/>
              <w:marTop w:val="0"/>
              <w:marBottom w:val="0"/>
              <w:divBdr>
                <w:top w:val="none" w:sz="0" w:space="0" w:color="auto"/>
                <w:left w:val="none" w:sz="0" w:space="0" w:color="auto"/>
                <w:bottom w:val="none" w:sz="0" w:space="0" w:color="auto"/>
                <w:right w:val="none" w:sz="0" w:space="0" w:color="auto"/>
              </w:divBdr>
              <w:divsChild>
                <w:div w:id="606154767">
                  <w:marLeft w:val="0"/>
                  <w:marRight w:val="0"/>
                  <w:marTop w:val="0"/>
                  <w:marBottom w:val="0"/>
                  <w:divBdr>
                    <w:top w:val="none" w:sz="0" w:space="0" w:color="auto"/>
                    <w:left w:val="none" w:sz="0" w:space="0" w:color="auto"/>
                    <w:bottom w:val="none" w:sz="0" w:space="0" w:color="auto"/>
                    <w:right w:val="none" w:sz="0" w:space="0" w:color="auto"/>
                  </w:divBdr>
                  <w:divsChild>
                    <w:div w:id="1783569317">
                      <w:marLeft w:val="0"/>
                      <w:marRight w:val="0"/>
                      <w:marTop w:val="0"/>
                      <w:marBottom w:val="0"/>
                      <w:divBdr>
                        <w:top w:val="none" w:sz="0" w:space="0" w:color="auto"/>
                        <w:left w:val="none" w:sz="0" w:space="0" w:color="auto"/>
                        <w:bottom w:val="none" w:sz="0" w:space="0" w:color="auto"/>
                        <w:right w:val="none" w:sz="0" w:space="0" w:color="auto"/>
                      </w:divBdr>
                      <w:divsChild>
                        <w:div w:id="1810322374">
                          <w:marLeft w:val="0"/>
                          <w:marRight w:val="0"/>
                          <w:marTop w:val="0"/>
                          <w:marBottom w:val="0"/>
                          <w:divBdr>
                            <w:top w:val="none" w:sz="0" w:space="0" w:color="auto"/>
                            <w:left w:val="none" w:sz="0" w:space="0" w:color="auto"/>
                            <w:bottom w:val="none" w:sz="0" w:space="0" w:color="auto"/>
                            <w:right w:val="none" w:sz="0" w:space="0" w:color="auto"/>
                          </w:divBdr>
                          <w:divsChild>
                            <w:div w:id="694115881">
                              <w:marLeft w:val="0"/>
                              <w:marRight w:val="0"/>
                              <w:marTop w:val="0"/>
                              <w:marBottom w:val="0"/>
                              <w:divBdr>
                                <w:top w:val="none" w:sz="0" w:space="0" w:color="auto"/>
                                <w:left w:val="none" w:sz="0" w:space="0" w:color="auto"/>
                                <w:bottom w:val="none" w:sz="0" w:space="0" w:color="auto"/>
                                <w:right w:val="none" w:sz="0" w:space="0" w:color="auto"/>
                              </w:divBdr>
                              <w:divsChild>
                                <w:div w:id="175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70338">
      <w:bodyDiv w:val="1"/>
      <w:marLeft w:val="0"/>
      <w:marRight w:val="0"/>
      <w:marTop w:val="0"/>
      <w:marBottom w:val="0"/>
      <w:divBdr>
        <w:top w:val="none" w:sz="0" w:space="0" w:color="auto"/>
        <w:left w:val="none" w:sz="0" w:space="0" w:color="auto"/>
        <w:bottom w:val="none" w:sz="0" w:space="0" w:color="auto"/>
        <w:right w:val="none" w:sz="0" w:space="0" w:color="auto"/>
      </w:divBdr>
    </w:div>
    <w:div w:id="1219703695">
      <w:bodyDiv w:val="1"/>
      <w:marLeft w:val="0"/>
      <w:marRight w:val="0"/>
      <w:marTop w:val="0"/>
      <w:marBottom w:val="0"/>
      <w:divBdr>
        <w:top w:val="none" w:sz="0" w:space="0" w:color="auto"/>
        <w:left w:val="none" w:sz="0" w:space="0" w:color="auto"/>
        <w:bottom w:val="none" w:sz="0" w:space="0" w:color="auto"/>
        <w:right w:val="none" w:sz="0" w:space="0" w:color="auto"/>
      </w:divBdr>
    </w:div>
    <w:div w:id="1258751783">
      <w:bodyDiv w:val="1"/>
      <w:marLeft w:val="0"/>
      <w:marRight w:val="0"/>
      <w:marTop w:val="0"/>
      <w:marBottom w:val="0"/>
      <w:divBdr>
        <w:top w:val="none" w:sz="0" w:space="0" w:color="auto"/>
        <w:left w:val="none" w:sz="0" w:space="0" w:color="auto"/>
        <w:bottom w:val="none" w:sz="0" w:space="0" w:color="auto"/>
        <w:right w:val="none" w:sz="0" w:space="0" w:color="auto"/>
      </w:divBdr>
    </w:div>
    <w:div w:id="1296595036">
      <w:bodyDiv w:val="1"/>
      <w:marLeft w:val="0"/>
      <w:marRight w:val="0"/>
      <w:marTop w:val="0"/>
      <w:marBottom w:val="0"/>
      <w:divBdr>
        <w:top w:val="none" w:sz="0" w:space="0" w:color="auto"/>
        <w:left w:val="none" w:sz="0" w:space="0" w:color="auto"/>
        <w:bottom w:val="none" w:sz="0" w:space="0" w:color="auto"/>
        <w:right w:val="none" w:sz="0" w:space="0" w:color="auto"/>
      </w:divBdr>
      <w:divsChild>
        <w:div w:id="5119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26512">
      <w:bodyDiv w:val="1"/>
      <w:marLeft w:val="0"/>
      <w:marRight w:val="0"/>
      <w:marTop w:val="0"/>
      <w:marBottom w:val="0"/>
      <w:divBdr>
        <w:top w:val="none" w:sz="0" w:space="0" w:color="auto"/>
        <w:left w:val="none" w:sz="0" w:space="0" w:color="auto"/>
        <w:bottom w:val="none" w:sz="0" w:space="0" w:color="auto"/>
        <w:right w:val="none" w:sz="0" w:space="0" w:color="auto"/>
      </w:divBdr>
    </w:div>
    <w:div w:id="1488017954">
      <w:bodyDiv w:val="1"/>
      <w:marLeft w:val="0"/>
      <w:marRight w:val="0"/>
      <w:marTop w:val="0"/>
      <w:marBottom w:val="0"/>
      <w:divBdr>
        <w:top w:val="none" w:sz="0" w:space="0" w:color="auto"/>
        <w:left w:val="none" w:sz="0" w:space="0" w:color="auto"/>
        <w:bottom w:val="none" w:sz="0" w:space="0" w:color="auto"/>
        <w:right w:val="none" w:sz="0" w:space="0" w:color="auto"/>
      </w:divBdr>
    </w:div>
    <w:div w:id="1497500474">
      <w:bodyDiv w:val="1"/>
      <w:marLeft w:val="0"/>
      <w:marRight w:val="0"/>
      <w:marTop w:val="0"/>
      <w:marBottom w:val="0"/>
      <w:divBdr>
        <w:top w:val="none" w:sz="0" w:space="0" w:color="auto"/>
        <w:left w:val="none" w:sz="0" w:space="0" w:color="auto"/>
        <w:bottom w:val="none" w:sz="0" w:space="0" w:color="auto"/>
        <w:right w:val="none" w:sz="0" w:space="0" w:color="auto"/>
      </w:divBdr>
    </w:div>
    <w:div w:id="1549217430">
      <w:bodyDiv w:val="1"/>
      <w:marLeft w:val="0"/>
      <w:marRight w:val="0"/>
      <w:marTop w:val="0"/>
      <w:marBottom w:val="0"/>
      <w:divBdr>
        <w:top w:val="none" w:sz="0" w:space="0" w:color="auto"/>
        <w:left w:val="none" w:sz="0" w:space="0" w:color="auto"/>
        <w:bottom w:val="none" w:sz="0" w:space="0" w:color="auto"/>
        <w:right w:val="none" w:sz="0" w:space="0" w:color="auto"/>
      </w:divBdr>
    </w:div>
    <w:div w:id="1580095556">
      <w:bodyDiv w:val="1"/>
      <w:marLeft w:val="0"/>
      <w:marRight w:val="0"/>
      <w:marTop w:val="0"/>
      <w:marBottom w:val="0"/>
      <w:divBdr>
        <w:top w:val="none" w:sz="0" w:space="0" w:color="auto"/>
        <w:left w:val="none" w:sz="0" w:space="0" w:color="auto"/>
        <w:bottom w:val="none" w:sz="0" w:space="0" w:color="auto"/>
        <w:right w:val="none" w:sz="0" w:space="0" w:color="auto"/>
      </w:divBdr>
    </w:div>
    <w:div w:id="1595236920">
      <w:bodyDiv w:val="1"/>
      <w:marLeft w:val="0"/>
      <w:marRight w:val="0"/>
      <w:marTop w:val="0"/>
      <w:marBottom w:val="0"/>
      <w:divBdr>
        <w:top w:val="none" w:sz="0" w:space="0" w:color="auto"/>
        <w:left w:val="none" w:sz="0" w:space="0" w:color="auto"/>
        <w:bottom w:val="none" w:sz="0" w:space="0" w:color="auto"/>
        <w:right w:val="none" w:sz="0" w:space="0" w:color="auto"/>
      </w:divBdr>
    </w:div>
    <w:div w:id="1599092788">
      <w:bodyDiv w:val="1"/>
      <w:marLeft w:val="0"/>
      <w:marRight w:val="0"/>
      <w:marTop w:val="0"/>
      <w:marBottom w:val="0"/>
      <w:divBdr>
        <w:top w:val="none" w:sz="0" w:space="0" w:color="auto"/>
        <w:left w:val="none" w:sz="0" w:space="0" w:color="auto"/>
        <w:bottom w:val="none" w:sz="0" w:space="0" w:color="auto"/>
        <w:right w:val="none" w:sz="0" w:space="0" w:color="auto"/>
      </w:divBdr>
    </w:div>
    <w:div w:id="1612323936">
      <w:bodyDiv w:val="1"/>
      <w:marLeft w:val="0"/>
      <w:marRight w:val="0"/>
      <w:marTop w:val="0"/>
      <w:marBottom w:val="0"/>
      <w:divBdr>
        <w:top w:val="none" w:sz="0" w:space="0" w:color="auto"/>
        <w:left w:val="none" w:sz="0" w:space="0" w:color="auto"/>
        <w:bottom w:val="none" w:sz="0" w:space="0" w:color="auto"/>
        <w:right w:val="none" w:sz="0" w:space="0" w:color="auto"/>
      </w:divBdr>
    </w:div>
    <w:div w:id="1720282875">
      <w:bodyDiv w:val="1"/>
      <w:marLeft w:val="0"/>
      <w:marRight w:val="0"/>
      <w:marTop w:val="0"/>
      <w:marBottom w:val="0"/>
      <w:divBdr>
        <w:top w:val="none" w:sz="0" w:space="0" w:color="auto"/>
        <w:left w:val="none" w:sz="0" w:space="0" w:color="auto"/>
        <w:bottom w:val="none" w:sz="0" w:space="0" w:color="auto"/>
        <w:right w:val="none" w:sz="0" w:space="0" w:color="auto"/>
      </w:divBdr>
    </w:div>
    <w:div w:id="1858302652">
      <w:bodyDiv w:val="1"/>
      <w:marLeft w:val="0"/>
      <w:marRight w:val="0"/>
      <w:marTop w:val="0"/>
      <w:marBottom w:val="0"/>
      <w:divBdr>
        <w:top w:val="none" w:sz="0" w:space="0" w:color="auto"/>
        <w:left w:val="none" w:sz="0" w:space="0" w:color="auto"/>
        <w:bottom w:val="none" w:sz="0" w:space="0" w:color="auto"/>
        <w:right w:val="none" w:sz="0" w:space="0" w:color="auto"/>
      </w:divBdr>
    </w:div>
    <w:div w:id="1860386559">
      <w:bodyDiv w:val="1"/>
      <w:marLeft w:val="0"/>
      <w:marRight w:val="0"/>
      <w:marTop w:val="0"/>
      <w:marBottom w:val="0"/>
      <w:divBdr>
        <w:top w:val="none" w:sz="0" w:space="0" w:color="auto"/>
        <w:left w:val="none" w:sz="0" w:space="0" w:color="auto"/>
        <w:bottom w:val="none" w:sz="0" w:space="0" w:color="auto"/>
        <w:right w:val="none" w:sz="0" w:space="0" w:color="auto"/>
      </w:divBdr>
    </w:div>
    <w:div w:id="2016027574">
      <w:bodyDiv w:val="1"/>
      <w:marLeft w:val="0"/>
      <w:marRight w:val="0"/>
      <w:marTop w:val="0"/>
      <w:marBottom w:val="0"/>
      <w:divBdr>
        <w:top w:val="none" w:sz="0" w:space="0" w:color="auto"/>
        <w:left w:val="none" w:sz="0" w:space="0" w:color="auto"/>
        <w:bottom w:val="none" w:sz="0" w:space="0" w:color="auto"/>
        <w:right w:val="none" w:sz="0" w:space="0" w:color="auto"/>
      </w:divBdr>
    </w:div>
    <w:div w:id="2038698024">
      <w:bodyDiv w:val="1"/>
      <w:marLeft w:val="0"/>
      <w:marRight w:val="0"/>
      <w:marTop w:val="0"/>
      <w:marBottom w:val="0"/>
      <w:divBdr>
        <w:top w:val="none" w:sz="0" w:space="0" w:color="auto"/>
        <w:left w:val="none" w:sz="0" w:space="0" w:color="auto"/>
        <w:bottom w:val="none" w:sz="0" w:space="0" w:color="auto"/>
        <w:right w:val="none" w:sz="0" w:space="0" w:color="auto"/>
      </w:divBdr>
    </w:div>
    <w:div w:id="2083216360">
      <w:bodyDiv w:val="1"/>
      <w:marLeft w:val="0"/>
      <w:marRight w:val="0"/>
      <w:marTop w:val="0"/>
      <w:marBottom w:val="0"/>
      <w:divBdr>
        <w:top w:val="none" w:sz="0" w:space="0" w:color="auto"/>
        <w:left w:val="none" w:sz="0" w:space="0" w:color="auto"/>
        <w:bottom w:val="none" w:sz="0" w:space="0" w:color="auto"/>
        <w:right w:val="none" w:sz="0" w:space="0" w:color="auto"/>
      </w:divBdr>
    </w:div>
    <w:div w:id="213073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A2E163E-465C-274A-893E-84567B674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5194</Words>
  <Characters>29608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Clarity Without Convergence: Commercial SATCOM and the Information Contest over Participation in the Russia–Ukraine War</vt:lpstr>
    </vt:vector>
  </TitlesOfParts>
  <Manager/>
  <Company/>
  <LinksUpToDate>false</LinksUpToDate>
  <CharactersWithSpaces>34733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Without Convergence: Commercial SATCOM and the Information Contest over Participation in the Russia–Ukraine War</dc:title>
  <dc:subject>ZEIT8115 Information Operations Assignment 3</dc:subject>
  <dc:creator>Santiago Verace</dc:creator>
  <cp:keywords>Information Operations, SATCOM, Starlink, KA-SAT, Russia-Ukraine, international humanitarian law, norms</cp:keywords>
  <dc:description/>
  <cp:lastModifiedBy>Santiago Kojic</cp:lastModifiedBy>
  <cp:revision>4</cp:revision>
  <dcterms:created xsi:type="dcterms:W3CDTF">2026-10-16T04:06:00Z</dcterms:created>
  <dcterms:modified xsi:type="dcterms:W3CDTF">2026-10-16T04:09:00Z</dcterms:modified>
  <cp:category/>
</cp:coreProperties>
</file>