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7A35D"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The WHO Framework Convention on Tobacco Control at Twenty: Law, Power, and the Unfinished Fight Against Tobacco</w:t>
      </w:r>
    </w:p>
    <w:p w14:paraId="46130738"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1. Introduction: Why This Treaty Matters</w:t>
      </w:r>
    </w:p>
    <w:p w14:paraId="6308C06A" w14:textId="05E7F7DA" w:rsidR="00A21158" w:rsidRPr="005B2A50" w:rsidRDefault="00A21158" w:rsidP="00A21158">
      <w:pPr>
        <w:rPr>
          <w:rFonts w:ascii="Times New Roman" w:hAnsi="Times New Roman" w:cs="Times New Roman"/>
        </w:rPr>
      </w:pPr>
      <w:r w:rsidRPr="005B2A50">
        <w:rPr>
          <w:rFonts w:ascii="Times New Roman" w:hAnsi="Times New Roman" w:cs="Times New Roman"/>
        </w:rPr>
        <w:t>Twenty years after the FCTC entered into force, the question of whether it has been successful is both a legal inquiry and a significant political one. The core thesis of this paper is that the FCTC has been a partial success</w:t>
      </w:r>
      <w:r w:rsidRPr="005B2A50">
        <w:rPr>
          <w:rFonts w:ascii="Times New Roman" w:hAnsi="Times New Roman" w:cs="Times New Roman"/>
        </w:rPr>
        <w:t>,</w:t>
      </w:r>
      <w:r w:rsidRPr="005B2A50">
        <w:rPr>
          <w:rFonts w:ascii="Times New Roman" w:hAnsi="Times New Roman" w:cs="Times New Roman"/>
        </w:rPr>
        <w:t xml:space="preserve"> it has created legally binding frameworks for Parties, generated national-level regulatory changes, and withstood legal attacks from the tobacco industry, but these successes have been limited by large-scale shortcomings in implementation, unaddressed contradictions in values (health versus trade and commerce), and increasing threats posed by new types of nicotine-delivery systems.</w:t>
      </w:r>
    </w:p>
    <w:p w14:paraId="61CA90E0"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The history of the FCTC is an example of how international law can alter the course of a global health crisis. At the same time, it illustrates the limitations of using a framework convention to combat major commercial interests and fragmented global governance.</w:t>
      </w:r>
    </w:p>
    <w:p w14:paraId="3324D092"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This paper consists of three sections. Section 1 evaluates the structure and accomplishments of the FCTC's legal architecture, including its role in creating legally binding obligations for signatory states at the domestic level and resisting attacks from the tobacco industry. Section 2 identifies key weaknesses in the FCTC's structure: uneven implementation among countries, interference by the tobacco industry, and continued conflict between health regulation and trade and investment law. Section 3 outlines what needs to happen next and offers several action plans for the FCTC Secretariat, signatory countries, and the broader global health community. Throughout, the paper engages with ongoing debates about the merits of the FCTC and provides a definitive view on which side of those debates it stands.</w:t>
      </w:r>
    </w:p>
    <w:p w14:paraId="266239CC"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2. Part 1: The FCTC's Legal Architecture and Measurable Achievements</w:t>
      </w:r>
    </w:p>
    <w:p w14:paraId="215008E6"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2.1 The Treaty's Institutional Design</w:t>
      </w:r>
    </w:p>
    <w:p w14:paraId="16722577"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The Framework Convention on Tobacco Control (FCTC) works through the application of legally binding commitments made by Parties within a treaty and through the issuance of technical guidance (World Health Organization, 2003). Those legal commitments that relate to tobacco control efforts, and specifically to reducing demand for tobacco products, can be found within the MPOWER package: monitoring tobacco use, protecting people from second-hand smoke, offering cessation help, warning about dangers of tobacco use, enforcing bans on advertising of tobacco products, and raising taxes on tobacco products (World Health Organization, 2008). The Conference of the Parties (COP) is the governance body for the treaty. It meets every two years, where Parties submit reports regarding their progress in implementing the treaty's requirements and the COP adopts guidelines and protocols related to the treaty (World Health Organization, 2003). The Protocol to Eliminate Illicit Trade in Tobacco Products was adopted in 2009 and came into effect in 2018 (Secretariat of the WHO Framework Convention on Tobacco Control, 2018). It expanded the scope of the FCTC to include regulations related to supply chain management.</w:t>
      </w:r>
    </w:p>
    <w:p w14:paraId="5B6410C5" w14:textId="77777777" w:rsidR="005B2A50" w:rsidRPr="005B2A50" w:rsidRDefault="005B2A50" w:rsidP="005B2A50">
      <w:pPr>
        <w:rPr>
          <w:rFonts w:ascii="Times New Roman" w:hAnsi="Times New Roman" w:cs="Times New Roman"/>
        </w:rPr>
      </w:pPr>
      <w:r w:rsidRPr="005B2A50">
        <w:rPr>
          <w:rFonts w:ascii="Times New Roman" w:hAnsi="Times New Roman" w:cs="Times New Roman"/>
        </w:rPr>
        <w:t xml:space="preserve">The World Health Organization (WHO) has identified seven key areas where tobacco control is most effective in reducing the global burden of tobacco use. The World Health Organization's MPOWER package is based upon the seven articles which are as follows: </w:t>
      </w:r>
      <w:r w:rsidRPr="005B2A50">
        <w:rPr>
          <w:rFonts w:ascii="Times New Roman" w:hAnsi="Times New Roman" w:cs="Times New Roman"/>
        </w:rPr>
        <w:br/>
        <w:t xml:space="preserve">Article 5.3: Protection from Interference by Industry; </w:t>
      </w:r>
      <w:r w:rsidRPr="005B2A50">
        <w:rPr>
          <w:rFonts w:ascii="Times New Roman" w:hAnsi="Times New Roman" w:cs="Times New Roman"/>
        </w:rPr>
        <w:br/>
        <w:t xml:space="preserve">Article 6: Price and Tax Measures; </w:t>
      </w:r>
      <w:r w:rsidRPr="005B2A50">
        <w:rPr>
          <w:rFonts w:ascii="Times New Roman" w:hAnsi="Times New Roman" w:cs="Times New Roman"/>
        </w:rPr>
        <w:br/>
      </w:r>
      <w:r w:rsidRPr="005B2A50">
        <w:rPr>
          <w:rFonts w:ascii="Times New Roman" w:hAnsi="Times New Roman" w:cs="Times New Roman"/>
        </w:rPr>
        <w:lastRenderedPageBreak/>
        <w:t xml:space="preserve">Article 8: Smoke-Free Environment; </w:t>
      </w:r>
      <w:r w:rsidRPr="005B2A50">
        <w:rPr>
          <w:rFonts w:ascii="Times New Roman" w:hAnsi="Times New Roman" w:cs="Times New Roman"/>
        </w:rPr>
        <w:br/>
        <w:t xml:space="preserve">Article 11: Packaging and Labelling; </w:t>
      </w:r>
      <w:r w:rsidRPr="005B2A50">
        <w:rPr>
          <w:rFonts w:ascii="Times New Roman" w:hAnsi="Times New Roman" w:cs="Times New Roman"/>
        </w:rPr>
        <w:br/>
        <w:t xml:space="preserve">Article 13: Advertising Bans; </w:t>
      </w:r>
      <w:r w:rsidRPr="005B2A50">
        <w:rPr>
          <w:rFonts w:ascii="Times New Roman" w:hAnsi="Times New Roman" w:cs="Times New Roman"/>
        </w:rPr>
        <w:br/>
        <w:t xml:space="preserve">Article 14: Support for Cessation Efforts; </w:t>
      </w:r>
      <w:r w:rsidRPr="005B2A50">
        <w:rPr>
          <w:rFonts w:ascii="Times New Roman" w:hAnsi="Times New Roman" w:cs="Times New Roman"/>
        </w:rPr>
        <w:br/>
        <w:t>Article 19: Liability.</w:t>
      </w:r>
    </w:p>
    <w:p w14:paraId="28E441D7" w14:textId="77777777" w:rsidR="005B2A50" w:rsidRPr="005B2A50" w:rsidRDefault="005B2A50" w:rsidP="005B2A50">
      <w:pPr>
        <w:rPr>
          <w:rFonts w:ascii="Times New Roman" w:hAnsi="Times New Roman" w:cs="Times New Roman"/>
        </w:rPr>
      </w:pPr>
      <w:r w:rsidRPr="005B2A50">
        <w:rPr>
          <w:rFonts w:ascii="Times New Roman" w:hAnsi="Times New Roman" w:cs="Times New Roman"/>
        </w:rPr>
        <w:t>These articles have been used as the foundation of international cooperation to create a comprehensive model for all countries to reduce both the supply of and demand for tobacco products (World Health Organization, 2003). The obligation to implement these articles in their own country is supported through the development of detailed technical requirements for each article which are established in a series of Implementation Guidelines developed by the Conference of the Parties (COP) and subsequently adopted. For example, the guidelines provide detail on implementing Article 11 – Packaging and Labelling (Secretariat of the WHO Framework Convention on Tobacco Control, 2013); similarly, guidelines also exist for implementing Article 13 – Advertising, Promotion and Sponsorship (Secretariat of the WHO Framework Convention on Tobacco Control, 2024).</w:t>
      </w:r>
    </w:p>
    <w:p w14:paraId="00142743"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2.2 Measurable Public Health Outcomes</w:t>
      </w:r>
    </w:p>
    <w:p w14:paraId="2032ECA4"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The success of the Framework Convention on Tobacco Control (FCTC) can be seen as both substantial and measurable. Since it went into force, global tobacco consumption decreased by about a third, from 29.3% in 2005 to approximately 19.8% in 2025, resulting in over 37 million deaths avoided (Union for International Cancer Control, 2025). The World Health Organization Director-General recently stated that there has been a decline in tobacco usage of one-third worldwide since the FCTC came into effect (World Health Organization, 2025). In addition, an estimated 6.1 billion individuals are now being protected under at least one MPOWER measure at the best-practice level, as opposed to less than one billion in 2007 (World Health Organization, 2025).</w:t>
      </w:r>
    </w:p>
    <w:p w14:paraId="5CAD0501"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 xml:space="preserve">Additionally, a recent study appearing in </w:t>
      </w:r>
      <w:r w:rsidRPr="005B2A50">
        <w:rPr>
          <w:rFonts w:ascii="Times New Roman" w:hAnsi="Times New Roman" w:cs="Times New Roman"/>
          <w:i/>
          <w:iCs/>
        </w:rPr>
        <w:t>Nature Medicine</w:t>
      </w:r>
      <w:r w:rsidRPr="005B2A50">
        <w:rPr>
          <w:rFonts w:ascii="Times New Roman" w:hAnsi="Times New Roman" w:cs="Times New Roman"/>
        </w:rPr>
        <w:t xml:space="preserve"> analysing data for 170 countries indicated that FCTC ratification correlated to an average reduction of 15.5% in active smokers and a 7.5% average decrease in smoking prevalence among youth, with the quitting ratio at ages 45–59 increasing by 1.8% (</w:t>
      </w:r>
      <w:proofErr w:type="spellStart"/>
      <w:r w:rsidRPr="005B2A50">
        <w:rPr>
          <w:rFonts w:ascii="Times New Roman" w:hAnsi="Times New Roman" w:cs="Times New Roman"/>
        </w:rPr>
        <w:t>Paraje</w:t>
      </w:r>
      <w:proofErr w:type="spellEnd"/>
      <w:r w:rsidRPr="005B2A50">
        <w:rPr>
          <w:rFonts w:ascii="Times New Roman" w:hAnsi="Times New Roman" w:cs="Times New Roman"/>
        </w:rPr>
        <w:t xml:space="preserve"> et al., 2024). Critically, the trend analysis, covering 170 countries excluding China, concluded that over the decade, the FCTC was associated with 24 million fewer young smokers and over 2 million additional quitters (</w:t>
      </w:r>
      <w:proofErr w:type="spellStart"/>
      <w:r w:rsidRPr="005B2A50">
        <w:rPr>
          <w:rFonts w:ascii="Times New Roman" w:hAnsi="Times New Roman" w:cs="Times New Roman"/>
        </w:rPr>
        <w:t>Paraje</w:t>
      </w:r>
      <w:proofErr w:type="spellEnd"/>
      <w:r w:rsidRPr="005B2A50">
        <w:rPr>
          <w:rFonts w:ascii="Times New Roman" w:hAnsi="Times New Roman" w:cs="Times New Roman"/>
        </w:rPr>
        <w:t xml:space="preserve"> et al., 2024).</w:t>
      </w:r>
    </w:p>
    <w:p w14:paraId="74A5CC08"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2.3 Litigation: The FCTC as a Legal Shield</w:t>
      </w:r>
    </w:p>
    <w:p w14:paraId="1791327D"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The FCTC has shown itself to be an effective legal weapon against challenges by the tobacco industry.</w:t>
      </w:r>
    </w:p>
    <w:p w14:paraId="384AA852"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Australia's Plain Packaging Act, which came into effect in 2012, was challenged domestically via constitutional litigation, internationally via investor-state arbitration, and at the World Trade Organization (WTO) Dispute Settlement Body. In each case, Australia prevailed (World Trade Organization, 2020).</w:t>
      </w:r>
    </w:p>
    <w:p w14:paraId="2328337F" w14:textId="18EFB36A" w:rsidR="00A21158" w:rsidRPr="005B2A50" w:rsidRDefault="00A21158" w:rsidP="00A21158">
      <w:pPr>
        <w:rPr>
          <w:rFonts w:ascii="Times New Roman" w:hAnsi="Times New Roman" w:cs="Times New Roman"/>
        </w:rPr>
      </w:pPr>
      <w:r w:rsidRPr="005B2A50">
        <w:rPr>
          <w:rFonts w:ascii="Times New Roman" w:hAnsi="Times New Roman" w:cs="Times New Roman"/>
        </w:rPr>
        <w:t>At the WTO level, the Panel determined that Australia's measures did not contravene Article 16.1, Article 16.3, or Article 20 of the TRIPS Agreement, nor Article 10bis of the Paris Convention (World Trade Organization, 2020). However, the most critical finding in this regard is that the Panel determined that the phrase "unjustifiably encumber" within Article 20 of the TRIPS Agreement should be considered together with Articles 7 and 8 of the TRIPS Agreement and the Doha Declaration</w:t>
      </w:r>
      <w:r w:rsidR="005B2A50" w:rsidRPr="005B2A50">
        <w:rPr>
          <w:rFonts w:ascii="Times New Roman" w:hAnsi="Times New Roman" w:cs="Times New Roman"/>
        </w:rPr>
        <w:t>,</w:t>
      </w:r>
      <w:r w:rsidRPr="005B2A50">
        <w:rPr>
          <w:rFonts w:ascii="Times New Roman" w:hAnsi="Times New Roman" w:cs="Times New Roman"/>
        </w:rPr>
        <w:t xml:space="preserve"> and that society-wide interests (including public health) could provide justification for </w:t>
      </w:r>
      <w:r w:rsidRPr="005B2A50">
        <w:rPr>
          <w:rFonts w:ascii="Times New Roman" w:hAnsi="Times New Roman" w:cs="Times New Roman"/>
        </w:rPr>
        <w:lastRenderedPageBreak/>
        <w:t>limiting the use of trademarks (World Trade Organization, 2020; Zhou &amp; Liberman, 2021). This finding provides significant guidance for future cases regarding how trade laws may provide latitude for regulating health issues.</w:t>
      </w:r>
    </w:p>
    <w:p w14:paraId="584C6394"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 xml:space="preserve">In </w:t>
      </w:r>
      <w:r w:rsidRPr="005B2A50">
        <w:rPr>
          <w:rFonts w:ascii="Times New Roman" w:hAnsi="Times New Roman" w:cs="Times New Roman"/>
          <w:i/>
          <w:iCs/>
        </w:rPr>
        <w:t>Philip Morris Asia v Australia</w:t>
      </w:r>
      <w:r w:rsidRPr="005B2A50">
        <w:rPr>
          <w:rFonts w:ascii="Times New Roman" w:hAnsi="Times New Roman" w:cs="Times New Roman"/>
        </w:rPr>
        <w:t>, the Permanent Court of Arbitration held that no jurisdiction existed and therefore refused to hear Philip Morris's claim. The court held that Philip Morris had abused its rights by reorganising itself to become eligible under a Bilateral Investment Treaty (BIT). The Tribunal determined that Philip Morris undertook the restructuring when it was reasonably apparent that a dispute would arise and that the primary motivation behind the restructuring was to obtain treaty-based protections (Nelson &amp; Robbins, 2016).</w:t>
      </w:r>
    </w:p>
    <w:p w14:paraId="059519CF"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 xml:space="preserve">In </w:t>
      </w:r>
      <w:r w:rsidRPr="005B2A50">
        <w:rPr>
          <w:rFonts w:ascii="Times New Roman" w:hAnsi="Times New Roman" w:cs="Times New Roman"/>
          <w:i/>
          <w:iCs/>
        </w:rPr>
        <w:t>Philip Morris v Uruguay</w:t>
      </w:r>
      <w:r w:rsidRPr="005B2A50">
        <w:rPr>
          <w:rFonts w:ascii="Times New Roman" w:hAnsi="Times New Roman" w:cs="Times New Roman"/>
        </w:rPr>
        <w:t>, the ICSID Tribunal denied Philip Morris's claims and found that "a trademark holder enjoys an exclusive right to prevent third persons from using such a sign… But it does not enjoy an unconditional right to use such a sign freely. The exclusive right to use a trademark is also subject to state authority… which includes police power" (International Bar Association, 2016). The Tribunal confirmed that Uruguay had used legitimate police powers to protect public health (International Bar Association, 2016).</w:t>
      </w:r>
    </w:p>
    <w:p w14:paraId="440BC309"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2.4 Commentary: A Record of Normative Success</w:t>
      </w:r>
    </w:p>
    <w:p w14:paraId="124609E3"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 xml:space="preserve">Supporters of the FCTC emphasise that the FCTC has provided the basis for tobacco control to become a major priority for international governance. The Convention Secretariat has noted that the FCTC "has saved hundreds of millions of people from death by implementing legally enforceable controls on tobacco" (Secretariat of the WHO Framework Convention on Tobacco Control, 2025b). </w:t>
      </w:r>
      <w:r w:rsidRPr="005B2A50">
        <w:rPr>
          <w:rFonts w:ascii="Times New Roman" w:hAnsi="Times New Roman" w:cs="Times New Roman"/>
          <w:i/>
          <w:iCs/>
        </w:rPr>
        <w:t>The Lancet</w:t>
      </w:r>
      <w:r w:rsidRPr="005B2A50">
        <w:rPr>
          <w:rFonts w:ascii="Times New Roman" w:hAnsi="Times New Roman" w:cs="Times New Roman"/>
        </w:rPr>
        <w:t xml:space="preserve"> has also said that the FCTC was a key factor in developing legal defences against an increasingly aggressive tobacco industry which spends tens of billions of dollars promoting its products and undermining efforts towards controlling tobacco (Gilmore et al., 2025).</w:t>
      </w:r>
    </w:p>
    <w:p w14:paraId="23F6063C"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The argument presented by supporters of the FCTC is strong; however, there are conditions. Tobacco control norms have made significant gains, but these gains are fragile. The FCTC will be successful when Parties choose to use the agreement effectively. When they fail to do so, failure results in loss of life.</w:t>
      </w:r>
    </w:p>
    <w:p w14:paraId="3059EB30" w14:textId="4D044A96" w:rsidR="00A21158" w:rsidRPr="005B2A50" w:rsidRDefault="00A21158" w:rsidP="00A21158">
      <w:pPr>
        <w:rPr>
          <w:rFonts w:ascii="Times New Roman" w:hAnsi="Times New Roman" w:cs="Times New Roman"/>
        </w:rPr>
      </w:pPr>
      <w:r w:rsidRPr="005B2A50">
        <w:rPr>
          <w:rFonts w:ascii="Times New Roman" w:hAnsi="Times New Roman" w:cs="Times New Roman"/>
        </w:rPr>
        <w:t xml:space="preserve">3. Part 2: The Drawbacks </w:t>
      </w:r>
      <w:r w:rsidR="005B2A50" w:rsidRPr="005B2A50">
        <w:rPr>
          <w:rFonts w:ascii="Times New Roman" w:hAnsi="Times New Roman" w:cs="Times New Roman"/>
        </w:rPr>
        <w:t>-</w:t>
      </w:r>
      <w:r w:rsidRPr="005B2A50">
        <w:rPr>
          <w:rFonts w:ascii="Times New Roman" w:hAnsi="Times New Roman" w:cs="Times New Roman"/>
        </w:rPr>
        <w:t xml:space="preserve"> Implementation Gaps, Value Conflicts, and Adaptive Challenges</w:t>
      </w:r>
    </w:p>
    <w:p w14:paraId="04A05D8B"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3.1 The Implementation Gap: Vietnam and Australia Compared</w:t>
      </w:r>
    </w:p>
    <w:p w14:paraId="17314D74"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A major problem facing the WHO Framework Convention on Tobacco Control (FCTC) is how unevenly it is being implemented by the various signatory countries.</w:t>
      </w:r>
    </w:p>
    <w:p w14:paraId="59751835"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The example of Australia shows what can be achieved when a country fully implements all the recommendations contained within the FCTC. Australia has banned the display of tobacco products at retail outlets, prohibited direct marketing and sponsorship, and defended itself against claims made by the tobacco companies through international arbitration, investment tribunals, and under the World Trade Organization (World Trade Organization, 2020). In doing so, Australia has reduced its national prevalence of tobacco consumption by approximately half over the last twenty years (World Trade Organization, 2020).</w:t>
      </w:r>
    </w:p>
    <w:p w14:paraId="7C2E8483"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 xml:space="preserve">On the other end of the spectrum is Vietnam. Vietnam signed up to the FCTC in 2004 and passed its Law on Tobacco Harm Prevention in 2012. However, Article 5.3 was left unincorporated into any legislative document related to tobacco harm prevention in Vietnam (Doan et al., 2025). As a result of </w:t>
      </w:r>
      <w:r w:rsidRPr="005B2A50">
        <w:rPr>
          <w:rFonts w:ascii="Times New Roman" w:hAnsi="Times New Roman" w:cs="Times New Roman"/>
        </w:rPr>
        <w:lastRenderedPageBreak/>
        <w:t>this failure to implement Article 5.3, the tobacco industry was able to exploit Vietnam's public consultations around tobacco tax increases and flood the media with its views. The tobacco industry also funded research to provide evidence to academic institutions supporting the economic interests of the tobacco industry (Doan et al., 2025). As a result of these actions, male smoking levels dropped less than five percentage points from 47.4 per cent in 2010 to 42.3 per cent in 2020 (World Health Organization, 2021), and Vietnam is currently classed as having "Moderate" tobacco control measures in place whilst Australia has "Strong" (World Health Organization, 2023).</w:t>
      </w:r>
    </w:p>
    <w:p w14:paraId="0F7E0002" w14:textId="017AFC17" w:rsidR="005B2A50" w:rsidRPr="005B2A50" w:rsidRDefault="005B2A50" w:rsidP="00A21158">
      <w:pPr>
        <w:rPr>
          <w:rFonts w:ascii="Times New Roman" w:hAnsi="Times New Roman" w:cs="Times New Roman"/>
        </w:rPr>
      </w:pPr>
      <w:r w:rsidRPr="005B2A50">
        <w:rPr>
          <w:rFonts w:ascii="Times New Roman" w:hAnsi="Times New Roman" w:cs="Times New Roman"/>
        </w:rPr>
        <w:t>This pattern is not confined to Vietnam. Across the ASEAN region, implementation of FCTC obligations remains uneven, with several countries yet to adopt comprehensive advertising bans, plain packaging, or robust taxation measures. The ASEAN Tobacco Control Atlas documents this variation in national progress and identifies industry interference and limited enforcement capacity as recurring obstacles across the region (SEATCA, 2025).</w:t>
      </w:r>
    </w:p>
    <w:p w14:paraId="1F9E9EF0" w14:textId="4B5367EC" w:rsidR="00A21158" w:rsidRPr="005B2A50" w:rsidRDefault="00A21158" w:rsidP="00A21158">
      <w:pPr>
        <w:rPr>
          <w:rFonts w:ascii="Times New Roman" w:hAnsi="Times New Roman" w:cs="Times New Roman"/>
        </w:rPr>
      </w:pPr>
      <w:r w:rsidRPr="005B2A50">
        <w:rPr>
          <w:rFonts w:ascii="Times New Roman" w:hAnsi="Times New Roman" w:cs="Times New Roman"/>
        </w:rPr>
        <w:t>This comparison is particularly concerning because it implies that the advantages offered by the FCTC will be distributed unequally</w:t>
      </w:r>
      <w:r w:rsidR="005B2A50" w:rsidRPr="005B2A50">
        <w:rPr>
          <w:rFonts w:ascii="Times New Roman" w:hAnsi="Times New Roman" w:cs="Times New Roman"/>
        </w:rPr>
        <w:t>,</w:t>
      </w:r>
      <w:r w:rsidRPr="005B2A50">
        <w:rPr>
          <w:rFonts w:ascii="Times New Roman" w:hAnsi="Times New Roman" w:cs="Times New Roman"/>
        </w:rPr>
        <w:t xml:space="preserve"> it is likely that countries with weaker regulatory systems that carry the largest burden of tobacco will have poorer enforcement of the convention.</w:t>
      </w:r>
    </w:p>
    <w:p w14:paraId="23440EB8"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3.2 The Unresolved Clash: Public Health versus Trade and Investment Law</w:t>
      </w:r>
    </w:p>
    <w:p w14:paraId="04F55ECC"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The most significant unresolved issue with the FCTC is that of public health regulation versus international trade and investment obligations. This is not just a technical legal question; it reflects a deeper clash between two systems with differing objectives. The trade system, embodied by WTO agreements and bilateral investment treaties, prioritises market access, non-discrimination, and protection of intellectual property (Zhou &amp; Liberman, 2021). The health system prioritises protection of human life and reduction of disease burden (World Health Organization, 2003).</w:t>
      </w:r>
    </w:p>
    <w:p w14:paraId="54426331"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 xml:space="preserve">There are numerous examples from the litigation record which indicate these values can be reconciled, but at some cost. For instance, Australia's plain packaging case required six years of WTO proceedings before resolution in June 2020 (World Trade Organization, 2020). </w:t>
      </w:r>
      <w:r w:rsidRPr="005B2A50">
        <w:rPr>
          <w:rFonts w:ascii="Times New Roman" w:hAnsi="Times New Roman" w:cs="Times New Roman"/>
          <w:i/>
          <w:iCs/>
        </w:rPr>
        <w:t>Philip Morris v Uruguay</w:t>
      </w:r>
      <w:r w:rsidRPr="005B2A50">
        <w:rPr>
          <w:rFonts w:ascii="Times New Roman" w:hAnsi="Times New Roman" w:cs="Times New Roman"/>
        </w:rPr>
        <w:t xml:space="preserve"> also lasted for six years and resulted in Uruguay incurring $7 million in legal expenses, an amount which would be impossible to coordinate for many low- and middle-income countries (International Bar Association, 2016). As Paul Reichler, Uruguay's advocate, observed: "it's great that this case has occurred and it's the first case of its kind relating to tobacco control, but it does not show that all is well with ICSID" (International Bar Association, 2016).</w:t>
      </w:r>
    </w:p>
    <w:p w14:paraId="11E439A7"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The chilling effect on governments is real. With the threat of lengthy and expensive litigation, many countries are reluctant to implement strong tobacco controls. The WHO FCTC Coordination Platform documents obstacles to plain packaging, graphic health warnings, product labelling, and advertising restrictions across domestic and international forums (Secretariat of the WHO Framework Convention on Tobacco Control, n.d.-b). Even when countries win such lawsuits, they still face the problem of the financial cost of defending their own regulations.</w:t>
      </w:r>
    </w:p>
    <w:p w14:paraId="7B846FE4"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3.3 Industry Interference: Article 5.3 as Unfinished Business</w:t>
      </w:r>
    </w:p>
    <w:p w14:paraId="22C56ED2"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 xml:space="preserve">Industry obstruction remains the most important challenge. As noted in </w:t>
      </w:r>
      <w:r w:rsidRPr="005B2A50">
        <w:rPr>
          <w:rFonts w:ascii="Times New Roman" w:hAnsi="Times New Roman" w:cs="Times New Roman"/>
          <w:i/>
          <w:iCs/>
        </w:rPr>
        <w:t>The Lancet</w:t>
      </w:r>
      <w:r w:rsidRPr="005B2A50">
        <w:rPr>
          <w:rFonts w:ascii="Times New Roman" w:hAnsi="Times New Roman" w:cs="Times New Roman"/>
        </w:rPr>
        <w:t>, the single largest hindrance to implementing the FCTC has been the tobacco industry (Gilmore et al., 2025). The tobacco industry's opposition to the treaty began as an effort to apply political pressure on its creation prior to ratification and has continued as a continuous battle to block implementation (Gilmore et al., 2025).</w:t>
      </w:r>
    </w:p>
    <w:p w14:paraId="0B3944D6"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lastRenderedPageBreak/>
        <w:t>This obstacle is addressed by Article 5.3. However, there are differences in how Parties implement Article 5.3. 111 of 129 reporting Parties (or 79%) had implemented at least one measure consistent with the Article 5.3 guidelines by 2025 (Secretariat of the WHO Framework Convention on Tobacco Control, 2025c); however, as seen in Vietnam, if Article 5.3 is not codified into domestic law, industry obstruction will often prevent the adoption of effective tobacco control legislation for years (Doan et al., 2025).</w:t>
      </w:r>
    </w:p>
    <w:p w14:paraId="2F12715A" w14:textId="77D4AE2C" w:rsidR="00A21158" w:rsidRPr="005B2A50" w:rsidRDefault="00A21158" w:rsidP="00A21158">
      <w:pPr>
        <w:rPr>
          <w:rFonts w:ascii="Times New Roman" w:hAnsi="Times New Roman" w:cs="Times New Roman"/>
        </w:rPr>
      </w:pPr>
      <w:r w:rsidRPr="005B2A50">
        <w:rPr>
          <w:rFonts w:ascii="Times New Roman" w:hAnsi="Times New Roman" w:cs="Times New Roman"/>
        </w:rPr>
        <w:t xml:space="preserve">In addition to using lobbying techniques, the industry also now advocates "harm reduction." Through this strategy, the tobacco industry positions itself as a component of the solution by developing and marketing new technologies like e-cigarettes and heated tobacco products (Gilmore et al., 2025). To increase credibility, the tobacco industry targets high-ranking government officials who do not come from health ministries, provides incentives and support to elected representatives, and utilises corporate social responsibility initiatives (Global </w:t>
      </w:r>
      <w:r w:rsidR="005B2A50" w:rsidRPr="005B2A50">
        <w:rPr>
          <w:rFonts w:ascii="Times New Roman" w:hAnsi="Times New Roman" w:cs="Times New Roman"/>
        </w:rPr>
        <w:t>Centre</w:t>
      </w:r>
      <w:r w:rsidRPr="005B2A50">
        <w:rPr>
          <w:rFonts w:ascii="Times New Roman" w:hAnsi="Times New Roman" w:cs="Times New Roman"/>
        </w:rPr>
        <w:t xml:space="preserve"> for Good Governance in Tobacco Control, 2025). According to the 2025 Global Tobacco Industry Interference Index, the tobacco industry has become "far more aggressive and brazen in its efforts," through filing pro-industry bills in 14 countries, to provide incentive to officials to delay and/or block tobacco control legislation (Global </w:t>
      </w:r>
      <w:r w:rsidR="005B2A50" w:rsidRPr="005B2A50">
        <w:rPr>
          <w:rFonts w:ascii="Times New Roman" w:hAnsi="Times New Roman" w:cs="Times New Roman"/>
        </w:rPr>
        <w:t>Centre</w:t>
      </w:r>
      <w:r w:rsidRPr="005B2A50">
        <w:rPr>
          <w:rFonts w:ascii="Times New Roman" w:hAnsi="Times New Roman" w:cs="Times New Roman"/>
        </w:rPr>
        <w:t xml:space="preserve"> for Good Governance in Tobacco Control, 2025).</w:t>
      </w:r>
    </w:p>
    <w:p w14:paraId="71935898"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3.4 The Novel Nicotine Products Challenge</w:t>
      </w:r>
    </w:p>
    <w:p w14:paraId="3CBAA353"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New types of nicotine products create another opportunity for adaptation. E-cigarettes and heated tobacco products were not considered when the Framework Convention on Tobacco Control (FCTC) was negotiated. A key outcome of the conference held in 2025 was the inability to achieve agreement regarding the most effective ways to prevent or limit nicotine addiction among consumers (European Commission, 2025). Agreement could have been achieved had there been a European Union common position. The inability to achieve a common position creates the potential for regulatory uncertainty that will last for many years (European Commission, 2025).</w:t>
      </w:r>
    </w:p>
    <w:p w14:paraId="5F187467" w14:textId="1778CF60" w:rsidR="00A21158" w:rsidRPr="005B2A50" w:rsidRDefault="00A21158" w:rsidP="00A21158">
      <w:pPr>
        <w:rPr>
          <w:rFonts w:ascii="Times New Roman" w:hAnsi="Times New Roman" w:cs="Times New Roman"/>
        </w:rPr>
      </w:pPr>
      <w:r w:rsidRPr="005B2A50">
        <w:rPr>
          <w:rFonts w:ascii="Times New Roman" w:hAnsi="Times New Roman" w:cs="Times New Roman"/>
        </w:rPr>
        <w:t xml:space="preserve">The World Health Organization's (WHO) view is that all forms of nicotine are equally </w:t>
      </w:r>
      <w:r w:rsidR="005B2A50" w:rsidRPr="005B2A50">
        <w:rPr>
          <w:rFonts w:ascii="Times New Roman" w:hAnsi="Times New Roman" w:cs="Times New Roman"/>
        </w:rPr>
        <w:t>dangerous,</w:t>
      </w:r>
      <w:r w:rsidRPr="005B2A50">
        <w:rPr>
          <w:rFonts w:ascii="Times New Roman" w:hAnsi="Times New Roman" w:cs="Times New Roman"/>
        </w:rPr>
        <w:t xml:space="preserve"> and it does not engage in discussions about harm reduction (World Health Organization, 2025). Industry critics state that the WHO's view may give too much regulatory flexibility to industry. The stalemate at COP11 also highlights how difficult it can be to adapt a treaty based on consensus to rapidly changing consumer product markets (European Commission, 2025).</w:t>
      </w:r>
    </w:p>
    <w:p w14:paraId="483677AC" w14:textId="56852970" w:rsidR="00A21158" w:rsidRPr="005B2A50" w:rsidRDefault="00A21158" w:rsidP="00A21158">
      <w:pPr>
        <w:rPr>
          <w:rFonts w:ascii="Times New Roman" w:hAnsi="Times New Roman" w:cs="Times New Roman"/>
        </w:rPr>
      </w:pPr>
      <w:r w:rsidRPr="005B2A50">
        <w:rPr>
          <w:rFonts w:ascii="Times New Roman" w:hAnsi="Times New Roman" w:cs="Times New Roman"/>
        </w:rPr>
        <w:t>4. Part 3: What Must Be Done</w:t>
      </w:r>
      <w:r w:rsidR="005B2A50" w:rsidRPr="005B2A50">
        <w:rPr>
          <w:rFonts w:ascii="Times New Roman" w:hAnsi="Times New Roman" w:cs="Times New Roman"/>
        </w:rPr>
        <w:t xml:space="preserve"> -</w:t>
      </w:r>
      <w:r w:rsidRPr="005B2A50">
        <w:rPr>
          <w:rFonts w:ascii="Times New Roman" w:hAnsi="Times New Roman" w:cs="Times New Roman"/>
        </w:rPr>
        <w:t xml:space="preserve"> Priority Actions and Advocacy</w:t>
      </w:r>
    </w:p>
    <w:p w14:paraId="6C99DCAB"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4.1 Priority 1: Binding Domestic Implementation of Article 5.3</w:t>
      </w:r>
    </w:p>
    <w:p w14:paraId="65B38E7F"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There is no doubt: Article 5.3 is best used in conjunction with legally binding laws, not voluntary codes. Vietnam's case shows that if there are no legal constraints on this Article, then the tobacco industry can prevent a country from raising taxes on cigarettes for six years (and thereby weaken its anti-smoking policies) (Doan et al., 2025).</w:t>
      </w:r>
    </w:p>
    <w:p w14:paraId="346E7A13"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 xml:space="preserve">Recommendation: The Secretariat of the Framework Convention on Tobacco Control (FCTC) should produce a model law on how to implement Article 5.3, providing all Parties with an example of what their own law could look like, specifically: include the requirement that individuals disclose all potential conflicts of interest in government dealings involving tobacco companies; require government agencies to be transparent about their relationships with the tobacco industry; prohibit tobacco companies from promoting themselves as "Corporate Social Responsibility" (CSR); and limit tobacco company involvement in developing public policy relating to tobacco control. The Parties </w:t>
      </w:r>
      <w:r w:rsidRPr="005B2A50">
        <w:rPr>
          <w:rFonts w:ascii="Times New Roman" w:hAnsi="Times New Roman" w:cs="Times New Roman"/>
        </w:rPr>
        <w:lastRenderedPageBreak/>
        <w:t>must enact this model law at their earliest opportunity; they must recognise that Article 5.3 is not a non-binding recommendation, it is a mandatory provision that requires enactment into law.</w:t>
      </w:r>
    </w:p>
    <w:p w14:paraId="0D4DFFE0"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Trade advocacy: Trade officials need to understand that implementing Article 5.3 will not breach international trade agreements. The World Trade Organization (WTO) panel in Australia's Tobacco Plain Packaging found that countries may use health-related measures to justify regulation provided such regulation has a valid regulatory purpose (World Trade Organization, 2020). Thus, Article 5.3 is designed to protect the integrity of the regulatory process by preventing commercial influences from dominating decisions related to tobacco control, something that would also represent a positive trend toward better governance which is something that trade law supports (Zhou &amp; Liberman, 2021).</w:t>
      </w:r>
    </w:p>
    <w:p w14:paraId="045DE71B"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4.2 Priority 2: Taxation as the Central Front</w:t>
      </w:r>
    </w:p>
    <w:p w14:paraId="2177A92A"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The WHO FCTC's Article 6 guidelines state that a 10% price increase of real prices results in an estimated 4–5% reduction in consumption; however, youth are approximately 2–3 times more sensitive (Secretariat of the WHO Framework Convention on Tobacco Control, n.d.-a). Despite this, since 2022, only three countries have increased their tax rate on cigarettes to meet best-practice levels, while 134 countries have taken no action to reduce affordability (NCD Alliance, 2025).</w:t>
      </w:r>
    </w:p>
    <w:p w14:paraId="06A16623"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Recommendation: The FCTC Secretariat should develop a Tobacco Tax Leadership Initiative designed to provide technical assistance to low- and middle-income countries on tax structure design (specific, uniform taxes that keep pace with both inflation and economic growth), revenue generation, and counteracting arguments made by the tobacco industry regarding smuggling and job loss. This initiative should give priority to those countries which demonstrate a high prevalence of smoking combined with low tax rates.</w:t>
      </w:r>
    </w:p>
    <w:p w14:paraId="78D7F0D4"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Trade advocacy: Trade officials must recognise that tobacco taxation does not contradict WTO agreements. The General Agreement on Tariffs and Trade (GATT) Article III national treatment obligation requires that all governments treat foreign goods as favourably as they treat domestically produced goods, but this does not require that all countries implement very low tax rates (World Trade Organization, 2020). In addition, health and financial ministries need to work together so that the interests of the public do not get lost in trade negotiations when it comes to tobacco taxation.</w:t>
      </w:r>
    </w:p>
    <w:p w14:paraId="0F3EE3FD"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4.3 Priority 3: Resolving the Investment Arbitration Threat</w:t>
      </w:r>
    </w:p>
    <w:p w14:paraId="7ABD14D5" w14:textId="77777777" w:rsidR="00A21158" w:rsidRPr="005B2A50" w:rsidRDefault="00A21158" w:rsidP="00A21158">
      <w:pPr>
        <w:rPr>
          <w:rFonts w:ascii="Times New Roman" w:hAnsi="Times New Roman" w:cs="Times New Roman"/>
        </w:rPr>
      </w:pPr>
      <w:r w:rsidRPr="005B2A50">
        <w:rPr>
          <w:rFonts w:ascii="Times New Roman" w:hAnsi="Times New Roman" w:cs="Times New Roman"/>
          <w:i/>
          <w:iCs/>
        </w:rPr>
        <w:t>Philip Morris v Uruguay</w:t>
      </w:r>
      <w:r w:rsidRPr="005B2A50">
        <w:rPr>
          <w:rFonts w:ascii="Times New Roman" w:hAnsi="Times New Roman" w:cs="Times New Roman"/>
        </w:rPr>
        <w:t xml:space="preserve"> and </w:t>
      </w:r>
      <w:r w:rsidRPr="005B2A50">
        <w:rPr>
          <w:rFonts w:ascii="Times New Roman" w:hAnsi="Times New Roman" w:cs="Times New Roman"/>
          <w:i/>
          <w:iCs/>
        </w:rPr>
        <w:t>Philip Morris Asia v Australia</w:t>
      </w:r>
      <w:r w:rsidRPr="005B2A50">
        <w:rPr>
          <w:rFonts w:ascii="Times New Roman" w:hAnsi="Times New Roman" w:cs="Times New Roman"/>
        </w:rPr>
        <w:t xml:space="preserve"> were both significant wins for public health; however, these were the result of interpretative analysis rather than systemic changes (International Bar Association, 2016; Nelson &amp; Robbins, 2016). The dispute resolution system (investment arbitration) is still open to tobacco companies, and most developing nations do not have the resources or capacity to defend themselves against an arbitration claim.</w:t>
      </w:r>
    </w:p>
    <w:p w14:paraId="42D52ADC"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Recommendation: The FCTC Secretariat should work with Parties to:</w:t>
      </w:r>
    </w:p>
    <w:p w14:paraId="06DA20F4" w14:textId="77777777" w:rsidR="00A21158" w:rsidRPr="005B2A50" w:rsidRDefault="00A21158" w:rsidP="00A21158">
      <w:pPr>
        <w:numPr>
          <w:ilvl w:val="0"/>
          <w:numId w:val="5"/>
        </w:numPr>
        <w:rPr>
          <w:rFonts w:ascii="Times New Roman" w:hAnsi="Times New Roman" w:cs="Times New Roman"/>
        </w:rPr>
      </w:pPr>
      <w:r w:rsidRPr="005B2A50">
        <w:rPr>
          <w:rFonts w:ascii="Times New Roman" w:hAnsi="Times New Roman" w:cs="Times New Roman"/>
        </w:rPr>
        <w:t>Remove tobacco control measures from protection afforded by investment treaties, like the tobacco carve-out provision in the Trans-Pacific Partnership agreement (Nelson &amp; Robbins, 2016).</w:t>
      </w:r>
    </w:p>
    <w:p w14:paraId="792EDABF" w14:textId="77777777" w:rsidR="00A21158" w:rsidRPr="005B2A50" w:rsidRDefault="00A21158" w:rsidP="00A21158">
      <w:pPr>
        <w:numPr>
          <w:ilvl w:val="0"/>
          <w:numId w:val="5"/>
        </w:numPr>
        <w:rPr>
          <w:rFonts w:ascii="Times New Roman" w:hAnsi="Times New Roman" w:cs="Times New Roman"/>
        </w:rPr>
      </w:pPr>
      <w:r w:rsidRPr="005B2A50">
        <w:rPr>
          <w:rFonts w:ascii="Times New Roman" w:hAnsi="Times New Roman" w:cs="Times New Roman"/>
        </w:rPr>
        <w:t>Develop a Legal Defence Fund to provide financial assistance to low- and middle-income nations defending themselves against investment arbitration related to their tobacco control policies.</w:t>
      </w:r>
    </w:p>
    <w:p w14:paraId="158AD4BD" w14:textId="77777777" w:rsidR="00A21158" w:rsidRPr="005B2A50" w:rsidRDefault="00A21158" w:rsidP="00A21158">
      <w:pPr>
        <w:numPr>
          <w:ilvl w:val="0"/>
          <w:numId w:val="5"/>
        </w:numPr>
        <w:rPr>
          <w:rFonts w:ascii="Times New Roman" w:hAnsi="Times New Roman" w:cs="Times New Roman"/>
        </w:rPr>
      </w:pPr>
      <w:r w:rsidRPr="005B2A50">
        <w:rPr>
          <w:rFonts w:ascii="Times New Roman" w:hAnsi="Times New Roman" w:cs="Times New Roman"/>
        </w:rPr>
        <w:lastRenderedPageBreak/>
        <w:t>Support amicus curiae applications filed with tribunals hearing investment arbitration disputes involving tobacco control policy issues. In this role, the FCTC Secretariat could provide additional context regarding the public health implications and potential legal bases for a tribunal's decision.</w:t>
      </w:r>
    </w:p>
    <w:p w14:paraId="0A101A2D"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4.4 Priority 4: A Coherent Framework for Novel Nicotine Products</w:t>
      </w:r>
    </w:p>
    <w:p w14:paraId="26C8D6B6"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The failure to reach consensus at COP11 on how to regulate novel nicotine products has been unacceptable. While it is widely understood that there are regulatory loopholes being exploited by the tobacco industry for marketing purposes, particularly among youth, and for positioning itself as a "partner" in promoting harm reduction, there is no international regulatory response (European Commission, 2025).</w:t>
      </w:r>
    </w:p>
    <w:p w14:paraId="01E1DDF6"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Recommendation: The FCTC should develop a risk-based regulatory framework that:</w:t>
      </w:r>
    </w:p>
    <w:p w14:paraId="510CD1AD" w14:textId="77777777" w:rsidR="00A21158" w:rsidRPr="005B2A50" w:rsidRDefault="00A21158" w:rsidP="00A21158">
      <w:pPr>
        <w:numPr>
          <w:ilvl w:val="0"/>
          <w:numId w:val="6"/>
        </w:numPr>
        <w:rPr>
          <w:rFonts w:ascii="Times New Roman" w:hAnsi="Times New Roman" w:cs="Times New Roman"/>
        </w:rPr>
      </w:pPr>
      <w:r w:rsidRPr="005B2A50">
        <w:rPr>
          <w:rFonts w:ascii="Times New Roman" w:hAnsi="Times New Roman" w:cs="Times New Roman"/>
        </w:rPr>
        <w:t>Ensures that all nicotine products cannot be accessed by minors based upon age verification procedures, advertisement bans, and restrictions on flavours and packaging that appeal to young people.</w:t>
      </w:r>
    </w:p>
    <w:p w14:paraId="73D4B33D" w14:textId="77777777" w:rsidR="00A21158" w:rsidRPr="005B2A50" w:rsidRDefault="00A21158" w:rsidP="00A21158">
      <w:pPr>
        <w:numPr>
          <w:ilvl w:val="0"/>
          <w:numId w:val="6"/>
        </w:numPr>
        <w:rPr>
          <w:rFonts w:ascii="Times New Roman" w:hAnsi="Times New Roman" w:cs="Times New Roman"/>
        </w:rPr>
      </w:pPr>
      <w:r w:rsidRPr="005B2A50">
        <w:rPr>
          <w:rFonts w:ascii="Times New Roman" w:hAnsi="Times New Roman" w:cs="Times New Roman"/>
        </w:rPr>
        <w:t>Enables adults who wish to utilise regulated, less harmful alternative nicotine products to do so under strict conditions such as product approval requirements, labelling requirements, and taxes.</w:t>
      </w:r>
    </w:p>
    <w:p w14:paraId="41ED1063" w14:textId="77777777" w:rsidR="00A21158" w:rsidRPr="005B2A50" w:rsidRDefault="00A21158" w:rsidP="00A21158">
      <w:pPr>
        <w:numPr>
          <w:ilvl w:val="0"/>
          <w:numId w:val="6"/>
        </w:numPr>
        <w:rPr>
          <w:rFonts w:ascii="Times New Roman" w:hAnsi="Times New Roman" w:cs="Times New Roman"/>
        </w:rPr>
      </w:pPr>
      <w:r w:rsidRPr="005B2A50">
        <w:rPr>
          <w:rFonts w:ascii="Times New Roman" w:hAnsi="Times New Roman" w:cs="Times New Roman"/>
        </w:rPr>
        <w:t>Demands that all products claiming to offer "harm reduction" require pharmaceutical-style regulation.</w:t>
      </w:r>
    </w:p>
    <w:p w14:paraId="3E9A8F17" w14:textId="77777777" w:rsidR="00A21158" w:rsidRPr="005B2A50" w:rsidRDefault="00A21158" w:rsidP="00A21158">
      <w:pPr>
        <w:numPr>
          <w:ilvl w:val="0"/>
          <w:numId w:val="6"/>
        </w:numPr>
        <w:rPr>
          <w:rFonts w:ascii="Times New Roman" w:hAnsi="Times New Roman" w:cs="Times New Roman"/>
        </w:rPr>
      </w:pPr>
      <w:r w:rsidRPr="005B2A50">
        <w:rPr>
          <w:rFonts w:ascii="Times New Roman" w:hAnsi="Times New Roman" w:cs="Times New Roman"/>
        </w:rPr>
        <w:t>Remains committed to prohibiting combustible tobacco as the goal.</w:t>
      </w:r>
    </w:p>
    <w:p w14:paraId="4A703920" w14:textId="2ECBF07A" w:rsidR="00A21158" w:rsidRPr="005B2A50" w:rsidRDefault="00A21158" w:rsidP="00A21158">
      <w:pPr>
        <w:rPr>
          <w:rFonts w:ascii="Times New Roman" w:hAnsi="Times New Roman" w:cs="Times New Roman"/>
        </w:rPr>
      </w:pPr>
      <w:r w:rsidRPr="005B2A50">
        <w:rPr>
          <w:rFonts w:ascii="Times New Roman" w:hAnsi="Times New Roman" w:cs="Times New Roman"/>
        </w:rPr>
        <w:t xml:space="preserve">This regulatory strategy recognises that certain nicotine products may represent lower risks than combustible </w:t>
      </w:r>
      <w:r w:rsidR="005B2A50" w:rsidRPr="005B2A50">
        <w:rPr>
          <w:rFonts w:ascii="Times New Roman" w:hAnsi="Times New Roman" w:cs="Times New Roman"/>
        </w:rPr>
        <w:t>tobacco but</w:t>
      </w:r>
      <w:r w:rsidRPr="005B2A50">
        <w:rPr>
          <w:rFonts w:ascii="Times New Roman" w:hAnsi="Times New Roman" w:cs="Times New Roman"/>
        </w:rPr>
        <w:t xml:space="preserve"> will prevent the industry from utilising "harm reduction" as a Trojan Horse for normalising nicotine consumption (Gilmore et al., 2025).</w:t>
      </w:r>
    </w:p>
    <w:p w14:paraId="4E4C5D50"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4.5 Priority 5: Strengthening Accountability and Liability</w:t>
      </w:r>
    </w:p>
    <w:p w14:paraId="62A493FC"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Liability (Article 19) has remained largely unenforced. An Expert Group on Liability found that there is little enforcement of this article and that the tobacco industry can avoid liability for the harm caused by its products (Gilmore et al., 2025).</w:t>
      </w:r>
    </w:p>
    <w:p w14:paraId="5ECE2727"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The FCTC should promote administrative liability and cost-recovery models such as those used in Canada, where provinces have successfully recovered billions of dollars in tobacco-related health care costs via litigation and legislation (Gilmore et al., 2025). These are not based upon individual torts but rather can be accomplished at the domestic legislative level.</w:t>
      </w:r>
    </w:p>
    <w:p w14:paraId="25C0DFA2"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5. Conclusion: What Success Requires</w:t>
      </w:r>
    </w:p>
    <w:p w14:paraId="735002DF"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 xml:space="preserve">Twenty years of the FCTC have shown that international law may be able to create real changes. Millions of people are alive today because of the FCTC; the FCTC has established an international legal framework for regulating tobacco, as well as creating a legal environment where tobacco control is a political priority (World Health Organization, 2025). The litigation record, from the Australian case establishing the legality of plain packaging through to the Uruguayan case defending its laws against Philip Morris's claims, demonstrates that there are ways to regulate health while avoiding </w:t>
      </w:r>
      <w:r w:rsidRPr="005B2A50">
        <w:rPr>
          <w:rFonts w:ascii="Times New Roman" w:hAnsi="Times New Roman" w:cs="Times New Roman"/>
        </w:rPr>
        <w:lastRenderedPageBreak/>
        <w:t>disputes about trade or investment if there is adequate legal protection (World Trade Organization, 2020; International Bar Association, 2016).</w:t>
      </w:r>
    </w:p>
    <w:p w14:paraId="5F8B079E"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But despite all these successes, the potential for the FCTC remains unrealised. The implementation of the provisions of the treaty varies widely among member states, and industry continues to interfere with efforts to implement those provisions (Gilmore et al., 2025). Further, the failure of Parties to reach agreement on how to classify and regulate new nicotine delivery systems represents an obstacle that could undermine progress toward achieving the goals outlined in the FCTC (European Commission, 2025). There still exists an inherent conflict between protecting public health and upholding free trade principles, one that places a financial burden on countries seeking to protect their citizens' health (Zhou &amp; Liberman, 2021).</w:t>
      </w:r>
    </w:p>
    <w:p w14:paraId="73B013BC"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Thus, the FCTC is not merely an accomplished goal — it is a long-term effort. The mechanisms required to achieve the objectives set forth in the FCTC already exist. What is currently lacking is sufficient political will and institutional capability to use these mechanisms. This is the future challenge facing the next twenty years.</w:t>
      </w:r>
    </w:p>
    <w:p w14:paraId="44F1FD3F"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References</w:t>
      </w:r>
    </w:p>
    <w:p w14:paraId="128D2DBC"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 xml:space="preserve">Doan, H., Le </w:t>
      </w:r>
      <w:proofErr w:type="spellStart"/>
      <w:r w:rsidRPr="005B2A50">
        <w:rPr>
          <w:rFonts w:ascii="Times New Roman" w:hAnsi="Times New Roman" w:cs="Times New Roman"/>
        </w:rPr>
        <w:t>Thi</w:t>
      </w:r>
      <w:proofErr w:type="spellEnd"/>
      <w:r w:rsidRPr="005B2A50">
        <w:rPr>
          <w:rFonts w:ascii="Times New Roman" w:hAnsi="Times New Roman" w:cs="Times New Roman"/>
        </w:rPr>
        <w:t xml:space="preserve">, T., &amp; Geng, Q. (2025). Industry tactics in tax policy and response: Lesson learnt from Vietnam. </w:t>
      </w:r>
      <w:r w:rsidRPr="005B2A50">
        <w:rPr>
          <w:rFonts w:ascii="Times New Roman" w:hAnsi="Times New Roman" w:cs="Times New Roman"/>
          <w:i/>
          <w:iCs/>
        </w:rPr>
        <w:t>Tobacco Induced Diseases, 23</w:t>
      </w:r>
      <w:r w:rsidRPr="005B2A50">
        <w:rPr>
          <w:rFonts w:ascii="Times New Roman" w:hAnsi="Times New Roman" w:cs="Times New Roman"/>
        </w:rPr>
        <w:t xml:space="preserve">(Suppl 1), A315. </w:t>
      </w:r>
      <w:hyperlink r:id="rId5" w:tgtFrame="_blank" w:history="1">
        <w:r w:rsidRPr="005B2A50">
          <w:rPr>
            <w:rStyle w:val="Hyperlink"/>
            <w:rFonts w:ascii="Times New Roman" w:hAnsi="Times New Roman" w:cs="Times New Roman"/>
          </w:rPr>
          <w:t>https://doi.org/10.18332/tid/206176</w:t>
        </w:r>
      </w:hyperlink>
    </w:p>
    <w:p w14:paraId="4D204296"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 xml:space="preserve">European Commission. (2025, December 16). </w:t>
      </w:r>
      <w:r w:rsidRPr="005B2A50">
        <w:rPr>
          <w:rFonts w:ascii="Times New Roman" w:hAnsi="Times New Roman" w:cs="Times New Roman"/>
          <w:i/>
          <w:iCs/>
        </w:rPr>
        <w:t>Key decisions on tobacco control and environment at COP11</w:t>
      </w:r>
      <w:r w:rsidRPr="005B2A50">
        <w:rPr>
          <w:rFonts w:ascii="Times New Roman" w:hAnsi="Times New Roman" w:cs="Times New Roman"/>
        </w:rPr>
        <w:t xml:space="preserve">. </w:t>
      </w:r>
      <w:hyperlink r:id="rId6" w:tgtFrame="_blank" w:history="1">
        <w:r w:rsidRPr="005B2A50">
          <w:rPr>
            <w:rStyle w:val="Hyperlink"/>
            <w:rFonts w:ascii="Times New Roman" w:hAnsi="Times New Roman" w:cs="Times New Roman"/>
          </w:rPr>
          <w:t>https://ec.europa.eu/newsroom/know4pol/items/915101/en</w:t>
        </w:r>
      </w:hyperlink>
    </w:p>
    <w:p w14:paraId="69A764A8"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 xml:space="preserve">Gilmore, A. B., Callard, C., Sy, D., Llorente, B. A., Bhojani, U., Egbe, C. O., &amp; </w:t>
      </w:r>
      <w:proofErr w:type="spellStart"/>
      <w:r w:rsidRPr="005B2A50">
        <w:rPr>
          <w:rFonts w:ascii="Times New Roman" w:hAnsi="Times New Roman" w:cs="Times New Roman"/>
        </w:rPr>
        <w:t>Bialous</w:t>
      </w:r>
      <w:proofErr w:type="spellEnd"/>
      <w:r w:rsidRPr="005B2A50">
        <w:rPr>
          <w:rFonts w:ascii="Times New Roman" w:hAnsi="Times New Roman" w:cs="Times New Roman"/>
        </w:rPr>
        <w:t xml:space="preserve">, S. A. (2025). 20th anniversary of the WHO Framework Convention on Tobacco Control coming into force: Time for a step change in ambition. </w:t>
      </w:r>
      <w:r w:rsidRPr="005B2A50">
        <w:rPr>
          <w:rFonts w:ascii="Times New Roman" w:hAnsi="Times New Roman" w:cs="Times New Roman"/>
          <w:i/>
          <w:iCs/>
        </w:rPr>
        <w:t>The Lancet, 405</w:t>
      </w:r>
      <w:r w:rsidRPr="005B2A50">
        <w:rPr>
          <w:rFonts w:ascii="Times New Roman" w:hAnsi="Times New Roman" w:cs="Times New Roman"/>
        </w:rPr>
        <w:t xml:space="preserve">(10480), 677–681. </w:t>
      </w:r>
      <w:hyperlink r:id="rId7" w:tgtFrame="_blank" w:history="1">
        <w:r w:rsidRPr="005B2A50">
          <w:rPr>
            <w:rStyle w:val="Hyperlink"/>
            <w:rFonts w:ascii="Times New Roman" w:hAnsi="Times New Roman" w:cs="Times New Roman"/>
          </w:rPr>
          <w:t>https://doi.org/10.1016/S0140-6736(25)00336-8</w:t>
        </w:r>
      </w:hyperlink>
    </w:p>
    <w:p w14:paraId="55CD7E03"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 xml:space="preserve">Global </w:t>
      </w:r>
      <w:proofErr w:type="spellStart"/>
      <w:r w:rsidRPr="005B2A50">
        <w:rPr>
          <w:rFonts w:ascii="Times New Roman" w:hAnsi="Times New Roman" w:cs="Times New Roman"/>
        </w:rPr>
        <w:t>Center</w:t>
      </w:r>
      <w:proofErr w:type="spellEnd"/>
      <w:r w:rsidRPr="005B2A50">
        <w:rPr>
          <w:rFonts w:ascii="Times New Roman" w:hAnsi="Times New Roman" w:cs="Times New Roman"/>
        </w:rPr>
        <w:t xml:space="preserve"> for Good Governance in Tobacco Control. (2025). </w:t>
      </w:r>
      <w:r w:rsidRPr="005B2A50">
        <w:rPr>
          <w:rFonts w:ascii="Times New Roman" w:hAnsi="Times New Roman" w:cs="Times New Roman"/>
          <w:i/>
          <w:iCs/>
        </w:rPr>
        <w:t>Global tobacco industry interference index 2025</w:t>
      </w:r>
      <w:r w:rsidRPr="005B2A50">
        <w:rPr>
          <w:rFonts w:ascii="Times New Roman" w:hAnsi="Times New Roman" w:cs="Times New Roman"/>
        </w:rPr>
        <w:t xml:space="preserve">. STOP. </w:t>
      </w:r>
      <w:hyperlink r:id="rId8" w:tgtFrame="_blank" w:history="1">
        <w:r w:rsidRPr="005B2A50">
          <w:rPr>
            <w:rStyle w:val="Hyperlink"/>
            <w:rFonts w:ascii="Times New Roman" w:hAnsi="Times New Roman" w:cs="Times New Roman"/>
          </w:rPr>
          <w:t>https://globaltobaccoindex.org/gti/2025</w:t>
        </w:r>
      </w:hyperlink>
    </w:p>
    <w:p w14:paraId="47681208"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 xml:space="preserve">International Bar Association. (2016). </w:t>
      </w:r>
      <w:r w:rsidRPr="005B2A50">
        <w:rPr>
          <w:rFonts w:ascii="Times New Roman" w:hAnsi="Times New Roman" w:cs="Times New Roman"/>
          <w:i/>
          <w:iCs/>
        </w:rPr>
        <w:t>Landmark ruling brings end to six-year battle between Uruguay and world's largest tobacco company</w:t>
      </w:r>
      <w:r w:rsidRPr="005B2A50">
        <w:rPr>
          <w:rFonts w:ascii="Times New Roman" w:hAnsi="Times New Roman" w:cs="Times New Roman"/>
        </w:rPr>
        <w:t xml:space="preserve">. </w:t>
      </w:r>
      <w:hyperlink r:id="rId9" w:tgtFrame="_blank" w:history="1">
        <w:r w:rsidRPr="005B2A50">
          <w:rPr>
            <w:rStyle w:val="Hyperlink"/>
            <w:rFonts w:ascii="Times New Roman" w:hAnsi="Times New Roman" w:cs="Times New Roman"/>
          </w:rPr>
          <w:t>https://www.ibanet.org/article/DE2A18C0-8130-454F-A539-0F829D930C6D</w:t>
        </w:r>
      </w:hyperlink>
    </w:p>
    <w:p w14:paraId="7E8887AE"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 xml:space="preserve">NCD Alliance. (2025, June 23). </w:t>
      </w:r>
      <w:r w:rsidRPr="005B2A50">
        <w:rPr>
          <w:rFonts w:ascii="Times New Roman" w:hAnsi="Times New Roman" w:cs="Times New Roman"/>
          <w:i/>
          <w:iCs/>
        </w:rPr>
        <w:t>NCDA statement to the WHO report on the Global Tobacco Epidemic 2025</w:t>
      </w:r>
      <w:r w:rsidRPr="005B2A50">
        <w:rPr>
          <w:rFonts w:ascii="Times New Roman" w:hAnsi="Times New Roman" w:cs="Times New Roman"/>
        </w:rPr>
        <w:t xml:space="preserve">. </w:t>
      </w:r>
      <w:hyperlink r:id="rId10" w:tgtFrame="_blank" w:history="1">
        <w:r w:rsidRPr="005B2A50">
          <w:rPr>
            <w:rStyle w:val="Hyperlink"/>
            <w:rFonts w:ascii="Times New Roman" w:hAnsi="Times New Roman" w:cs="Times New Roman"/>
          </w:rPr>
          <w:t>https://ncdalliance.org/stories/news-blogs/2025/ncda-statement-to-the-who-report-on-the-global-tobacco-epidemic-2025</w:t>
        </w:r>
      </w:hyperlink>
    </w:p>
    <w:p w14:paraId="56CA290D"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 xml:space="preserve">Nelson, S., &amp; Robbins, M. (2016). Philip Morris Asia Limited (Hong Kong) v. The Commonwealth of Australia: Permanent Court of Arbitration Tribunal publishes redacted version of award on jurisdiction and admissibility. </w:t>
      </w:r>
      <w:proofErr w:type="spellStart"/>
      <w:r w:rsidRPr="005B2A50">
        <w:rPr>
          <w:rFonts w:ascii="Times New Roman" w:hAnsi="Times New Roman" w:cs="Times New Roman"/>
          <w:i/>
          <w:iCs/>
        </w:rPr>
        <w:t>ReSolution</w:t>
      </w:r>
      <w:proofErr w:type="spellEnd"/>
      <w:r w:rsidRPr="005B2A50">
        <w:rPr>
          <w:rFonts w:ascii="Times New Roman" w:hAnsi="Times New Roman" w:cs="Times New Roman"/>
        </w:rPr>
        <w:t xml:space="preserve">. </w:t>
      </w:r>
      <w:hyperlink r:id="rId11" w:tgtFrame="_blank" w:history="1">
        <w:r w:rsidRPr="005B2A50">
          <w:rPr>
            <w:rStyle w:val="Hyperlink"/>
            <w:rFonts w:ascii="Times New Roman" w:hAnsi="Times New Roman" w:cs="Times New Roman"/>
          </w:rPr>
          <w:t>https://nzlii.org/nz/journals/NZReSoln/2016/38.pdf</w:t>
        </w:r>
      </w:hyperlink>
    </w:p>
    <w:p w14:paraId="2495C7E4" w14:textId="77777777" w:rsidR="00A21158" w:rsidRPr="005B2A50" w:rsidRDefault="00A21158" w:rsidP="00A21158">
      <w:pPr>
        <w:rPr>
          <w:rFonts w:ascii="Times New Roman" w:hAnsi="Times New Roman" w:cs="Times New Roman"/>
        </w:rPr>
      </w:pPr>
      <w:proofErr w:type="spellStart"/>
      <w:r w:rsidRPr="005B2A50">
        <w:rPr>
          <w:rFonts w:ascii="Times New Roman" w:hAnsi="Times New Roman" w:cs="Times New Roman"/>
        </w:rPr>
        <w:t>Paraje</w:t>
      </w:r>
      <w:proofErr w:type="spellEnd"/>
      <w:r w:rsidRPr="005B2A50">
        <w:rPr>
          <w:rFonts w:ascii="Times New Roman" w:hAnsi="Times New Roman" w:cs="Times New Roman"/>
        </w:rPr>
        <w:t xml:space="preserve">, G., Flores Muñoz, M., Wu, D. C., &amp; Jha, P. (2024). Reductions in smoking due to ratification of the Framework Convention for Tobacco Control in 171 countries. </w:t>
      </w:r>
      <w:r w:rsidRPr="005B2A50">
        <w:rPr>
          <w:rFonts w:ascii="Times New Roman" w:hAnsi="Times New Roman" w:cs="Times New Roman"/>
          <w:i/>
          <w:iCs/>
        </w:rPr>
        <w:t>Nature Medicine, 30</w:t>
      </w:r>
      <w:r w:rsidRPr="005B2A50">
        <w:rPr>
          <w:rFonts w:ascii="Times New Roman" w:hAnsi="Times New Roman" w:cs="Times New Roman"/>
        </w:rPr>
        <w:t xml:space="preserve">(3), 683–689. </w:t>
      </w:r>
      <w:hyperlink r:id="rId12" w:tgtFrame="_blank" w:history="1">
        <w:r w:rsidRPr="005B2A50">
          <w:rPr>
            <w:rStyle w:val="Hyperlink"/>
            <w:rFonts w:ascii="Times New Roman" w:hAnsi="Times New Roman" w:cs="Times New Roman"/>
          </w:rPr>
          <w:t>https://doi.org/10.1038/s41591-024-02806-0</w:t>
        </w:r>
      </w:hyperlink>
    </w:p>
    <w:p w14:paraId="21224C73"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 xml:space="preserve">SEATCA. (2025). </w:t>
      </w:r>
      <w:r w:rsidRPr="005B2A50">
        <w:rPr>
          <w:rFonts w:ascii="Times New Roman" w:hAnsi="Times New Roman" w:cs="Times New Roman"/>
          <w:i/>
          <w:iCs/>
        </w:rPr>
        <w:t>ASEAN Tobacco Control Atlas</w:t>
      </w:r>
      <w:r w:rsidRPr="005B2A50">
        <w:rPr>
          <w:rFonts w:ascii="Times New Roman" w:hAnsi="Times New Roman" w:cs="Times New Roman"/>
        </w:rPr>
        <w:t xml:space="preserve"> (6th ed.). Southeast Asia Tobacco Control Alliance. </w:t>
      </w:r>
      <w:hyperlink r:id="rId13" w:tgtFrame="_blank" w:history="1">
        <w:r w:rsidRPr="005B2A50">
          <w:rPr>
            <w:rStyle w:val="Hyperlink"/>
            <w:rFonts w:ascii="Times New Roman" w:hAnsi="Times New Roman" w:cs="Times New Roman"/>
          </w:rPr>
          <w:t>https://seatca.org/dmdocuments/SEATCA%20Tobacco%20Atlas%206th%20Edition.pdf</w:t>
        </w:r>
      </w:hyperlink>
    </w:p>
    <w:p w14:paraId="3BDB8A5B"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lastRenderedPageBreak/>
        <w:t xml:space="preserve">Secretariat of the WHO Framework Convention on Tobacco Control. (n.d.-a). </w:t>
      </w:r>
      <w:r w:rsidRPr="005B2A50">
        <w:rPr>
          <w:rFonts w:ascii="Times New Roman" w:hAnsi="Times New Roman" w:cs="Times New Roman"/>
          <w:i/>
          <w:iCs/>
        </w:rPr>
        <w:t>Guidelines for implementation of Article 6: Price and tax measures to reduce the demand for tobacco</w:t>
      </w:r>
      <w:r w:rsidRPr="005B2A50">
        <w:rPr>
          <w:rFonts w:ascii="Times New Roman" w:hAnsi="Times New Roman" w:cs="Times New Roman"/>
        </w:rPr>
        <w:t xml:space="preserve">. </w:t>
      </w:r>
      <w:hyperlink r:id="rId14" w:tgtFrame="_blank" w:history="1">
        <w:r w:rsidRPr="005B2A50">
          <w:rPr>
            <w:rStyle w:val="Hyperlink"/>
            <w:rFonts w:ascii="Times New Roman" w:hAnsi="Times New Roman" w:cs="Times New Roman"/>
          </w:rPr>
          <w:t>https://fctc.who.int/docs/librariesprovider12/technical-documents/who-fctc-article-6-guidelines.pdf</w:t>
        </w:r>
      </w:hyperlink>
    </w:p>
    <w:p w14:paraId="70578FD6"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 xml:space="preserve">Secretariat of the WHO Framework Convention on Tobacco Control. (n.d.-b). </w:t>
      </w:r>
      <w:r w:rsidRPr="005B2A50">
        <w:rPr>
          <w:rFonts w:ascii="Times New Roman" w:hAnsi="Times New Roman" w:cs="Times New Roman"/>
          <w:i/>
          <w:iCs/>
        </w:rPr>
        <w:t>WHO FCTC Coordination Platform: Challenges to tobacco control</w:t>
      </w:r>
      <w:r w:rsidRPr="005B2A50">
        <w:rPr>
          <w:rFonts w:ascii="Times New Roman" w:hAnsi="Times New Roman" w:cs="Times New Roman"/>
        </w:rPr>
        <w:t xml:space="preserve">. </w:t>
      </w:r>
      <w:hyperlink r:id="rId15" w:tgtFrame="_blank" w:history="1">
        <w:r w:rsidRPr="005B2A50">
          <w:rPr>
            <w:rStyle w:val="Hyperlink"/>
            <w:rFonts w:ascii="Times New Roman" w:hAnsi="Times New Roman" w:cs="Times New Roman"/>
          </w:rPr>
          <w:t>https://portal-uat.who.int/fctcapps/fctcapps/fctc?page=748</w:t>
        </w:r>
      </w:hyperlink>
    </w:p>
    <w:p w14:paraId="6A35E938"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 xml:space="preserve">Secretariat of the WHO Framework Convention on Tobacco Control. (2013). </w:t>
      </w:r>
      <w:r w:rsidRPr="005B2A50">
        <w:rPr>
          <w:rFonts w:ascii="Times New Roman" w:hAnsi="Times New Roman" w:cs="Times New Roman"/>
          <w:i/>
          <w:iCs/>
        </w:rPr>
        <w:t>Guidelines for implementation of Article 11: Packaging and labelling of tobacco products</w:t>
      </w:r>
      <w:r w:rsidRPr="005B2A50">
        <w:rPr>
          <w:rFonts w:ascii="Times New Roman" w:hAnsi="Times New Roman" w:cs="Times New Roman"/>
        </w:rPr>
        <w:t xml:space="preserve">. </w:t>
      </w:r>
      <w:hyperlink r:id="rId16" w:tgtFrame="_blank" w:history="1">
        <w:r w:rsidRPr="005B2A50">
          <w:rPr>
            <w:rStyle w:val="Hyperlink"/>
            <w:rFonts w:ascii="Times New Roman" w:hAnsi="Times New Roman" w:cs="Times New Roman"/>
          </w:rPr>
          <w:t>https://fctc.who.int/resources/publications/m/item/packaging-and-labelling-of-tobacco-products</w:t>
        </w:r>
      </w:hyperlink>
    </w:p>
    <w:p w14:paraId="3140F983"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 xml:space="preserve">Secretariat of the WHO Framework Convention on Tobacco Control. (2018). </w:t>
      </w:r>
      <w:r w:rsidRPr="005B2A50">
        <w:rPr>
          <w:rFonts w:ascii="Times New Roman" w:hAnsi="Times New Roman" w:cs="Times New Roman"/>
          <w:i/>
          <w:iCs/>
        </w:rPr>
        <w:t>Protocol to eliminate illicit trade in tobacco products</w:t>
      </w:r>
      <w:r w:rsidRPr="005B2A50">
        <w:rPr>
          <w:rFonts w:ascii="Times New Roman" w:hAnsi="Times New Roman" w:cs="Times New Roman"/>
        </w:rPr>
        <w:t xml:space="preserve">. </w:t>
      </w:r>
      <w:hyperlink r:id="rId17" w:tgtFrame="_blank" w:history="1">
        <w:r w:rsidRPr="005B2A50">
          <w:rPr>
            <w:rStyle w:val="Hyperlink"/>
            <w:rFonts w:ascii="Times New Roman" w:hAnsi="Times New Roman" w:cs="Times New Roman"/>
          </w:rPr>
          <w:t>https://fctc.who.int/protocol/overview</w:t>
        </w:r>
      </w:hyperlink>
    </w:p>
    <w:p w14:paraId="24B0ED35"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 xml:space="preserve">Secretariat of the WHO Framework Convention on Tobacco Control. (2024). </w:t>
      </w:r>
      <w:r w:rsidRPr="005B2A50">
        <w:rPr>
          <w:rFonts w:ascii="Times New Roman" w:hAnsi="Times New Roman" w:cs="Times New Roman"/>
          <w:i/>
          <w:iCs/>
        </w:rPr>
        <w:t>Guidelines for implementation of Article 13</w:t>
      </w:r>
      <w:r w:rsidRPr="005B2A50">
        <w:rPr>
          <w:rFonts w:ascii="Times New Roman" w:hAnsi="Times New Roman" w:cs="Times New Roman"/>
        </w:rPr>
        <w:t xml:space="preserve">. </w:t>
      </w:r>
      <w:hyperlink r:id="rId18" w:tgtFrame="_blank" w:history="1">
        <w:r w:rsidRPr="005B2A50">
          <w:rPr>
            <w:rStyle w:val="Hyperlink"/>
            <w:rFonts w:ascii="Times New Roman" w:hAnsi="Times New Roman" w:cs="Times New Roman"/>
          </w:rPr>
          <w:t>https://fctc.who.int/resources/publications/m/item/guidelines-for-implementation-article-13</w:t>
        </w:r>
      </w:hyperlink>
    </w:p>
    <w:p w14:paraId="3288E332"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 xml:space="preserve">Secretariat of the WHO Framework Convention on Tobacco Control. (2025a, November 22). </w:t>
      </w:r>
      <w:r w:rsidRPr="005B2A50">
        <w:rPr>
          <w:rFonts w:ascii="Times New Roman" w:hAnsi="Times New Roman" w:cs="Times New Roman"/>
          <w:i/>
          <w:iCs/>
        </w:rPr>
        <w:t>Global tobacco control conference concludes with decisions on environment, liability</w:t>
      </w:r>
      <w:r w:rsidRPr="005B2A50">
        <w:rPr>
          <w:rFonts w:ascii="Times New Roman" w:hAnsi="Times New Roman" w:cs="Times New Roman"/>
        </w:rPr>
        <w:t xml:space="preserve">. </w:t>
      </w:r>
      <w:hyperlink r:id="rId19" w:tgtFrame="_blank" w:history="1">
        <w:r w:rsidRPr="005B2A50">
          <w:rPr>
            <w:rStyle w:val="Hyperlink"/>
            <w:rFonts w:ascii="Times New Roman" w:hAnsi="Times New Roman" w:cs="Times New Roman"/>
          </w:rPr>
          <w:t>https://fctc.who.int/newsroom/news/item/22-11-2025-global-tobacco-control-conference-concludes-with-decisions-on-environment-liability</w:t>
        </w:r>
      </w:hyperlink>
    </w:p>
    <w:p w14:paraId="4880BFF1"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 xml:space="preserve">Secretariat of the WHO Framework Convention on Tobacco Control. (2025b, June 25). </w:t>
      </w:r>
      <w:r w:rsidRPr="005B2A50">
        <w:rPr>
          <w:rFonts w:ascii="Times New Roman" w:hAnsi="Times New Roman" w:cs="Times New Roman"/>
          <w:i/>
          <w:iCs/>
        </w:rPr>
        <w:t>20 years of WHO FCTC celebrated at major world conference on tobacco control</w:t>
      </w:r>
      <w:r w:rsidRPr="005B2A50">
        <w:rPr>
          <w:rFonts w:ascii="Times New Roman" w:hAnsi="Times New Roman" w:cs="Times New Roman"/>
        </w:rPr>
        <w:t xml:space="preserve">. </w:t>
      </w:r>
      <w:hyperlink r:id="rId20" w:tgtFrame="_blank" w:history="1">
        <w:r w:rsidRPr="005B2A50">
          <w:rPr>
            <w:rStyle w:val="Hyperlink"/>
            <w:rFonts w:ascii="Times New Roman" w:hAnsi="Times New Roman" w:cs="Times New Roman"/>
          </w:rPr>
          <w:t>https://fctc.who.int/newsroom/news/item/25-06-2025-20-years-of-who-fctc-celebrated-at-major-world-conference-on-tobacco-control</w:t>
        </w:r>
      </w:hyperlink>
    </w:p>
    <w:p w14:paraId="0E506508"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 xml:space="preserve">Secretariat of the WHO Framework Convention on Tobacco Control. (2025c). </w:t>
      </w:r>
      <w:r w:rsidRPr="005B2A50">
        <w:rPr>
          <w:rFonts w:ascii="Times New Roman" w:hAnsi="Times New Roman" w:cs="Times New Roman"/>
          <w:i/>
          <w:iCs/>
        </w:rPr>
        <w:t>2025 global progress report on implementation of the WHO Framework Convention on Tobacco Control</w:t>
      </w:r>
      <w:r w:rsidRPr="005B2A50">
        <w:rPr>
          <w:rFonts w:ascii="Times New Roman" w:hAnsi="Times New Roman" w:cs="Times New Roman"/>
        </w:rPr>
        <w:t xml:space="preserve">. </w:t>
      </w:r>
      <w:hyperlink r:id="rId21" w:tgtFrame="_blank" w:history="1">
        <w:r w:rsidRPr="005B2A50">
          <w:rPr>
            <w:rStyle w:val="Hyperlink"/>
            <w:rFonts w:ascii="Times New Roman" w:hAnsi="Times New Roman" w:cs="Times New Roman"/>
          </w:rPr>
          <w:t>https://fctc.who.int/publications/i/item/9789240106183</w:t>
        </w:r>
      </w:hyperlink>
    </w:p>
    <w:p w14:paraId="3D40ADA3"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 xml:space="preserve">Union for International Cancer Control. (2025, December 2). </w:t>
      </w:r>
      <w:r w:rsidRPr="005B2A50">
        <w:rPr>
          <w:rFonts w:ascii="Times New Roman" w:hAnsi="Times New Roman" w:cs="Times New Roman"/>
          <w:i/>
          <w:iCs/>
        </w:rPr>
        <w:t>UICC at WHO tobacco control meetings marking 20 years of global tobacco control</w:t>
      </w:r>
      <w:r w:rsidRPr="005B2A50">
        <w:rPr>
          <w:rFonts w:ascii="Times New Roman" w:hAnsi="Times New Roman" w:cs="Times New Roman"/>
        </w:rPr>
        <w:t xml:space="preserve">. </w:t>
      </w:r>
      <w:hyperlink r:id="rId22" w:tgtFrame="_blank" w:history="1">
        <w:r w:rsidRPr="005B2A50">
          <w:rPr>
            <w:rStyle w:val="Hyperlink"/>
            <w:rFonts w:ascii="Times New Roman" w:hAnsi="Times New Roman" w:cs="Times New Roman"/>
          </w:rPr>
          <w:t>https://www.uicc.org/news-and-updates/news/25-m12-uicc-two-who-tobacco-control-meetings-marking-20-years-global-tobacco-control</w:t>
        </w:r>
      </w:hyperlink>
    </w:p>
    <w:p w14:paraId="755215DC"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 xml:space="preserve">World Health Organization. (2003). </w:t>
      </w:r>
      <w:r w:rsidRPr="005B2A50">
        <w:rPr>
          <w:rFonts w:ascii="Times New Roman" w:hAnsi="Times New Roman" w:cs="Times New Roman"/>
          <w:i/>
          <w:iCs/>
        </w:rPr>
        <w:t>WHO Framework Convention on Tobacco Control</w:t>
      </w:r>
      <w:r w:rsidRPr="005B2A50">
        <w:rPr>
          <w:rFonts w:ascii="Times New Roman" w:hAnsi="Times New Roman" w:cs="Times New Roman"/>
        </w:rPr>
        <w:t xml:space="preserve">. </w:t>
      </w:r>
      <w:hyperlink r:id="rId23" w:tgtFrame="_blank" w:history="1">
        <w:r w:rsidRPr="005B2A50">
          <w:rPr>
            <w:rStyle w:val="Hyperlink"/>
            <w:rFonts w:ascii="Times New Roman" w:hAnsi="Times New Roman" w:cs="Times New Roman"/>
          </w:rPr>
          <w:t>https://apps.who.int/iris/handle/10665/42811</w:t>
        </w:r>
      </w:hyperlink>
    </w:p>
    <w:p w14:paraId="691D9C58"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 xml:space="preserve">World Health Organization. (2008). </w:t>
      </w:r>
      <w:r w:rsidRPr="005B2A50">
        <w:rPr>
          <w:rFonts w:ascii="Times New Roman" w:hAnsi="Times New Roman" w:cs="Times New Roman"/>
          <w:i/>
          <w:iCs/>
        </w:rPr>
        <w:t>MPOWER: A policy package to reverse the tobacco epidemic</w:t>
      </w:r>
      <w:r w:rsidRPr="005B2A50">
        <w:rPr>
          <w:rFonts w:ascii="Times New Roman" w:hAnsi="Times New Roman" w:cs="Times New Roman"/>
        </w:rPr>
        <w:t xml:space="preserve">. </w:t>
      </w:r>
      <w:hyperlink r:id="rId24" w:tgtFrame="_blank" w:history="1">
        <w:r w:rsidRPr="005B2A50">
          <w:rPr>
            <w:rStyle w:val="Hyperlink"/>
            <w:rFonts w:ascii="Times New Roman" w:hAnsi="Times New Roman" w:cs="Times New Roman"/>
          </w:rPr>
          <w:t>https://www.who.int/publications/i/item/9789241596631</w:t>
        </w:r>
      </w:hyperlink>
    </w:p>
    <w:p w14:paraId="3003CCE3"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 xml:space="preserve">World Health Organization. (2021). </w:t>
      </w:r>
      <w:r w:rsidRPr="005B2A50">
        <w:rPr>
          <w:rFonts w:ascii="Times New Roman" w:hAnsi="Times New Roman" w:cs="Times New Roman"/>
          <w:i/>
          <w:iCs/>
        </w:rPr>
        <w:t>WHO report on the global tobacco epidemic 2021: Addressing new and emerging products</w:t>
      </w:r>
      <w:r w:rsidRPr="005B2A50">
        <w:rPr>
          <w:rFonts w:ascii="Times New Roman" w:hAnsi="Times New Roman" w:cs="Times New Roman"/>
        </w:rPr>
        <w:t xml:space="preserve">. </w:t>
      </w:r>
      <w:hyperlink r:id="rId25" w:tgtFrame="_blank" w:history="1">
        <w:r w:rsidRPr="005B2A50">
          <w:rPr>
            <w:rStyle w:val="Hyperlink"/>
            <w:rFonts w:ascii="Times New Roman" w:hAnsi="Times New Roman" w:cs="Times New Roman"/>
          </w:rPr>
          <w:t>https://www.who.int/publications/i/item/9789240032095</w:t>
        </w:r>
      </w:hyperlink>
    </w:p>
    <w:p w14:paraId="1CD7F00B"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 xml:space="preserve">World Health Organization. (2023). </w:t>
      </w:r>
      <w:r w:rsidRPr="005B2A50">
        <w:rPr>
          <w:rFonts w:ascii="Times New Roman" w:hAnsi="Times New Roman" w:cs="Times New Roman"/>
          <w:i/>
          <w:iCs/>
        </w:rPr>
        <w:t>WHO report on the global tobacco epidemic 2023: Protect people from tobacco smoke</w:t>
      </w:r>
      <w:r w:rsidRPr="005B2A50">
        <w:rPr>
          <w:rFonts w:ascii="Times New Roman" w:hAnsi="Times New Roman" w:cs="Times New Roman"/>
        </w:rPr>
        <w:t xml:space="preserve">. </w:t>
      </w:r>
      <w:hyperlink r:id="rId26" w:tgtFrame="_blank" w:history="1">
        <w:r w:rsidRPr="005B2A50">
          <w:rPr>
            <w:rStyle w:val="Hyperlink"/>
            <w:rFonts w:ascii="Times New Roman" w:hAnsi="Times New Roman" w:cs="Times New Roman"/>
          </w:rPr>
          <w:t>https://www.who.int/publications/i/item/9789240077164</w:t>
        </w:r>
      </w:hyperlink>
    </w:p>
    <w:p w14:paraId="232085BA"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 xml:space="preserve">World Health Organization. (2025, November 17). </w:t>
      </w:r>
      <w:r w:rsidRPr="005B2A50">
        <w:rPr>
          <w:rFonts w:ascii="Times New Roman" w:hAnsi="Times New Roman" w:cs="Times New Roman"/>
          <w:i/>
          <w:iCs/>
        </w:rPr>
        <w:t>WHO Director-General's opening remarks at the strategic dialogue "Healthy Planet, Healthy Future: Uniting for tobacco-free generations"</w:t>
      </w:r>
      <w:r w:rsidRPr="005B2A50">
        <w:rPr>
          <w:rFonts w:ascii="Times New Roman" w:hAnsi="Times New Roman" w:cs="Times New Roman"/>
        </w:rPr>
        <w:t xml:space="preserve"> [Speech transcript]. </w:t>
      </w:r>
      <w:hyperlink r:id="rId27" w:tgtFrame="_blank" w:history="1">
        <w:r w:rsidRPr="005B2A50">
          <w:rPr>
            <w:rStyle w:val="Hyperlink"/>
            <w:rFonts w:ascii="Times New Roman" w:hAnsi="Times New Roman" w:cs="Times New Roman"/>
          </w:rPr>
          <w:t>https://www.who.int/news-room/speeches/item/who-director-general-s-opening-remarks-</w:t>
        </w:r>
        <w:r w:rsidRPr="005B2A50">
          <w:rPr>
            <w:rStyle w:val="Hyperlink"/>
            <w:rFonts w:ascii="Times New Roman" w:hAnsi="Times New Roman" w:cs="Times New Roman"/>
          </w:rPr>
          <w:lastRenderedPageBreak/>
          <w:t>at-the-strategic-dialogue-healthy-planet-healthy-future-uniting-for-tobacco-free-generations-17-november-2025</w:t>
        </w:r>
      </w:hyperlink>
    </w:p>
    <w:p w14:paraId="31B6FF19"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 xml:space="preserve">World Trade Organization. (2020). </w:t>
      </w:r>
      <w:r w:rsidRPr="005B2A50">
        <w:rPr>
          <w:rFonts w:ascii="Times New Roman" w:hAnsi="Times New Roman" w:cs="Times New Roman"/>
          <w:i/>
          <w:iCs/>
        </w:rPr>
        <w:t>Australia — Certain measures concerning trademarks, geographical indications and other plain packaging requirements applicable to tobacco products and packaging: Reports of the Appellate Body</w:t>
      </w:r>
      <w:r w:rsidRPr="005B2A50">
        <w:rPr>
          <w:rFonts w:ascii="Times New Roman" w:hAnsi="Times New Roman" w:cs="Times New Roman"/>
        </w:rPr>
        <w:t xml:space="preserve"> (WT/DS435/AB/R, WT/DS441/AB/R). </w:t>
      </w:r>
      <w:hyperlink r:id="rId28" w:tgtFrame="_blank" w:history="1">
        <w:r w:rsidRPr="005B2A50">
          <w:rPr>
            <w:rStyle w:val="Hyperlink"/>
            <w:rFonts w:ascii="Times New Roman" w:hAnsi="Times New Roman" w:cs="Times New Roman"/>
          </w:rPr>
          <w:t>https://www.wto.org/english/tratop_e/dispu_e/cases_e/ds435_e.htm</w:t>
        </w:r>
      </w:hyperlink>
    </w:p>
    <w:p w14:paraId="54652358" w14:textId="77777777" w:rsidR="00A21158" w:rsidRPr="005B2A50" w:rsidRDefault="00A21158" w:rsidP="00A21158">
      <w:pPr>
        <w:rPr>
          <w:rFonts w:ascii="Times New Roman" w:hAnsi="Times New Roman" w:cs="Times New Roman"/>
        </w:rPr>
      </w:pPr>
      <w:r w:rsidRPr="005B2A50">
        <w:rPr>
          <w:rFonts w:ascii="Times New Roman" w:hAnsi="Times New Roman" w:cs="Times New Roman"/>
        </w:rPr>
        <w:t xml:space="preserve">Zhou, S., &amp; Liberman, J. (2021). Packaging domestic interests into intellectual property law: Lessons from tobacco plain packaging disputes. </w:t>
      </w:r>
      <w:r w:rsidRPr="005B2A50">
        <w:rPr>
          <w:rFonts w:ascii="Times New Roman" w:hAnsi="Times New Roman" w:cs="Times New Roman"/>
          <w:i/>
          <w:iCs/>
        </w:rPr>
        <w:t>Monash University Law Review, 47</w:t>
      </w:r>
      <w:r w:rsidRPr="005B2A50">
        <w:rPr>
          <w:rFonts w:ascii="Times New Roman" w:hAnsi="Times New Roman" w:cs="Times New Roman"/>
        </w:rPr>
        <w:t xml:space="preserve">(1), 159–196. </w:t>
      </w:r>
      <w:hyperlink r:id="rId29" w:tgtFrame="_blank" w:history="1">
        <w:r w:rsidRPr="005B2A50">
          <w:rPr>
            <w:rStyle w:val="Hyperlink"/>
            <w:rFonts w:ascii="Times New Roman" w:hAnsi="Times New Roman" w:cs="Times New Roman"/>
          </w:rPr>
          <w:t>https://www5.austlii.edu.au/au/journals/MonashULawRw/2021/14.pdf</w:t>
        </w:r>
      </w:hyperlink>
    </w:p>
    <w:p w14:paraId="099B6554" w14:textId="77777777" w:rsidR="00400E43" w:rsidRPr="005B2A50" w:rsidRDefault="00400E43">
      <w:pPr>
        <w:rPr>
          <w:rFonts w:ascii="Times New Roman" w:hAnsi="Times New Roman" w:cs="Times New Roman"/>
        </w:rPr>
      </w:pPr>
    </w:p>
    <w:sectPr w:rsidR="00400E43" w:rsidRPr="005B2A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C1E88"/>
    <w:multiLevelType w:val="multilevel"/>
    <w:tmpl w:val="076E4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606E6"/>
    <w:multiLevelType w:val="multilevel"/>
    <w:tmpl w:val="94669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07713B"/>
    <w:multiLevelType w:val="multilevel"/>
    <w:tmpl w:val="6A105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7F1ADF"/>
    <w:multiLevelType w:val="multilevel"/>
    <w:tmpl w:val="09DCB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D5309B"/>
    <w:multiLevelType w:val="multilevel"/>
    <w:tmpl w:val="DBD86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BC5C42"/>
    <w:multiLevelType w:val="multilevel"/>
    <w:tmpl w:val="10782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294211">
    <w:abstractNumId w:val="2"/>
  </w:num>
  <w:num w:numId="2" w16cid:durableId="838229942">
    <w:abstractNumId w:val="0"/>
  </w:num>
  <w:num w:numId="3" w16cid:durableId="521211358">
    <w:abstractNumId w:val="5"/>
  </w:num>
  <w:num w:numId="4" w16cid:durableId="1550797118">
    <w:abstractNumId w:val="3"/>
  </w:num>
  <w:num w:numId="5" w16cid:durableId="1981306438">
    <w:abstractNumId w:val="4"/>
  </w:num>
  <w:num w:numId="6" w16cid:durableId="1016559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D87"/>
    <w:rsid w:val="0038704C"/>
    <w:rsid w:val="00400E43"/>
    <w:rsid w:val="005B0951"/>
    <w:rsid w:val="005B2A50"/>
    <w:rsid w:val="008D4AE2"/>
    <w:rsid w:val="00991D87"/>
    <w:rsid w:val="00A21158"/>
    <w:rsid w:val="00A233CF"/>
    <w:rsid w:val="00A72861"/>
    <w:rsid w:val="00E225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53451"/>
  <w15:chartTrackingRefBased/>
  <w15:docId w15:val="{1C610517-1FA8-4750-9845-B92C0E958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586"/>
  </w:style>
  <w:style w:type="paragraph" w:styleId="Heading1">
    <w:name w:val="heading 1"/>
    <w:basedOn w:val="Normal"/>
    <w:next w:val="Normal"/>
    <w:link w:val="Heading1Char"/>
    <w:uiPriority w:val="9"/>
    <w:qFormat/>
    <w:rsid w:val="00E2258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2258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2258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E2258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E2258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2258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E2258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2258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E2258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58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2258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2258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E2258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E2258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E2258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E2258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2258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E22586"/>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E22586"/>
    <w:pPr>
      <w:spacing w:line="240" w:lineRule="auto"/>
    </w:pPr>
    <w:rPr>
      <w:b/>
      <w:bCs/>
      <w:color w:val="4F81BD" w:themeColor="accent1"/>
      <w:sz w:val="18"/>
      <w:szCs w:val="18"/>
    </w:rPr>
  </w:style>
  <w:style w:type="paragraph" w:styleId="Title">
    <w:name w:val="Title"/>
    <w:basedOn w:val="Normal"/>
    <w:next w:val="Normal"/>
    <w:link w:val="TitleChar"/>
    <w:uiPriority w:val="10"/>
    <w:qFormat/>
    <w:rsid w:val="00E2258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2258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E2258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2258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E22586"/>
    <w:rPr>
      <w:b/>
      <w:bCs/>
    </w:rPr>
  </w:style>
  <w:style w:type="character" w:styleId="Emphasis">
    <w:name w:val="Emphasis"/>
    <w:basedOn w:val="DefaultParagraphFont"/>
    <w:uiPriority w:val="20"/>
    <w:qFormat/>
    <w:rsid w:val="00E22586"/>
    <w:rPr>
      <w:i/>
      <w:iCs/>
    </w:rPr>
  </w:style>
  <w:style w:type="paragraph" w:styleId="NoSpacing">
    <w:name w:val="No Spacing"/>
    <w:uiPriority w:val="1"/>
    <w:qFormat/>
    <w:rsid w:val="00E22586"/>
    <w:pPr>
      <w:spacing w:after="0" w:line="240" w:lineRule="auto"/>
    </w:pPr>
  </w:style>
  <w:style w:type="paragraph" w:styleId="ListParagraph">
    <w:name w:val="List Paragraph"/>
    <w:basedOn w:val="Normal"/>
    <w:uiPriority w:val="34"/>
    <w:qFormat/>
    <w:rsid w:val="00E22586"/>
    <w:pPr>
      <w:ind w:left="720"/>
      <w:contextualSpacing/>
    </w:pPr>
  </w:style>
  <w:style w:type="paragraph" w:styleId="Quote">
    <w:name w:val="Quote"/>
    <w:basedOn w:val="Normal"/>
    <w:next w:val="Normal"/>
    <w:link w:val="QuoteChar"/>
    <w:uiPriority w:val="29"/>
    <w:qFormat/>
    <w:rsid w:val="00E22586"/>
    <w:rPr>
      <w:i/>
      <w:iCs/>
      <w:color w:val="000000" w:themeColor="text1"/>
    </w:rPr>
  </w:style>
  <w:style w:type="character" w:customStyle="1" w:styleId="QuoteChar">
    <w:name w:val="Quote Char"/>
    <w:basedOn w:val="DefaultParagraphFont"/>
    <w:link w:val="Quote"/>
    <w:uiPriority w:val="29"/>
    <w:rsid w:val="00E22586"/>
    <w:rPr>
      <w:i/>
      <w:iCs/>
      <w:color w:val="000000" w:themeColor="text1"/>
    </w:rPr>
  </w:style>
  <w:style w:type="paragraph" w:styleId="IntenseQuote">
    <w:name w:val="Intense Quote"/>
    <w:basedOn w:val="Normal"/>
    <w:next w:val="Normal"/>
    <w:link w:val="IntenseQuoteChar"/>
    <w:uiPriority w:val="30"/>
    <w:qFormat/>
    <w:rsid w:val="00E2258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E22586"/>
    <w:rPr>
      <w:b/>
      <w:bCs/>
      <w:i/>
      <w:iCs/>
      <w:color w:val="4F81BD" w:themeColor="accent1"/>
    </w:rPr>
  </w:style>
  <w:style w:type="character" w:styleId="SubtleEmphasis">
    <w:name w:val="Subtle Emphasis"/>
    <w:basedOn w:val="DefaultParagraphFont"/>
    <w:uiPriority w:val="19"/>
    <w:qFormat/>
    <w:rsid w:val="00E22586"/>
    <w:rPr>
      <w:i/>
      <w:iCs/>
      <w:color w:val="808080" w:themeColor="text1" w:themeTint="7F"/>
    </w:rPr>
  </w:style>
  <w:style w:type="character" w:styleId="IntenseEmphasis">
    <w:name w:val="Intense Emphasis"/>
    <w:basedOn w:val="DefaultParagraphFont"/>
    <w:uiPriority w:val="21"/>
    <w:qFormat/>
    <w:rsid w:val="00E22586"/>
    <w:rPr>
      <w:b/>
      <w:bCs/>
      <w:i/>
      <w:iCs/>
      <w:color w:val="4F81BD" w:themeColor="accent1"/>
    </w:rPr>
  </w:style>
  <w:style w:type="character" w:styleId="SubtleReference">
    <w:name w:val="Subtle Reference"/>
    <w:basedOn w:val="DefaultParagraphFont"/>
    <w:uiPriority w:val="31"/>
    <w:qFormat/>
    <w:rsid w:val="00E22586"/>
    <w:rPr>
      <w:smallCaps/>
      <w:color w:val="C0504D" w:themeColor="accent2"/>
      <w:u w:val="single"/>
    </w:rPr>
  </w:style>
  <w:style w:type="character" w:styleId="IntenseReference">
    <w:name w:val="Intense Reference"/>
    <w:basedOn w:val="DefaultParagraphFont"/>
    <w:uiPriority w:val="32"/>
    <w:qFormat/>
    <w:rsid w:val="00E22586"/>
    <w:rPr>
      <w:b/>
      <w:bCs/>
      <w:smallCaps/>
      <w:color w:val="C0504D" w:themeColor="accent2"/>
      <w:spacing w:val="5"/>
      <w:u w:val="single"/>
    </w:rPr>
  </w:style>
  <w:style w:type="character" w:styleId="BookTitle">
    <w:name w:val="Book Title"/>
    <w:basedOn w:val="DefaultParagraphFont"/>
    <w:uiPriority w:val="33"/>
    <w:qFormat/>
    <w:rsid w:val="00E22586"/>
    <w:rPr>
      <w:b/>
      <w:bCs/>
      <w:smallCaps/>
      <w:spacing w:val="5"/>
    </w:rPr>
  </w:style>
  <w:style w:type="paragraph" w:styleId="TOCHeading">
    <w:name w:val="TOC Heading"/>
    <w:basedOn w:val="Heading1"/>
    <w:next w:val="Normal"/>
    <w:uiPriority w:val="39"/>
    <w:semiHidden/>
    <w:unhideWhenUsed/>
    <w:qFormat/>
    <w:rsid w:val="00E22586"/>
    <w:pPr>
      <w:outlineLvl w:val="9"/>
    </w:pPr>
  </w:style>
  <w:style w:type="character" w:styleId="Hyperlink">
    <w:name w:val="Hyperlink"/>
    <w:basedOn w:val="DefaultParagraphFont"/>
    <w:uiPriority w:val="99"/>
    <w:unhideWhenUsed/>
    <w:rsid w:val="00991D87"/>
    <w:rPr>
      <w:color w:val="0000FF" w:themeColor="hyperlink"/>
      <w:u w:val="single"/>
    </w:rPr>
  </w:style>
  <w:style w:type="character" w:styleId="UnresolvedMention">
    <w:name w:val="Unresolved Mention"/>
    <w:basedOn w:val="DefaultParagraphFont"/>
    <w:uiPriority w:val="99"/>
    <w:semiHidden/>
    <w:unhideWhenUsed/>
    <w:rsid w:val="00991D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lobaltobaccoindex.org/gti/2025" TargetMode="External"/><Relationship Id="rId13" Type="http://schemas.openxmlformats.org/officeDocument/2006/relationships/hyperlink" Target="https://seatca.org/dmdocuments/SEATCA%20Tobacco%20Atlas%206th%20Edition.pdf" TargetMode="External"/><Relationship Id="rId18" Type="http://schemas.openxmlformats.org/officeDocument/2006/relationships/hyperlink" Target="https://fctc.who.int/resources/publications/m/item/guidelines-for-implementation-article-13" TargetMode="External"/><Relationship Id="rId26" Type="http://schemas.openxmlformats.org/officeDocument/2006/relationships/hyperlink" Target="https://www.who.int/publications/i/item/9789240077164" TargetMode="External"/><Relationship Id="rId3" Type="http://schemas.openxmlformats.org/officeDocument/2006/relationships/settings" Target="settings.xml"/><Relationship Id="rId21" Type="http://schemas.openxmlformats.org/officeDocument/2006/relationships/hyperlink" Target="https://fctc.who.int/publications/i/item/9789240106183" TargetMode="External"/><Relationship Id="rId7" Type="http://schemas.openxmlformats.org/officeDocument/2006/relationships/hyperlink" Target="https://doi.org/10.1016/S0140-6736(25)00336-8" TargetMode="External"/><Relationship Id="rId12" Type="http://schemas.openxmlformats.org/officeDocument/2006/relationships/hyperlink" Target="https://doi.org/10.1038/s41591-024-02806-0" TargetMode="External"/><Relationship Id="rId17" Type="http://schemas.openxmlformats.org/officeDocument/2006/relationships/hyperlink" Target="https://fctc.who.int/protocol/overview" TargetMode="External"/><Relationship Id="rId25" Type="http://schemas.openxmlformats.org/officeDocument/2006/relationships/hyperlink" Target="https://www.who.int/publications/i/item/9789240032095" TargetMode="External"/><Relationship Id="rId2" Type="http://schemas.openxmlformats.org/officeDocument/2006/relationships/styles" Target="styles.xml"/><Relationship Id="rId16" Type="http://schemas.openxmlformats.org/officeDocument/2006/relationships/hyperlink" Target="https://fctc.who.int/resources/publications/m/item/packaging-and-labelling-of-tobacco-products" TargetMode="External"/><Relationship Id="rId20" Type="http://schemas.openxmlformats.org/officeDocument/2006/relationships/hyperlink" Target="https://fctc.who.int/newsroom/news/item/25-06-2025-20-years-of-who-fctc-celebrated-at-major-world-conference-on-tobacco-control" TargetMode="External"/><Relationship Id="rId29" Type="http://schemas.openxmlformats.org/officeDocument/2006/relationships/hyperlink" Target="https://www5.austlii.edu.au/au/journals/MonashULawRw/2021/14.pdf" TargetMode="External"/><Relationship Id="rId1" Type="http://schemas.openxmlformats.org/officeDocument/2006/relationships/numbering" Target="numbering.xml"/><Relationship Id="rId6" Type="http://schemas.openxmlformats.org/officeDocument/2006/relationships/hyperlink" Target="https://ec.europa.eu/newsroom/know4pol/items/915101/en" TargetMode="External"/><Relationship Id="rId11" Type="http://schemas.openxmlformats.org/officeDocument/2006/relationships/hyperlink" Target="https://nzlii.org/nz/journals/NZReSoln/2016/38.pdf" TargetMode="External"/><Relationship Id="rId24" Type="http://schemas.openxmlformats.org/officeDocument/2006/relationships/hyperlink" Target="https://www.who.int/publications/i/item/9789241596631" TargetMode="External"/><Relationship Id="rId5" Type="http://schemas.openxmlformats.org/officeDocument/2006/relationships/hyperlink" Target="https://doi.org/10.18332/tid/206176" TargetMode="External"/><Relationship Id="rId15" Type="http://schemas.openxmlformats.org/officeDocument/2006/relationships/hyperlink" Target="https://portal-uat.who.int/fctcapps/fctcapps/fctc?page=748" TargetMode="External"/><Relationship Id="rId23" Type="http://schemas.openxmlformats.org/officeDocument/2006/relationships/hyperlink" Target="https://apps.who.int/iris/handle/10665/42811" TargetMode="External"/><Relationship Id="rId28" Type="http://schemas.openxmlformats.org/officeDocument/2006/relationships/hyperlink" Target="https://www.wto.org/english/tratop_e/dispu_e/cases_e/ds435_e.htm" TargetMode="External"/><Relationship Id="rId10" Type="http://schemas.openxmlformats.org/officeDocument/2006/relationships/hyperlink" Target="https://ncdalliance.org/stories/news-blogs/2025/ncda-statement-to-the-who-report-on-the-global-tobacco-epidemic-2025" TargetMode="External"/><Relationship Id="rId19" Type="http://schemas.openxmlformats.org/officeDocument/2006/relationships/hyperlink" Target="https://fctc.who.int/newsroom/news/item/22-11-2025-global-tobacco-control-conference-concludes-with-decisions-on-environment-liability"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ibanet.org/article/DE2A18C0-8130-454F-A539-0F829D930C6D" TargetMode="External"/><Relationship Id="rId14" Type="http://schemas.openxmlformats.org/officeDocument/2006/relationships/hyperlink" Target="https://fctc.who.int/docs/librariesprovider12/technical-documents/who-fctc-article-6-guidelines.pdf" TargetMode="External"/><Relationship Id="rId22" Type="http://schemas.openxmlformats.org/officeDocument/2006/relationships/hyperlink" Target="https://www.uicc.org/news-and-updates/news/25-m12-uicc-two-who-tobacco-control-meetings-marking-20-years-global-tobacco-control" TargetMode="External"/><Relationship Id="rId27" Type="http://schemas.openxmlformats.org/officeDocument/2006/relationships/hyperlink" Target="https://www.who.int/news-room/speeches/item/who-director-general-s-opening-remarks-at-the-strategic-dialogue-healthy-planet-healthy-future-uniting-for-tobacco-free-generations-17-november-2025"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10</Pages>
  <Words>5074</Words>
  <Characters>28928</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Luu</dc:creator>
  <cp:keywords/>
  <dc:description/>
  <cp:lastModifiedBy>An Luu</cp:lastModifiedBy>
  <cp:revision>1</cp:revision>
  <dcterms:created xsi:type="dcterms:W3CDTF">2026-10-16T05:32:00Z</dcterms:created>
  <dcterms:modified xsi:type="dcterms:W3CDTF">2026-10-16T06:07:00Z</dcterms:modified>
</cp:coreProperties>
</file>