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2BE4C" w14:textId="77777777" w:rsidR="00372B21" w:rsidRDefault="00372B21" w:rsidP="00372B21">
      <w:r>
        <w:t>Critical Briefs</w:t>
      </w:r>
    </w:p>
    <w:p w14:paraId="5FAB5E0C" w14:textId="77777777" w:rsidR="00372B21" w:rsidRDefault="00372B21" w:rsidP="00372B21">
      <w:r>
        <w:t>My Emerging Dissertation Question</w:t>
      </w:r>
    </w:p>
    <w:p w14:paraId="4C43D68A" w14:textId="77777777" w:rsidR="00372B21" w:rsidRDefault="00372B21" w:rsidP="00372B21">
      <w:r>
        <w:t>My dissertation asks whether the 2016 restructuring of Saudi Arabia’s Public Investment Fund (PIF) increased economic growth, measured as GDP per capita. I created an initial version of the model in a BUS 757 term paper; it is preliminary, not the final dissertation design. The model applied to the Synthetic Control Method to World Bank data for 2000–2023, with a donor pool of Kuwait, Qatar, Russia and Norway. The four predictors were GDP growth, inflation, government consumption and trade (% of GDP). The preliminary model estimated that GDP per capita rose by about $6,191 a year after the restructuring (26.13%), with the synthetic Saudi Arabia built mostly from Russia (83.8%) with Norway (16.2%) making up the rest. The Connections sections below use that model as their reference point.</w:t>
      </w:r>
    </w:p>
    <w:p w14:paraId="618A405A" w14:textId="77777777" w:rsidR="00372B21" w:rsidRDefault="00372B21" w:rsidP="00372B21"/>
    <w:p w14:paraId="0FD39CD5" w14:textId="77777777" w:rsidR="00372B21" w:rsidRDefault="00372B21" w:rsidP="00372B21">
      <w:r>
        <w:t>Becker, T. E. (2005). Potential problems in the statistical control of variables in organizational research.</w:t>
      </w:r>
    </w:p>
    <w:p w14:paraId="44344C94" w14:textId="77777777" w:rsidR="00372B21" w:rsidRDefault="00372B21" w:rsidP="00372B21">
      <w:r>
        <w:t>Contribution</w:t>
      </w:r>
    </w:p>
    <w:p w14:paraId="256AA242" w14:textId="77777777" w:rsidR="00372B21" w:rsidRDefault="00372B21" w:rsidP="00372B21">
      <w:r>
        <w:t>Where evidence on control practice was “sparse” beyond anecdote (p. 276), Becker (2005) provides systematic evidence on how controls are justified and reported in top journals and translates it into twelve recommendations.</w:t>
      </w:r>
    </w:p>
    <w:p w14:paraId="06DF8550" w14:textId="77777777" w:rsidR="00372B21" w:rsidRDefault="00372B21" w:rsidP="00372B21">
      <w:r>
        <w:t>Design</w:t>
      </w:r>
    </w:p>
    <w:p w14:paraId="4809FE8A" w14:textId="77777777" w:rsidR="00372B21" w:rsidRDefault="00372B21" w:rsidP="00372B21">
      <w:r>
        <w:t>Becker's design is a stratified, qualitative content analysis. He coded 60 articles from four journals in the years 2000-2002 on ten dimensions, and agreement on 20 articles was above .70. His ANOVAs tested journal and study type as factors, not controls. He used no controls, only excluding one 504-variable outlier for extreme skew (p. 283).</w:t>
      </w:r>
    </w:p>
    <w:p w14:paraId="4276E1FA" w14:textId="77777777" w:rsidR="00372B21" w:rsidRDefault="00372B21" w:rsidP="00372B21">
      <w:r>
        <w:t>Element</w:t>
      </w:r>
      <w:r>
        <w:tab/>
        <w:t>Detail</w:t>
      </w:r>
      <w:r>
        <w:tab/>
        <w:t>Justified or Simply included?</w:t>
      </w:r>
    </w:p>
    <w:p w14:paraId="65C81899" w14:textId="77777777" w:rsidR="00372B21" w:rsidRDefault="00372B21" w:rsidP="00372B21">
      <w:r>
        <w:t>Sample (sampling design, not a control)</w:t>
      </w:r>
      <w:r>
        <w:tab/>
        <w:t>60 articles from AMJ, JAP, ASQ and Personnel Psychology, 2000–2002; stratified random selection, 5 per journal per year</w:t>
      </w:r>
      <w:r>
        <w:tab/>
        <w:t>Recency justified; size called “somewhat arbitrary”</w:t>
      </w:r>
    </w:p>
    <w:p w14:paraId="48648B2F" w14:textId="77777777" w:rsidR="00372B21" w:rsidRDefault="00372B21" w:rsidP="00372B21">
      <w:r>
        <w:t>Measures</w:t>
      </w:r>
      <w:r>
        <w:tab/>
        <w:t>10 coding dimensions (inclusion, measurement, method of control, differential inclusion, reporting); counts of conceptual and measured controls</w:t>
      </w:r>
      <w:r>
        <w:tab/>
        <w:t>Dimensions derived from open coding of pre-2000 articles</w:t>
      </w:r>
    </w:p>
    <w:p w14:paraId="543C6F9A" w14:textId="77777777" w:rsidR="00372B21" w:rsidRDefault="00372B21" w:rsidP="00372B21">
      <w:r>
        <w:t>Method</w:t>
      </w:r>
      <w:r>
        <w:tab/>
        <w:t>Open and axial coding; Tinsley–Weiss agreement index (n = 20); ANOVA and chi-square; ANOVA factors tested: journal and study type</w:t>
      </w:r>
      <w:r>
        <w:tab/>
        <w:t>Agreement index justified over reliability; factors justified by the research question</w:t>
      </w:r>
    </w:p>
    <w:p w14:paraId="2D924582" w14:textId="77777777" w:rsidR="00372B21" w:rsidRDefault="00372B21" w:rsidP="00372B21">
      <w:r>
        <w:t>Control variables</w:t>
      </w:r>
      <w:r>
        <w:tab/>
        <w:t>None used in the ANOVAs</w:t>
      </w:r>
      <w:r>
        <w:tab/>
        <w:t>Not applicable</w:t>
      </w:r>
    </w:p>
    <w:p w14:paraId="5F81488B" w14:textId="77777777" w:rsidR="00372B21" w:rsidRDefault="00372B21" w:rsidP="00372B21">
      <w:r>
        <w:t>Data screening: exclusion of the 504-variable outlier</w:t>
      </w:r>
      <w:r>
        <w:tab/>
        <w:t>Data screening before ANOVA</w:t>
      </w:r>
      <w:r>
        <w:tab/>
        <w:t>Justified (extreme skew)</w:t>
      </w:r>
    </w:p>
    <w:p w14:paraId="7DC8DECC" w14:textId="77777777" w:rsidR="00372B21" w:rsidRDefault="00372B21" w:rsidP="00372B21"/>
    <w:p w14:paraId="1E18444D" w14:textId="77777777" w:rsidR="00372B21" w:rsidRDefault="00372B21" w:rsidP="00372B21">
      <w:r>
        <w:lastRenderedPageBreak/>
        <w:t>Limitations</w:t>
      </w:r>
    </w:p>
    <w:p w14:paraId="2401121F" w14:textId="77777777" w:rsidR="00372B21" w:rsidRDefault="00372B21" w:rsidP="00372B21">
      <w:r>
        <w:t>Low statistical power is acknowledged; with 15 articles per journal, differences may be hidden (p. 287). A more serious, unacknowledged limitation is coding bias. He did “the bulk of the coding” (p. 278) and was Coder 1 in each reliability pair. Since the dimensions reflected his expectation of problems, confirmation bias may inflate problem rates. Independent blind coding would make the figures more credible, and probably lower.</w:t>
      </w:r>
    </w:p>
    <w:p w14:paraId="5820E210" w14:textId="77777777" w:rsidR="00372B21" w:rsidRDefault="00372B21" w:rsidP="00372B21">
      <w:r>
        <w:t>Result (Table 2)</w:t>
      </w:r>
    </w:p>
    <w:p w14:paraId="008D5F80" w14:textId="77777777" w:rsidR="00372B21" w:rsidRDefault="00372B21" w:rsidP="00372B21">
      <w:r>
        <w:t>Table 2 shows that unjustified controls were the rule. 51.6% of articles gave no explanation for at least one control and 68.3% gave no supporting evidence (Becker, 2005). The 51.6% matters most, as an unexplained control could remove substantive variance. Each control should therefore be questioned before any effect is trusted.</w:t>
      </w:r>
    </w:p>
    <w:p w14:paraId="4A956341" w14:textId="77777777" w:rsidR="00372B21" w:rsidRDefault="00372B21" w:rsidP="00372B21">
      <w:r>
        <w:t>Connections</w:t>
      </w:r>
    </w:p>
    <w:p w14:paraId="600D7F77" w14:textId="77777777" w:rsidR="00372B21" w:rsidRDefault="00372B21" w:rsidP="00372B21">
      <w:r>
        <w:t xml:space="preserve">Becker's critique of unjustified controls exposes </w:t>
      </w:r>
      <w:proofErr w:type="spellStart"/>
      <w:r>
        <w:t>Affuso</w:t>
      </w:r>
      <w:proofErr w:type="spellEnd"/>
      <w:r>
        <w:t xml:space="preserve"> et al. (2022) because the energy and land predictors do not have a stated rationale. My preliminary model makes the same mistake, choosing four predictors only as “generally accepted” indicators. Following Recommendation 11, I will justify each predictor and report estimates with and without the poorly balanced inflation and trade variables.</w:t>
      </w:r>
    </w:p>
    <w:p w14:paraId="00DFEF25" w14:textId="77777777" w:rsidR="00372B21" w:rsidRDefault="00372B21" w:rsidP="00372B21">
      <w:proofErr w:type="spellStart"/>
      <w:r>
        <w:t>Affuso</w:t>
      </w:r>
      <w:proofErr w:type="spellEnd"/>
      <w:r>
        <w:t xml:space="preserve">, E., </w:t>
      </w:r>
      <w:proofErr w:type="spellStart"/>
      <w:r>
        <w:t>Istiak</w:t>
      </w:r>
      <w:proofErr w:type="spellEnd"/>
      <w:r>
        <w:t xml:space="preserve">, K. M., &amp; </w:t>
      </w:r>
      <w:proofErr w:type="spellStart"/>
      <w:r>
        <w:t>Sharland</w:t>
      </w:r>
      <w:proofErr w:type="spellEnd"/>
      <w:r>
        <w:t>, A. (2022). Sovereign wealth funds and economic growth.</w:t>
      </w:r>
    </w:p>
    <w:p w14:paraId="29E61C09" w14:textId="77777777" w:rsidR="00372B21" w:rsidRDefault="00372B21" w:rsidP="00372B21">
      <w:r>
        <w:t>Contribution</w:t>
      </w:r>
    </w:p>
    <w:p w14:paraId="7BCE4495" w14:textId="77777777" w:rsidR="00372B21" w:rsidRDefault="00372B21" w:rsidP="00372B21">
      <w:r>
        <w:t xml:space="preserve">Previous studies on sovereign wealth funds (SWFs) were mostly descriptive, and the effects on national growth were not specified. </w:t>
      </w:r>
      <w:proofErr w:type="spellStart"/>
      <w:r>
        <w:t>Affuso</w:t>
      </w:r>
      <w:proofErr w:type="spellEnd"/>
      <w:r>
        <w:t xml:space="preserve"> et al. (2022) offer the first single-country counterfactual estimate of $5,104.57 in annual real per capita GDP attributable to Trinidad and Tobago's fund.</w:t>
      </w:r>
    </w:p>
    <w:p w14:paraId="332A0021" w14:textId="77777777" w:rsidR="00372B21" w:rsidRDefault="00372B21" w:rsidP="00372B21">
      <w:r>
        <w:t>Design</w:t>
      </w:r>
    </w:p>
    <w:p w14:paraId="6D53B4BF" w14:textId="77777777" w:rsidR="00372B21" w:rsidRDefault="00372B21" w:rsidP="00372B21">
      <w:r>
        <w:t>The authors apply synthetic control to a Caribbean energy exporter using 14 CARICOM members from 1960 to 2017, the outcome being real per capita GDP (</w:t>
      </w:r>
      <w:proofErr w:type="spellStart"/>
      <w:r>
        <w:t>Affuso</w:t>
      </w:r>
      <w:proofErr w:type="spellEnd"/>
      <w:r>
        <w:t xml:space="preserve"> et al., 2022). Predictors are capital formation, labor force participation, energy use, agricultural land and lagged GDP. Capital and </w:t>
      </w:r>
      <w:proofErr w:type="spellStart"/>
      <w:r>
        <w:t>labour</w:t>
      </w:r>
      <w:proofErr w:type="spellEnd"/>
      <w:r>
        <w:t xml:space="preserve"> are implied by Harrod-</w:t>
      </w:r>
      <w:proofErr w:type="spellStart"/>
      <w:r>
        <w:t>Domar</w:t>
      </w:r>
      <w:proofErr w:type="spellEnd"/>
      <w:r>
        <w:t xml:space="preserve">, while energy and land are unjustified. The other half of the covariate set thus enters by inclusion and not by argument. </w:t>
      </w:r>
    </w:p>
    <w:p w14:paraId="3F49FD85" w14:textId="77777777" w:rsidR="00372B21" w:rsidRDefault="00372B21" w:rsidP="00372B21">
      <w:r>
        <w:t>Element</w:t>
      </w:r>
      <w:r>
        <w:tab/>
        <w:t>Detail</w:t>
      </w:r>
      <w:r>
        <w:tab/>
        <w:t>Justified or simply included</w:t>
      </w:r>
    </w:p>
    <w:p w14:paraId="148FB428" w14:textId="77777777" w:rsidR="00372B21" w:rsidRDefault="00372B21" w:rsidP="00372B21">
      <w:r>
        <w:t>Sample</w:t>
      </w:r>
      <w:r>
        <w:tab/>
        <w:t>Trinidad and Tobago plus 13 CARICOM donors, 1960–2017, 812 observations (World Bank)</w:t>
      </w:r>
      <w:r>
        <w:tab/>
        <w:t>Justified (shared CARICOM structure)</w:t>
      </w:r>
    </w:p>
    <w:p w14:paraId="67FF1807" w14:textId="77777777" w:rsidR="00372B21" w:rsidRDefault="00372B21" w:rsidP="00372B21">
      <w:r>
        <w:t>Outcome</w:t>
      </w:r>
      <w:r>
        <w:tab/>
        <w:t>Real per capita GDP, constant 2010 US$</w:t>
      </w:r>
      <w:r>
        <w:tab/>
        <w:t>Justified</w:t>
      </w:r>
    </w:p>
    <w:p w14:paraId="4049B8E8" w14:textId="77777777" w:rsidR="00372B21" w:rsidRDefault="00372B21" w:rsidP="00372B21">
      <w:r>
        <w:t>Method</w:t>
      </w:r>
      <w:r>
        <w:tab/>
        <w:t xml:space="preserve">Synthetic control; 1997 start chosen by </w:t>
      </w:r>
      <w:proofErr w:type="spellStart"/>
      <w:r>
        <w:t>DiD</w:t>
      </w:r>
      <w:proofErr w:type="spellEnd"/>
      <w:r>
        <w:t xml:space="preserve"> model fit; placebo MSPE ratios (Table 6) with 999 bootstrap replicates; 1/14 = 7.14% probability (text) – the minimum possible with 14 units; t-test on gaps; missing data imputed by chained equations</w:t>
      </w:r>
      <w:r>
        <w:tab/>
        <w:t>Justified by citation</w:t>
      </w:r>
    </w:p>
    <w:p w14:paraId="6747797D" w14:textId="77777777" w:rsidR="00372B21" w:rsidRDefault="00372B21" w:rsidP="00372B21">
      <w:r>
        <w:t>Control: per capita capital formation</w:t>
      </w:r>
      <w:r>
        <w:tab/>
        <w:t>Predictor</w:t>
      </w:r>
      <w:r>
        <w:tab/>
        <w:t>Justified (Harrod–</w:t>
      </w:r>
      <w:proofErr w:type="spellStart"/>
      <w:r>
        <w:t>Domar</w:t>
      </w:r>
      <w:proofErr w:type="spellEnd"/>
      <w:r>
        <w:t>)</w:t>
      </w:r>
    </w:p>
    <w:p w14:paraId="3C0CAF1D" w14:textId="77777777" w:rsidR="00372B21" w:rsidRDefault="00372B21" w:rsidP="00372B21">
      <w:r>
        <w:lastRenderedPageBreak/>
        <w:t>Control: labor force participation</w:t>
      </w:r>
      <w:r>
        <w:tab/>
        <w:t>Predictor</w:t>
      </w:r>
      <w:r>
        <w:tab/>
        <w:t>Justified (Harrod–</w:t>
      </w:r>
      <w:proofErr w:type="spellStart"/>
      <w:r>
        <w:t>Domar</w:t>
      </w:r>
      <w:proofErr w:type="spellEnd"/>
      <w:r>
        <w:t>)</w:t>
      </w:r>
    </w:p>
    <w:p w14:paraId="4DA6CB4B" w14:textId="77777777" w:rsidR="00372B21" w:rsidRDefault="00372B21" w:rsidP="00372B21">
      <w:r>
        <w:t>Control: per capita energy use</w:t>
      </w:r>
      <w:r>
        <w:tab/>
        <w:t>Predictor</w:t>
      </w:r>
      <w:r>
        <w:tab/>
        <w:t>Simply included</w:t>
      </w:r>
    </w:p>
    <w:p w14:paraId="12D1DB55" w14:textId="77777777" w:rsidR="00372B21" w:rsidRDefault="00372B21" w:rsidP="00372B21">
      <w:r>
        <w:t>Control: per capita agricultural land</w:t>
      </w:r>
      <w:r>
        <w:tab/>
        <w:t>Predictor</w:t>
      </w:r>
      <w:r>
        <w:tab/>
        <w:t>Simply included</w:t>
      </w:r>
    </w:p>
    <w:p w14:paraId="17D8129D" w14:textId="77777777" w:rsidR="00372B21" w:rsidRDefault="00372B21" w:rsidP="00372B21">
      <w:r>
        <w:t>Control: lagged per capita GDP</w:t>
      </w:r>
      <w:r>
        <w:tab/>
        <w:t>Special predictor</w:t>
      </w:r>
      <w:r>
        <w:tab/>
        <w:t>Justified (standard synthetic control practice)</w:t>
      </w:r>
    </w:p>
    <w:p w14:paraId="574ED67E" w14:textId="77777777" w:rsidR="00372B21" w:rsidRDefault="00372B21" w:rsidP="00372B21"/>
    <w:p w14:paraId="0687883A" w14:textId="77777777" w:rsidR="00372B21" w:rsidRDefault="00372B21" w:rsidP="00372B21">
      <w:r>
        <w:t>Limitations</w:t>
      </w:r>
    </w:p>
    <w:p w14:paraId="1881D47E" w14:textId="77777777" w:rsidR="00372B21" w:rsidRDefault="00372B21" w:rsidP="00372B21">
      <w:r>
        <w:t>An imperfect covariate match is conceded, yet the commodity cycle is never treated as an estimation confounder. Trinidad and Tobago's energy use (3,712.80 kg/capita) falls outside the donor convex hull. The prospect of booming energy revenue is only seen in terms of a fund mechanism (</w:t>
      </w:r>
      <w:proofErr w:type="spellStart"/>
      <w:r>
        <w:t>Affuso</w:t>
      </w:r>
      <w:proofErr w:type="spellEnd"/>
      <w:r>
        <w:t xml:space="preserve"> et al., 2022). The gap coincides with the hydrocarbon boom of the 2000s and this could capture windfalls instead of fund effects. Energy-exporting donors would separate the two.</w:t>
      </w:r>
    </w:p>
    <w:p w14:paraId="47C19AD3" w14:textId="77777777" w:rsidR="00372B21" w:rsidRDefault="00372B21" w:rsidP="00372B21">
      <w:r>
        <w:t>Result (Table 6)</w:t>
      </w:r>
    </w:p>
    <w:p w14:paraId="695D5B34" w14:textId="77777777" w:rsidR="00372B21" w:rsidRDefault="00372B21" w:rsidP="00372B21">
      <w:r>
        <w:t>In Table 6, Trinidad and Tobago has the highest post-to-pre MSPE ratio (35.656) and a permutation probability of 7.14%. Grenada follows closely at 30.444. Yet 7.14% is 1/14, the smallest value possible with 14 units, so this test could never reach 5%, whatever the true effect. Their claimed “empirical evidence” of impact (p. 209) should thus be qualified.</w:t>
      </w:r>
    </w:p>
    <w:p w14:paraId="3D80CFD4" w14:textId="77777777" w:rsidR="00372B21" w:rsidRDefault="00372B21" w:rsidP="00372B21">
      <w:r>
        <w:t>Connections</w:t>
      </w:r>
    </w:p>
    <w:p w14:paraId="11B1CE1D" w14:textId="77777777" w:rsidR="00372B21" w:rsidRDefault="00372B21" w:rsidP="00372B21">
      <w:proofErr w:type="spellStart"/>
      <w:r>
        <w:t>Affuso</w:t>
      </w:r>
      <w:proofErr w:type="spellEnd"/>
      <w:r>
        <w:t xml:space="preserve"> et al. (2022) use the Abadie et al. estimator without requiring donors to escape comparable shocks. After testing alternative start years, they moved the intervention from 2000 (established) to 1997 (announced). Applying the same logic to my case, Saudi Arabia’s 2016 Public Investment Fund restructuring date may be blurred by that year’s Vision 2030 announcement and the 2014–2016 oil collapse.</w:t>
      </w:r>
    </w:p>
    <w:p w14:paraId="6D3CD6B2" w14:textId="77777777" w:rsidR="00372B21" w:rsidRDefault="00372B21" w:rsidP="00372B21">
      <w:r>
        <w:t xml:space="preserve">Abadie, A., Diamond, A., &amp; </w:t>
      </w:r>
      <w:proofErr w:type="spellStart"/>
      <w:r>
        <w:t>Hainmueller</w:t>
      </w:r>
      <w:proofErr w:type="spellEnd"/>
      <w:r>
        <w:t>, J. (2010). Synthetic control methods for comparative case studies.</w:t>
      </w:r>
    </w:p>
    <w:p w14:paraId="5205524A" w14:textId="77777777" w:rsidR="00372B21" w:rsidRDefault="00372B21" w:rsidP="00372B21">
      <w:r>
        <w:t>Contribution</w:t>
      </w:r>
    </w:p>
    <w:p w14:paraId="3132C2D1" w14:textId="77777777" w:rsidR="00372B21" w:rsidRDefault="00372B21" w:rsidP="00372B21">
      <w:r>
        <w:t>Comparative case studies relied on subjectively chosen comparison units and on standard errors ignoring control-group uncertainty. Abadie et al. (2010) codify a data-driven synthetic control estimator and propose permutation-based placebo inference for a single treated unit.</w:t>
      </w:r>
    </w:p>
    <w:p w14:paraId="03688EEA" w14:textId="77777777" w:rsidR="00372B21" w:rsidRDefault="00372B21" w:rsidP="00372B21">
      <w:r>
        <w:t>Design</w:t>
      </w:r>
    </w:p>
    <w:p w14:paraId="5D3F6951" w14:textId="77777777" w:rsidR="00372B21" w:rsidRDefault="00372B21" w:rsidP="00372B21">
      <w:r>
        <w:t>The Proposition 99 panel covers the 1970-2000 period with 38 donor states, excluding states with major tobacco programs. Predictors include log GDP per capita, the share aged 15-24, retail price, beer consumption, and lagged cigarette sales (Abadie et al., 2010). The factor model justifies lagged sales, whereas the four covariates are listed. Predictor choice is therefore defended empirically rather than conceptually.</w:t>
      </w:r>
    </w:p>
    <w:p w14:paraId="64B83F1C" w14:textId="77777777" w:rsidR="00372B21" w:rsidRDefault="00372B21" w:rsidP="00372B21">
      <w:r>
        <w:t>Element</w:t>
      </w:r>
      <w:r>
        <w:tab/>
        <w:t>Detail</w:t>
      </w:r>
      <w:r>
        <w:tab/>
        <w:t>Justified or Simply Included?</w:t>
      </w:r>
    </w:p>
    <w:p w14:paraId="0B5A0A97" w14:textId="77777777" w:rsidR="00372B21" w:rsidRDefault="00372B21" w:rsidP="00372B21">
      <w:r>
        <w:lastRenderedPageBreak/>
        <w:t>Sample</w:t>
      </w:r>
      <w:r>
        <w:tab/>
        <w:t>California plus 38 donor states, 1970–2000 (19 pre-intervention years)</w:t>
      </w:r>
      <w:r>
        <w:tab/>
        <w:t>Justified (contaminated states excluded)</w:t>
      </w:r>
    </w:p>
    <w:p w14:paraId="1854E82C" w14:textId="77777777" w:rsidR="00372B21" w:rsidRDefault="00372B21" w:rsidP="00372B21">
      <w:r>
        <w:t>Outcome</w:t>
      </w:r>
      <w:r>
        <w:tab/>
        <w:t>Per capita cigarette sales in packs, from tax-revenue data</w:t>
      </w:r>
      <w:r>
        <w:tab/>
        <w:t>Justified (longest available series)</w:t>
      </w:r>
    </w:p>
    <w:p w14:paraId="0C5BA4FF" w14:textId="77777777" w:rsidR="00372B21" w:rsidRDefault="00372B21" w:rsidP="00372B21">
      <w:r>
        <w:t>Method</w:t>
      </w:r>
      <w:r>
        <w:tab/>
        <w:t>Synthetic control with V chosen to minimize pre-period MSPE; in-space placebo tests; post/pre MSPE ratios</w:t>
      </w:r>
      <w:r>
        <w:tab/>
        <w:t>Justified (factor model, Appendix B)</w:t>
      </w:r>
    </w:p>
    <w:p w14:paraId="32D58947" w14:textId="77777777" w:rsidR="00372B21" w:rsidRDefault="00372B21" w:rsidP="00372B21">
      <w:r>
        <w:t>Control: log GDP per capita</w:t>
      </w:r>
      <w:r>
        <w:tab/>
        <w:t>Predictor (near-zero V weight)</w:t>
      </w:r>
      <w:r>
        <w:tab/>
        <w:t>Simply included</w:t>
      </w:r>
    </w:p>
    <w:p w14:paraId="45003CF0" w14:textId="77777777" w:rsidR="00372B21" w:rsidRDefault="00372B21" w:rsidP="00372B21">
      <w:r>
        <w:t>Control: percentage aged 15–24</w:t>
      </w:r>
      <w:r>
        <w:tab/>
        <w:t>Predictor</w:t>
      </w:r>
      <w:r>
        <w:tab/>
        <w:t>Simply included</w:t>
      </w:r>
    </w:p>
    <w:p w14:paraId="352E9C5A" w14:textId="77777777" w:rsidR="00372B21" w:rsidRDefault="00372B21" w:rsidP="00372B21">
      <w:r>
        <w:t>Control: retail cigarette price</w:t>
      </w:r>
      <w:r>
        <w:tab/>
        <w:t>Predictor</w:t>
      </w:r>
      <w:r>
        <w:tab/>
        <w:t>Simply included</w:t>
      </w:r>
    </w:p>
    <w:p w14:paraId="58310861" w14:textId="77777777" w:rsidR="00372B21" w:rsidRDefault="00372B21" w:rsidP="00372B21">
      <w:r>
        <w:t>Control: beer consumption per capita</w:t>
      </w:r>
      <w:r>
        <w:tab/>
        <w:t>Predictor</w:t>
      </w:r>
      <w:r>
        <w:tab/>
        <w:t>Simply included</w:t>
      </w:r>
    </w:p>
    <w:p w14:paraId="6C1B495A" w14:textId="77777777" w:rsidR="00372B21" w:rsidRDefault="00372B21" w:rsidP="00372B21">
      <w:r>
        <w:t>Control: cigarette sales in 1975, 1980 and 1988</w:t>
      </w:r>
      <w:r>
        <w:tab/>
        <w:t>Lagged outcomes</w:t>
      </w:r>
      <w:r>
        <w:tab/>
        <w:t>Justified (factor model)</w:t>
      </w:r>
    </w:p>
    <w:p w14:paraId="6DD9F2E9" w14:textId="77777777" w:rsidR="00372B21" w:rsidRDefault="00372B21" w:rsidP="00372B21"/>
    <w:p w14:paraId="5D48C02A" w14:textId="77777777" w:rsidR="00372B21" w:rsidRDefault="00372B21" w:rsidP="00372B21">
      <w:r>
        <w:t>Limitations</w:t>
      </w:r>
    </w:p>
    <w:p w14:paraId="4B00FE46" w14:textId="77777777" w:rsidR="00372B21" w:rsidRDefault="00372B21" w:rsidP="00372B21">
      <w:r>
        <w:t>The authors acknowledge spillover, but not treatment bundling. Anti-smoking sentiment may contaminate donor states, but would reduce the estimate, as recognized by Abadie et al. (2010). Proposition 99 was a package of a 25-cent tax, earmarked budgets, media campaigns, and clean-air ordinances (Abadie et al., 2010). The estimate includes a composite program effect and policymakers are unable to determine which component caused the decline. Synthetic design does not support component-level attribution.</w:t>
      </w:r>
    </w:p>
    <w:p w14:paraId="0027964E" w14:textId="77777777" w:rsidR="00372B21" w:rsidRDefault="00372B21" w:rsidP="00372B21">
      <w:r>
        <w:t>Result (Figure 8)</w:t>
      </w:r>
    </w:p>
    <w:p w14:paraId="09BDDDC5" w14:textId="77777777" w:rsidR="00372B21" w:rsidRDefault="00372B21" w:rsidP="00372B21">
      <w:r>
        <w:t>In Figure 8, California’s post-Proposition 99 MSPE is about 130 times its pre-period MSPE, a ratio no control state matches, yielding a permutation probability of 0.026 (Abadie et al., 2010). The ratio is more convincing than the point estimate because it avoids arbitrary fit-based exclusion cutoffs. Single-unit inference is therefore based on ranking, not sampling variance.</w:t>
      </w:r>
    </w:p>
    <w:p w14:paraId="53F18138" w14:textId="77777777" w:rsidR="00372B21" w:rsidRDefault="00372B21" w:rsidP="00372B21">
      <w:r>
        <w:t>Connections</w:t>
      </w:r>
    </w:p>
    <w:p w14:paraId="72F72177" w14:textId="77777777" w:rsidR="00372B21" w:rsidRDefault="00372B21" w:rsidP="00372B21">
      <w:r>
        <w:t xml:space="preserve">Abadie et al. omitted states with a similar program, whereas </w:t>
      </w:r>
      <w:proofErr w:type="spellStart"/>
      <w:r>
        <w:t>Affuso</w:t>
      </w:r>
      <w:proofErr w:type="spellEnd"/>
      <w:r>
        <w:t xml:space="preserve"> et al. (2022) did not screen donors for comparable shocks, though commodity-exporting Suriname carries 61.9% of the weight. My pool also lacks this screening: Norway, Kuwait, and Qatar have sovereign wealth funds, and Russia (83.8%) was sanctioned from 2014. With four donors, placebo inference cannot fall below 20%, so I must enlarge the pool. </w:t>
      </w:r>
    </w:p>
    <w:p w14:paraId="0DCBC4E0" w14:textId="77777777" w:rsidR="00372B21" w:rsidRDefault="00372B21" w:rsidP="00372B21">
      <w:r>
        <w:t>References</w:t>
      </w:r>
    </w:p>
    <w:p w14:paraId="5D4C758D" w14:textId="77777777" w:rsidR="00372B21" w:rsidRDefault="00372B21" w:rsidP="00372B21">
      <w:r>
        <w:t xml:space="preserve">Abadie, A., Diamond, A., &amp; </w:t>
      </w:r>
      <w:proofErr w:type="spellStart"/>
      <w:r>
        <w:t>Hainmueller</w:t>
      </w:r>
      <w:proofErr w:type="spellEnd"/>
      <w:r>
        <w:t>, J. (2010). Synthetic control methods for comparative case studies: Estimating the effect of California’s tobacco control program. Journal of the American Statistical Association, 105(490), 493–505.</w:t>
      </w:r>
    </w:p>
    <w:p w14:paraId="59469A8E" w14:textId="77777777" w:rsidR="00372B21" w:rsidRDefault="00372B21" w:rsidP="00372B21">
      <w:proofErr w:type="spellStart"/>
      <w:r>
        <w:lastRenderedPageBreak/>
        <w:t>Affuso</w:t>
      </w:r>
      <w:proofErr w:type="spellEnd"/>
      <w:r>
        <w:t xml:space="preserve">, E., </w:t>
      </w:r>
      <w:proofErr w:type="spellStart"/>
      <w:r>
        <w:t>Istiak</w:t>
      </w:r>
      <w:proofErr w:type="spellEnd"/>
      <w:r>
        <w:t xml:space="preserve">, K. M., &amp; </w:t>
      </w:r>
      <w:proofErr w:type="spellStart"/>
      <w:r>
        <w:t>Sharland</w:t>
      </w:r>
      <w:proofErr w:type="spellEnd"/>
      <w:r>
        <w:t>, A. (2022). Sovereign wealth funds and economic growth. Journal of Asset Management, 23(3), 201–214. https://doi.org/10.1057/s41260-022-00260-6</w:t>
      </w:r>
    </w:p>
    <w:p w14:paraId="04A42EDA" w14:textId="77777777" w:rsidR="00372B21" w:rsidRDefault="00372B21" w:rsidP="00372B21">
      <w:r>
        <w:t>Becker, T. E. (2005). Potential problems in the statistical control of variables in organizational research: A qualitative analysis with recommendations. Organizational Research Methods, 8(3), 274–289. https://doi.org/10.1177/1094428105278021</w:t>
      </w:r>
    </w:p>
    <w:p w14:paraId="29A61EF0" w14:textId="77777777" w:rsidR="00372B21" w:rsidRDefault="00372B21" w:rsidP="00372B21"/>
    <w:p w14:paraId="64FDAA70" w14:textId="77777777" w:rsidR="00372B21" w:rsidRDefault="00372B21" w:rsidP="00372B21"/>
    <w:p w14:paraId="72806EF0" w14:textId="77777777" w:rsidR="00372B21" w:rsidRDefault="00372B21" w:rsidP="00372B21"/>
    <w:p w14:paraId="57AD1159" w14:textId="77777777" w:rsidR="004D7957" w:rsidRDefault="004D7957">
      <w:bookmarkStart w:id="0" w:name="_GoBack"/>
      <w:bookmarkEnd w:id="0"/>
    </w:p>
    <w:sectPr w:rsidR="004D79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7C"/>
    <w:rsid w:val="00372B21"/>
    <w:rsid w:val="004D7957"/>
    <w:rsid w:val="007F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FEA37-F96F-4D89-B609-2AC275F30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1523</Words>
  <Characters>8684</Characters>
  <Application>Microsoft Office Word</Application>
  <DocSecurity>0</DocSecurity>
  <Lines>72</Lines>
  <Paragraphs>20</Paragraphs>
  <ScaleCrop>false</ScaleCrop>
  <Company>UnivSouthAlabamaCSCTest</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mcobphd</dc:creator>
  <cp:keywords/>
  <dc:description/>
  <cp:lastModifiedBy>mcobphd</cp:lastModifiedBy>
  <cp:revision>2</cp:revision>
  <dcterms:created xsi:type="dcterms:W3CDTF">2026-10-16T04:26:00Z</dcterms:created>
  <dcterms:modified xsi:type="dcterms:W3CDTF">2026-10-16T04:27:00Z</dcterms:modified>
</cp:coreProperties>
</file>