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SuperNova Migration Assessment Report</w:t>
      </w:r>
    </w:p>
    <w:p/>
    <w:p>
      <w:pPr>
        <w:jc w:val="center"/>
      </w:pPr>
      <w:r>
        <w:rPr>
          <w:i/>
        </w:rPr>
        <w:t>On-Premises to Microsoft Azure — Technical Assessment</w:t>
      </w:r>
    </w:p>
    <w:p/>
    <w:p>
      <w:pPr>
        <w:jc w:val="center"/>
      </w:pPr>
      <w:r>
        <w:t>Confidential — For Internal Use Only</w:t>
      </w:r>
    </w:p>
    <w:p/>
    <w:p>
      <w:pPr>
        <w:spacing w:before="240" w:after="120"/>
      </w:pPr>
      <w:r>
        <w:rPr>
          <w:b/>
          <w:sz w:val="28"/>
        </w:rPr>
        <w:t>1 Overview</w:t>
      </w:r>
    </w:p>
    <w:p>
      <w:pPr>
        <w:spacing w:after="120"/>
      </w:pPr>
      <w:r>
        <w:t>This document presents the technical assessment for the SuperNova migration initiative, which aims to move the SuperNova application estate from on-premises infrastructure to Microsoft Azure. SuperNova currently supports critical order-to-cash and inventory workflows. The assessment covers current state architecture, target Azure design, infrastructure, security, data management, and total cost of ownership (TCO). The recommended approach uses Azure Kubernetes Service (AKS), Azure SQL Database, Azure Blob Storage, and Azure Active Directory (Entra ID) for identity.</w:t>
      </w:r>
    </w:p>
    <w:p>
      <w:pPr>
        <w:spacing w:after="120"/>
      </w:pPr>
      <w:r>
        <w:t>The target timeline for Phase 1 (pilot) is Q2 2025, with full production cutover planned for Q4 2025.</w:t>
      </w:r>
    </w:p>
    <w:p>
      <w:pPr>
        <w:spacing w:before="240" w:after="120"/>
      </w:pPr>
      <w:r>
        <w:rPr>
          <w:b/>
          <w:sz w:val="28"/>
        </w:rPr>
        <w:t>2 Application Profile</w:t>
      </w:r>
    </w:p>
    <w:p>
      <w:pPr>
        <w:spacing w:after="120"/>
      </w:pPr>
      <w:r>
        <w:t>SuperNova comprises a set of .NET Core microservices and a legacy monolith component hosted on Windows Server. The application integrates with SAP for master data and with internal messaging (currently MSMQ on-prem). User base is approximately 2,500 concurrent users across North America and EMEA. Data residency requirements dictate primary Azure region as East US 2 with optional West Europe for DR.</w:t>
      </w:r>
    </w:p>
    <w:p>
      <w:pPr>
        <w:spacing w:after="120"/>
      </w:pPr>
      <w:r>
        <w:t>Key dependencies include Active Directory, SQL Server, file shares, and several internal REST APIs. These are in scope for the migration and will be rehosted or refactored on Azure.</w:t>
      </w:r>
    </w:p>
    <w:p>
      <w:pPr>
        <w:spacing w:before="240" w:after="120"/>
      </w:pPr>
      <w:r>
        <w:rPr>
          <w:b/>
          <w:sz w:val="28"/>
        </w:rPr>
        <w:t>3 Methodology</w:t>
      </w:r>
    </w:p>
    <w:p>
      <w:pPr>
        <w:spacing w:after="120"/>
      </w:pPr>
      <w:r>
        <w:t>The assessment followed a standard discovery-and-design approach: (1) inventory and dependency mapping via Azure Migrate and discovery tools; (2) application and data classification; (3) target architecture design using Azure Well-Architected Framework; (4) security and compliance review; (5) TCO and runbook planning. Stakeholder workshops were held with development, operations, and security teams to validate assumptions and priorities.</w:t>
      </w:r>
    </w:p>
    <w:p>
      <w:pPr>
        <w:spacing w:before="240" w:after="120"/>
      </w:pPr>
      <w:r>
        <w:rPr>
          <w:b/>
          <w:sz w:val="28"/>
        </w:rPr>
        <w:t>4 Architecture and Platform (Current &amp; Future)</w:t>
      </w:r>
    </w:p>
    <w:p>
      <w:pPr>
        <w:spacing w:after="120"/>
      </w:pPr>
      <w:r>
        <w:t>Current state: Three-tier deployment on VMware (web tier, app tier, database tier) with SQL Server Always On and shared SAN storage. Future state: Web and app tiers containerized and deployed on AKS; Azure SQL Database for transactional data; Azure Blob Storage for documents and archives; Azure Service Bus for messaging; Azure Front Door for global load balancing and WAF.</w:t>
      </w:r>
    </w:p>
    <w:p>
      <w:pPr>
        <w:spacing w:before="240" w:after="120"/>
      </w:pPr>
      <w:r>
        <w:rPr>
          <w:b/>
          <w:sz w:val="24"/>
        </w:rPr>
        <w:t>4.1 Findings</w:t>
      </w:r>
    </w:p>
    <w:p>
      <w:pPr>
        <w:spacing w:after="120"/>
      </w:pPr>
      <w:r>
        <w:t>The existing .NET Core services are largely cloud-ready with minimal code changes. The legacy monolith requires either lift-and-shift to Azure VMs initially or a phased refactor into containers. Network topology allows direct ExpressRoute connectivity from on-prem to Azure; hybrid connectivity will be retained during transition.</w:t>
      </w:r>
    </w:p>
    <w:p>
      <w:pPr>
        <w:spacing w:before="240" w:after="120"/>
      </w:pPr>
      <w:r>
        <w:rPr>
          <w:b/>
          <w:sz w:val="24"/>
        </w:rPr>
        <w:t>4.2 Recommendations</w:t>
      </w:r>
    </w:p>
    <w:p>
      <w:pPr>
        <w:spacing w:after="120"/>
      </w:pPr>
      <w:r>
        <w:t>Adopt AKS for all new and containerized workloads; use Azure Arc for any remaining VM-based components during transition. Standardize on Azure Monitor, Log Analytics, and Application Insights for observability. Implement Azure DevOps pipelines for CI/CD targeting AKS and Azure SQL.</w:t>
      </w:r>
    </w:p>
    <w:p>
      <w:pPr>
        <w:spacing w:before="240" w:after="120"/>
      </w:pPr>
      <w:r>
        <w:rPr>
          <w:b/>
          <w:sz w:val="28"/>
        </w:rPr>
        <w:t>5 Infrastructure</w:t>
      </w:r>
    </w:p>
    <w:p>
      <w:pPr>
        <w:spacing w:after="120"/>
      </w:pPr>
      <w:r>
        <w:t>Target infrastructure includes AKS clusters (dev, staging, prod) with node pools sized per environment; Azure SQL Database (Business Critical tier for prod); Azure Blob Storage (Hot and Cool tiers); Virtual Network with subnets for AKS, data, and management; and Azure Firewall or NVA for egress control.</w:t>
      </w:r>
    </w:p>
    <w:p>
      <w:pPr>
        <w:spacing w:before="240" w:after="120"/>
      </w:pPr>
      <w:r>
        <w:rPr>
          <w:b/>
          <w:sz w:val="24"/>
        </w:rPr>
        <w:t>5.1 Findings</w:t>
      </w:r>
    </w:p>
    <w:p>
      <w:pPr>
        <w:spacing w:after="120"/>
      </w:pPr>
      <w:r>
        <w:t>Current on-prem capacity is undersized for peak; Azure auto-scaling will address this. Storage performance requirements are met by Premium SSD and Azure Blob tiering. ExpressRoute is already in place and can be extended for Azure connectivity.</w:t>
      </w:r>
    </w:p>
    <w:p>
      <w:pPr>
        <w:spacing w:before="240" w:after="120"/>
      </w:pPr>
      <w:r>
        <w:rPr>
          <w:b/>
          <w:sz w:val="24"/>
        </w:rPr>
        <w:t>5.2 Recommendations</w:t>
      </w:r>
    </w:p>
    <w:p>
      <w:pPr>
        <w:spacing w:after="120"/>
      </w:pPr>
      <w:r>
        <w:t>Use Azure Resource Manager templates or Terraform for repeatable deployment. Enable Azure Backup for AKS persistent volumes and Azure SQL. Define clear tagging and resource-group strategy for cost and governance.</w:t>
      </w:r>
    </w:p>
    <w:p>
      <w:pPr>
        <w:spacing w:before="240" w:after="120"/>
      </w:pPr>
      <w:r>
        <w:rPr>
          <w:b/>
          <w:sz w:val="28"/>
        </w:rPr>
        <w:t>6 Security and Compliance</w:t>
      </w:r>
    </w:p>
    <w:p>
      <w:pPr>
        <w:spacing w:after="120"/>
      </w:pPr>
      <w:r>
        <w:t>Security posture will leverage Azure Entra ID for authentication and Azure RBAC for authorization. Secrets will be stored in Azure Key Vault. Data at rest and in transit will be encrypted; Azure Defender for Cloud will be enabled. Compliance scope includes SOC 2 and internal policies.</w:t>
      </w:r>
    </w:p>
    <w:p>
      <w:pPr>
        <w:spacing w:before="240" w:after="120"/>
      </w:pPr>
      <w:r>
        <w:rPr>
          <w:b/>
          <w:sz w:val="24"/>
        </w:rPr>
        <w:t>6.1 Findings</w:t>
      </w:r>
    </w:p>
    <w:p>
      <w:pPr>
        <w:spacing w:after="120"/>
      </w:pPr>
      <w:r>
        <w:t>Current on-prem controls are partially aligned with cloud equivalents. Some custom integrations will need to be reimplemented using Azure-native services (e.g., Key Vault, Managed Identity). No critical compliance gaps were identified for the target design.</w:t>
      </w:r>
    </w:p>
    <w:p>
      <w:pPr>
        <w:spacing w:before="240" w:after="120"/>
      </w:pPr>
      <w:r>
        <w:rPr>
          <w:b/>
          <w:sz w:val="24"/>
        </w:rPr>
        <w:t>6.2 Recommendations</w:t>
      </w:r>
    </w:p>
    <w:p>
      <w:pPr>
        <w:spacing w:after="120"/>
      </w:pPr>
      <w:r>
        <w:t>Implement managed identities for AKS and app services to avoid credential storage. Enable Microsoft Defender for SQL and Defender for Containers. Conduct a formal security review before production go-live and document compliance evidence in Azure Policy.</w:t>
      </w:r>
    </w:p>
    <w:p>
      <w:pPr>
        <w:spacing w:before="240" w:after="120"/>
      </w:pPr>
      <w:r>
        <w:rPr>
          <w:b/>
          <w:sz w:val="28"/>
        </w:rPr>
        <w:t>7 Data Management</w:t>
      </w:r>
    </w:p>
    <w:p>
      <w:pPr>
        <w:spacing w:after="120"/>
      </w:pPr>
      <w:r>
        <w:t>SuperNova has an Operational Data Store (ODS) and a Data Warehouse component. The ODS will be migrated to Azure SQL Database; the warehouse is a candidate for Azure Synapse Analytics or Azure SQL Database with partitioning for reporting workloads. Azure Data Factory will be used for ETL and scheduled data movement.</w:t>
      </w:r>
    </w:p>
    <w:p>
      <w:pPr>
        <w:spacing w:after="120"/>
      </w:pPr>
      <w:r>
        <w:t>Findings and Risks: Data volume is approximately 8 TB for the ODS and 15 TB for the warehouse. Migration windows and cutover sequencing must be planned to minimize downtime. Data quality and lineage tools should be extended to Azure.</w:t>
      </w:r>
    </w:p>
    <w:p>
      <w:pPr>
        <w:spacing w:before="240" w:after="120"/>
      </w:pPr>
      <w:r>
        <w:rPr>
          <w:b/>
          <w:sz w:val="24"/>
        </w:rPr>
        <w:t>7.1 Recommendations</w:t>
      </w:r>
    </w:p>
    <w:p>
      <w:pPr>
        <w:spacing w:after="120"/>
      </w:pPr>
      <w:r>
        <w:t>Use Azure Database Migration Service or native backup/restore for SQL migration. Implement Azure Purview for catalog and governance. Retain Azure Blob lifecycle policies for archival and cost optimization.</w:t>
      </w:r>
    </w:p>
    <w:p>
      <w:pPr>
        <w:spacing w:before="240" w:after="120"/>
      </w:pPr>
      <w:r>
        <w:rPr>
          <w:b/>
          <w:sz w:val="28"/>
        </w:rPr>
        <w:t>8 TCO Assessment &amp; Management</w:t>
      </w:r>
    </w:p>
    <w:p>
      <w:pPr>
        <w:spacing w:after="120"/>
      </w:pPr>
      <w:r>
        <w:t>A three-year TCO comparison (on-prem vs. Azure) was performed. Azure costs include compute (AKS, VMs where needed), database, storage, networking, and licensing (e.g., Azure Hybrid Benefit). Management and tooling costs are included.</w:t>
      </w:r>
    </w:p>
    <w:p>
      <w:pPr>
        <w:spacing w:before="240" w:after="120"/>
      </w:pPr>
      <w:r>
        <w:rPr>
          <w:b/>
          <w:sz w:val="24"/>
        </w:rPr>
        <w:t>8.1 Findings and Risks</w:t>
      </w:r>
    </w:p>
    <w:p>
      <w:pPr>
        <w:spacing w:after="120"/>
      </w:pPr>
      <w:r>
        <w:t>Year 1 shows a modest increase due to dual-run and migration effort; Year 2 and 3 show an estimated 15–20% reduction in run cost with improved scalability and reduced hardware refresh. Key risks include unplanned data egress and over-provisioned resources; cost management and budgets will be enforced via Azure Cost Management and tags.</w:t>
      </w:r>
    </w:p>
    <w:p>
      <w:pPr>
        <w:spacing w:before="240" w:after="120"/>
      </w:pPr>
      <w:r>
        <w:rPr>
          <w:b/>
          <w:sz w:val="24"/>
        </w:rPr>
        <w:t>8.2 Recommendations</w:t>
      </w:r>
    </w:p>
    <w:p>
      <w:pPr>
        <w:spacing w:after="120"/>
      </w:pPr>
      <w:r>
        <w:t>Establish monthly cost reviews and set budget alerts. Use Azure Reservations and Savings Plans for committed workloads. Assign a dedicated FinOps role to track and optimize SuperNova-related spend post-migration.</w:t>
      </w:r>
    </w:p>
    <w:p/>
    <w:p>
      <w:pPr>
        <w:jc w:val="center"/>
      </w:pPr>
      <w:r>
        <w:t>— End of Assessment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