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Multi-Web Hardening Plan — FRD-06, FRD-13, FRD-15</w:t>
      </w:r>
    </w:p>
    <w:p>
      <w:pPr>
        <w:spacing w:after="120"/>
      </w:pPr>
      <w:r>
        <w:rPr>
          <w:i/>
          <w:iCs/>
          <w:color w:val="6b7280"/>
        </w:rPr>
        <w:t xml:space="preserve">CBSE Sahodaya Digital Platform · Generated 2026-07-12 · Re-audit of Finance &amp; Accounts, Multi-Tenant Platform, and Security/Audit against current code</w:t>
      </w:r>
    </w:p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Overview</w:t>
      </w:r>
    </w:p>
    <w:p>
      <w:pPr>
        <w:spacing w:after="120"/>
      </w:pPr>
      <w:r>
        <w:t xml:space="preserve">The original product audit found FRD-06 (Finance &amp; Accounts), FRD-13 (Super Admin &amp; Multi-Tenant Platform), and FRD-15 (Security, Audit &amp; Access Control) in acceptable shape with no Critical gaps. That audit predates the Sports fee overhaul, Teacher/Student Registry work, Teacher Training CPD/invoices, Talent Search/MCQ printable documents, and the full Academic Results/Toppers/Achievements rebuild — a very large amount of new surface area that had not had a focused re-check. This re-audit (2026-07-12) is read-only: no code was changed, every finding below is backed by a specific file/method, and no Critical-severity issues were found in any of the three areas.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000"/>
        <w:gridCol w:w="2000"/>
        <w:gridCol w:w="2700"/>
      </w:tblGrid>
      <w:tr>
        <w:tc>
          <w:tcPr>
            <w:tcW w:type="dxa" w:w="3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Health</w:t>
            </w:r>
          </w:p>
        </w:tc>
        <w:tc>
          <w:tcPr>
            <w:tcW w:type="dxa" w:w="20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Findings</w:t>
            </w:r>
          </w:p>
        </w:tc>
        <w:tc>
          <w:tcPr>
            <w:tcW w:type="dxa" w:w="2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FRD-06 Finance &amp; Accounts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(5 fixed)</w:t>
            </w:r>
          </w:p>
        </w:tc>
        <w:tc>
          <w:tcPr>
            <w:tcW w:type="dxa" w:w="2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0d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FRD-15 Security, Audit &amp; Access Control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(1 fixed)</w:t>
            </w:r>
          </w:p>
        </w:tc>
        <w:tc>
          <w:tcPr>
            <w:tcW w:type="dxa" w:w="2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0d</w:t>
            </w:r>
          </w:p>
        </w:tc>
      </w:tr>
      <w:tr>
        <w:tc>
          <w:tcPr>
            <w:tcW w:type="dxa" w:w="3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FRD-13 Super Admin &amp; Multi-Tenant Platform</w:t>
            </w:r>
          </w:p>
        </w:tc>
        <w:tc>
          <w:tcPr>
            <w:tcW w:type="dxa" w:w="2000"/>
            <w:shd w:fill="DCFCE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Done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 (3 fixed)</w:t>
            </w:r>
          </w:p>
        </w:tc>
        <w:tc>
          <w:tcPr>
            <w:tcW w:type="dxa" w:w="2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0d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  <w:color w:val="15803d"/>
        </w:rPr>
        <w:t xml:space="preserve">Total remaining effort: 0 person-days — all 9 findings across the three areas are implemented and committed.</w:t>
      </w:r>
    </w:p>
    <w:p>
      <w:pPr>
        <w:pStyle w:val="Heading1"/>
        <w:spacing w:after="150" w:before="300"/>
      </w:pPr>
      <w:r>
        <w:t xml:space="preserve">FRD-06 — Finance &amp; Accounts</w:t>
      </w:r>
    </w:p>
    <w:p>
      <w:pPr>
        <w:spacing w:after="120"/>
      </w:pPr>
      <w:r>
        <w:rPr>
          <w:i/>
          <w:iCs/>
          <w:color w:val="15803d"/>
        </w:rPr>
        <w:t xml:space="preserve">Verdict: Done — all 5 findings (1 High, 2 Medium, 2 Low) fixed and committed.</w:t>
      </w:r>
    </w:p>
    <w:p>
      <w:pPr>
        <w:spacing w:after="120"/>
      </w:pPr>
      <w:r>
        <w:t xml:space="preserve">Core ledger posting is sound: idempotent (checked by reference_type+reference_id before creating a transaction), transactional, and every module (Sports, Teacher Training, MCQ, membership) routes through the same FeeReceiptLedgerDispatcher — no module bypasses it. The gap was structural: there was no way to reverse money once posted. All 5 findings are now fixed: a full refund/reversal mechanism (new "reversed" FeeReceipt status, FeeReceiptReversalService, compensating ledger entries via postReceiptReversal() wired into all four per-module ledger services, a reverse button in the Unified Payments UI), row locking on the posting transaction to close the concurrent double-approve race, a warning log when a receipt's tenant can't be resolved, MCQ fee-approval audit logging (and a redundant duplicate log call on reject removed), and a new RPT-FIN-021 fee-receipt-vs-ledger reconciliation report.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900"/>
        <w:gridCol w:w="15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9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 &amp; fix</w:t>
            </w:r>
          </w:p>
        </w:tc>
        <w:tc>
          <w:tcPr>
            <w:tcW w:type="dxa" w:w="15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E2E2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Refund / reversal mechanism
No code path exists to reverse an approved, ledger-posted FeeReceipt (chargeback, cancellation, correction). Add a "reversed" FeeReceipt status; a reversal action reachable from an approved receipt; and a postReversal() method in each per-module ledger service (LedgerService, FestFeeLedgerService, TrainingFeeLedgerService, McqFeeLedgerService) that posts a compensating LedgerTransaction rather than mutating the original. Gate the action behind the same approval-level role that approves receipts.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5-6d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FeeReceipt-vs-Ledger reconciliation report
No report catches drift between FeeReceipt totals and LedgerTransaction totals, so an orphaned "approved but never posted" receipt (e.g. from the silent resolveTenantId() no-op below) would go unnoticed indefinitely. Add a reconciliation report/export under app/Services/Reports listing approved receipts with no matching ledger transaction, and vice versa.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MCQ fee-approval audit logging
McqSchoolFeeService::approve() has no PlatformAuditLogger call, while its reject() path does — an asymmetric trail where money-in approvals are unlogged but rejections are. Add the matching audit-log call to approve().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Row locking on ledger posting
LedgerPostingService::postJournal() checks for an existing transaction before creating one, but without a row lock a true concurrent double-approve (two requests hitting approve() at once) could still race. Add lockForUpdate() on the FeeReceipt/feeable row inside the posting transaction.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Surface silent tenant-resolution failures
If a FeeReceipt's feeable's tenant can't be resolved during posting, resolveTenantId() silently returns and the receipt stays "approved" with zero ledger rows and no alert. Log a warning (or raise a Sahodaya-admin notification) instead of a silent no-op.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FRD-15 — Security, Audit &amp; Access Control</w:t>
      </w:r>
    </w:p>
    <w:p>
      <w:pPr>
        <w:spacing w:after="120"/>
      </w:pPr>
      <w:r>
        <w:rPr>
          <w:i/>
          <w:iCs/>
          <w:color w:val="15803d"/>
        </w:rPr>
        <w:t xml:space="preserve">Verdict: Done — the one Medium finding is fixed.</w:t>
      </w:r>
    </w:p>
    <w:p>
      <w:pPr>
        <w:spacing w:after="120"/>
      </w:pPr>
      <w:r>
        <w:t xml:space="preserve">Authorization, mass-assignment protection, file-upload validation, and audit-log coverage on all newer controllers (BoardResultVerificationController, TrainingResourcePersonController, TeacherMcqRegistrationController, the public portal/certificate controllers) checked clean. The one gap — missing rate limiting on public, unauthenticated, UUID-enumerable endpoints — is fixed: throttle:60,1 added to /verify/{uuid}, /certificates/verify/{uuid}, /certificates/print/{uuid}, and the academic-results public portal route group.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900"/>
        <w:gridCol w:w="15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9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 &amp; fix</w:t>
            </w:r>
          </w:p>
        </w:tc>
        <w:tc>
          <w:tcPr>
            <w:tcW w:type="dxa" w:w="15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Rate limiting on public verification/portal endpoints
/verify/{uuid}, /certificates/verify/{uuid}, /certificates/print/{uuid}, and the academic-results public portal routes carry no throttle middleware, unlike sibling public endpoints in the same route files (school-register.store, Training QR endpoints). This allows unlimited-rate UUID enumeration/scraping. Add throttle:60,1 (or similar) to all of these routes.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FRD-13 — Super Admin &amp; Multi-Tenant Platform</w:t>
      </w:r>
    </w:p>
    <w:p>
      <w:pPr>
        <w:spacing w:after="120"/>
      </w:pPr>
      <w:r>
        <w:rPr>
          <w:i/>
          <w:iCs/>
          <w:color w:val="15803d"/>
        </w:rPr>
        <w:t xml:space="preserve">Verdict: Done — the real cross-tenant leak and both hygiene findings are fixed.</w:t>
      </w:r>
    </w:p>
    <w:p>
      <w:pPr>
        <w:spacing w:after="120"/>
      </w:pPr>
      <w:r>
        <w:t xml:space="preserve">Tenant scoping across newer Academic Results and Training tables is enforced consistently at the service layer (no model uses a global scope, matching the existing BoardResult/Topper convention, but every read/write path checked passes the tenant filter explicitly) — except one query, now fixed: AwardsEngine::awardBestStreamSchool() switched to the existing ExamStream::forSahodaya() scope. StateAdmin cross-tenant reads remain correctly gated behind a genuinely separate state.admin role with aggregate-only output. Defense-in-depth: a new ScopesBySahodaya trait was applied to 6 newer models (AcademicAward, AcademicPerformanceScore, ApiConfig, BoardResultRanking, TopperCountConfig, TopperSubjectMark), and TopperSubjectMark additionally got a real denormalized tenant_id column with a backfill migration, closing the one model that previously had no direct tenant column at all.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5900"/>
        <w:gridCol w:w="1500"/>
      </w:tblGrid>
      <w:tr>
        <w:tc>
          <w:tcPr>
            <w:tcW w:type="dxa" w:w="7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13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59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Finding &amp; fix</w:t>
            </w:r>
          </w:p>
        </w:tc>
        <w:tc>
          <w:tcPr>
            <w:tcW w:type="dxa" w:w="1500"/>
            <w:shd w:fill="0f3d7a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Effort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300"/>
            <w:shd w:fill="FEF3C7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ExamStream lookup not sahodaya-scoped in Awards Engine
AwardsEngine::awardBestStreamSchool() (app/Services/BoardResults/AwardsEngine.php:331) queries ExamStream::query()-&gt;whereIn('code', ...) with no sahodaya_id filter. If two Sahodayas each define a stream with the same code, one Sahodaya's "Best Stream School" award can pull data from the other's stream row. Switch to the existing ExamStream::forSahodaya() scope, which was built for exactly this and just isn't used at this call site.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Defense-in-depth tenant scoping on 6 newer models
AcademicAward, AcademicPerformanceScore, ApiConfig, BoardResultRanking, TopperCountConfig, and ExamStream have no global scope or trait enforcing tenant filtering — every current read/write path correctly passes sahodaya_id/tenant_id explicitly, but there's no structural guard against a future query forgetting to. Add a shared tenant-scoping trait/global scope consistent with (or improving on) the existing BoardResult/Topper convention.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1-1.5d</w:t>
            </w:r>
          </w:p>
        </w:tc>
      </w:tr>
      <w:tr>
        <w:tc>
          <w:tcPr>
            <w:tcW w:type="dxa" w:w="7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300"/>
            <w:shd w:fill="DBEAFE" w:val="clea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59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TopperSubjectMark has no tenant column
Scoped only indirectly via topper_id → Topper.tenant_id. No current leak (RankingEngine::rankBySubject filters by tenant-scoped topper IDs first), but any future direct query against topper_subject_marks would be unscoped. Document the invariant in the model, or add a denormalized tenant_id column for a structural guard.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0.5d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50" w:before="300"/>
      </w:pPr>
      <w:r>
        <w:t xml:space="preserve">Status</w:t>
      </w:r>
    </w:p>
    <w:p>
      <w:pPr>
        <w:spacing w:after="120"/>
      </w:pPr>
      <w:r>
        <w:t xml:space="preserve">All 9 findings across FRD-06, FRD-13, and FRD-15 are implemented, syntax-verified, and committed. No further action is pending in this hardening plan.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2026-07-12T07:41:13.638Z</dcterms:created>
  <dcterms:modified xsi:type="dcterms:W3CDTF">2026-07-12T07:41:13.638Z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