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3D7A"/>
          <w:sz w:val="56"/>
          <w:szCs w:val="56"/>
        </w:rPr>
        <w:t xml:space="preserve">Kalotsavam</w:t>
      </w:r>
    </w:p>
    <w:p>
      <w:pPr>
        <w:spacing w:after="300"/>
      </w:pPr>
      <w:r>
        <w:rPr>
          <w:color w:val="475569"/>
          <w:sz w:val="26"/>
          <w:szCs w:val="26"/>
        </w:rPr>
        <w:t xml:space="preserve">Full Workflow, Features &amp; User Flow Reference</w:t>
      </w:r>
    </w:p>
    <w:p>
      <w:pPr>
        <w:pBdr>
          <w:left w:val="single" w:color="0F3D7A" w:sz="18" w:space="8"/>
        </w:pBdr>
        <w:shd w:fill="EEF2F7" w:val="clear"/>
        <w:spacing w:after="160" w:before="80"/>
      </w:pPr>
      <w:r>
        <w:rPr>
          <w:i/>
          <w:iCs/>
          <w:color w:val="475569"/>
          <w:sz w:val="20"/>
          <w:szCs w:val="20"/>
        </w:rPr>
        <w:t xml:space="preserve">Kalotsavam (also spelled “Kalolsavam” in the codebase) is not a separate application module. It runs entirely on the platform's shared Fest Event engine — the same engine used for Sports Meet, Kids Fest, Teacher Fest, English Fest, Science Fest, and custom events. Everywhere this document says “the fest engine,” that behavior is shared code; anything called out as “Kalotsavam-only” is a specific branch of that shared code keyed on event_type = 'kalolsavam'.</w:t>
      </w:r>
    </w:p>
    <w:p>
      <w:pPr>
        <w:pStyle w:val="Heading1"/>
        <w:spacing w:after="160" w:before="360"/>
      </w:pPr>
      <w:r>
        <w:t xml:space="preserve">1. What Kalotsavam Is</w:t>
      </w:r>
    </w:p>
    <w:p>
      <w:pPr>
        <w:spacing w:after="140"/>
      </w:pPr>
      <w:r>
        <w:t xml:space="preserve">Kalotsavam is a school arts/talent festival program run by a Sahodaya (a cluster/association of member schools) for its member schools. Schools register students individually or as teams into competition “items” (e.g. Mono Act, Group Dance, Recitation), Sahodaya staff review and approve entries, chest numbers and ID cards are issued, competitions run on the scheduled festival day(s), judges record marks, results are published, winners are promoted to the next level (school → Sahodaya → State), and certificates are issued automatically.</w:t>
      </w:r>
    </w:p>
    <w:p>
      <w:pPr>
        <w:spacing w:after="140"/>
      </w:pPr>
      <w:r>
        <w:t xml:space="preserve">Because it shares the fest engine with every other event type, a single Kalotsavam event record on the platform is a row in the FestEvent table with event_type set to kalolsavam, and it is normally a singleton — one live Kalotsavam per Sahodaya per academic year, so schools don't pick from an event list; they land directly on the one event's registration page.</w:t>
      </w:r>
    </w:p>
    <w:p>
      <w:pPr>
        <w:pStyle w:val="Heading1"/>
        <w:spacing w:after="160" w:before="360"/>
      </w:pPr>
      <w:r>
        <w:t xml:space="preserve">2. Roles &amp;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3D7A" w:val="clear"/>
            <w:tcMar>
              <w:top w:type="dxa" w:w="60"/>
              <w:left w:type="dxa" w:w="100"/>
              <w:bottom w:type="dxa" w:w="60"/>
              <w:right w:type="dxa" w:w="100"/>
            </w:tcMar>
          </w:tcPr>
          <w:p>
            <w:r>
              <w:rPr>
                <w:b/>
                <w:bCs/>
                <w:color w:val="FFFFFF"/>
                <w:sz w:val="19"/>
                <w:szCs w:val="19"/>
              </w:rPr>
              <w:t xml:space="preserve">Term</w:t>
            </w:r>
          </w:p>
        </w:tc>
        <w:tc>
          <w:tcPr>
            <w:tcW w:type="dxa" w:w="6960"/>
            <w:shd w:fill="0F3D7A" w:val="clear"/>
            <w:tcMar>
              <w:top w:type="dxa" w:w="60"/>
              <w:left w:type="dxa" w:w="100"/>
              <w:bottom w:type="dxa" w:w="60"/>
              <w:right w:type="dxa" w:w="100"/>
            </w:tcMar>
          </w:tcPr>
          <w:p>
            <w:r>
              <w:rPr>
                <w:b/>
                <w:bCs/>
                <w:color w:val="FFFFFF"/>
                <w:sz w:val="19"/>
                <w:szCs w:val="19"/>
              </w:rPr>
              <w:t xml:space="preserve">Meaning</w:t>
            </w:r>
          </w:p>
        </w:tc>
      </w:tr>
      <w:tr>
        <w:tc>
          <w:tcPr>
            <w:tcW w:type="dxa" w:w="2400"/>
            <w:tcMar>
              <w:top w:type="dxa" w:w="60"/>
              <w:left w:type="dxa" w:w="100"/>
              <w:bottom w:type="dxa" w:w="60"/>
              <w:right w:type="dxa" w:w="100"/>
            </w:tcMar>
          </w:tcPr>
          <w:p>
            <w:r>
              <w:rPr>
                <w:b w:val="false"/>
                <w:bCs w:val="false"/>
                <w:color w:val="1F2937"/>
                <w:sz w:val="19"/>
                <w:szCs w:val="19"/>
              </w:rPr>
              <w:t xml:space="preserve">Sahodaya</w:t>
            </w:r>
          </w:p>
        </w:tc>
        <w:tc>
          <w:tcPr>
            <w:tcW w:type="dxa" w:w="6960"/>
            <w:tcMar>
              <w:top w:type="dxa" w:w="60"/>
              <w:left w:type="dxa" w:w="100"/>
              <w:bottom w:type="dxa" w:w="60"/>
              <w:right w:type="dxa" w:w="100"/>
            </w:tcMar>
          </w:tcPr>
          <w:p>
            <w:r>
              <w:rPr>
                <w:b w:val="false"/>
                <w:bCs w:val="false"/>
                <w:color w:val="1F2937"/>
                <w:sz w:val="19"/>
                <w:szCs w:val="19"/>
              </w:rPr>
              <w:t xml:space="preserve">The cluster/association of schools that owns and runs the Kalotsavam event.</w:t>
            </w:r>
          </w:p>
        </w:tc>
      </w:tr>
      <w:tr>
        <w:tc>
          <w:tcPr>
            <w:tcW w:type="dxa" w:w="2400"/>
            <w:tcMar>
              <w:top w:type="dxa" w:w="60"/>
              <w:left w:type="dxa" w:w="100"/>
              <w:bottom w:type="dxa" w:w="60"/>
              <w:right w:type="dxa" w:w="100"/>
            </w:tcMar>
          </w:tcPr>
          <w:p>
            <w:r>
              <w:rPr>
                <w:b w:val="false"/>
                <w:bCs w:val="false"/>
                <w:color w:val="1F2937"/>
                <w:sz w:val="19"/>
                <w:szCs w:val="19"/>
              </w:rPr>
              <w:t xml:space="preserve">School admin</w:t>
            </w:r>
          </w:p>
        </w:tc>
        <w:tc>
          <w:tcPr>
            <w:tcW w:type="dxa" w:w="6960"/>
            <w:tcMar>
              <w:top w:type="dxa" w:w="60"/>
              <w:left w:type="dxa" w:w="100"/>
              <w:bottom w:type="dxa" w:w="60"/>
              <w:right w:type="dxa" w:w="100"/>
            </w:tcMar>
          </w:tcPr>
          <w:p>
            <w:r>
              <w:rPr>
                <w:b w:val="false"/>
                <w:bCs w:val="false"/>
                <w:color w:val="1F2937"/>
                <w:sz w:val="19"/>
                <w:szCs w:val="19"/>
              </w:rPr>
              <w:t xml:space="preserve">Staff at a member school who register their students and manage entries.</w:t>
            </w:r>
          </w:p>
        </w:tc>
      </w:tr>
      <w:tr>
        <w:tc>
          <w:tcPr>
            <w:tcW w:type="dxa" w:w="2400"/>
            <w:tcMar>
              <w:top w:type="dxa" w:w="60"/>
              <w:left w:type="dxa" w:w="100"/>
              <w:bottom w:type="dxa" w:w="60"/>
              <w:right w:type="dxa" w:w="100"/>
            </w:tcMar>
          </w:tcPr>
          <w:p>
            <w:r>
              <w:rPr>
                <w:b w:val="false"/>
                <w:bCs w:val="false"/>
                <w:color w:val="1F2937"/>
                <w:sz w:val="19"/>
                <w:szCs w:val="19"/>
              </w:rPr>
              <w:t xml:space="preserve">Sahodaya admin</w:t>
            </w:r>
          </w:p>
        </w:tc>
        <w:tc>
          <w:tcPr>
            <w:tcW w:type="dxa" w:w="6960"/>
            <w:tcMar>
              <w:top w:type="dxa" w:w="60"/>
              <w:left w:type="dxa" w:w="100"/>
              <w:bottom w:type="dxa" w:w="60"/>
              <w:right w:type="dxa" w:w="100"/>
            </w:tcMar>
          </w:tcPr>
          <w:p>
            <w:r>
              <w:rPr>
                <w:b w:val="false"/>
                <w:bCs w:val="false"/>
                <w:color w:val="1F2937"/>
                <w:sz w:val="19"/>
                <w:szCs w:val="19"/>
              </w:rPr>
              <w:t xml:space="preserve">Staff who configure the event, review/approve entries, run the festival day operations, publish results.</w:t>
            </w:r>
          </w:p>
        </w:tc>
      </w:tr>
      <w:tr>
        <w:tc>
          <w:tcPr>
            <w:tcW w:type="dxa" w:w="2400"/>
            <w:tcMar>
              <w:top w:type="dxa" w:w="60"/>
              <w:left w:type="dxa" w:w="100"/>
              <w:bottom w:type="dxa" w:w="60"/>
              <w:right w:type="dxa" w:w="100"/>
            </w:tcMar>
          </w:tcPr>
          <w:p>
            <w:r>
              <w:rPr>
                <w:b w:val="false"/>
                <w:bCs w:val="false"/>
                <w:color w:val="1F2937"/>
                <w:sz w:val="19"/>
                <w:szCs w:val="19"/>
              </w:rPr>
              <w:t xml:space="preserve">Item</w:t>
            </w:r>
          </w:p>
        </w:tc>
        <w:tc>
          <w:tcPr>
            <w:tcW w:type="dxa" w:w="6960"/>
            <w:tcMar>
              <w:top w:type="dxa" w:w="60"/>
              <w:left w:type="dxa" w:w="100"/>
              <w:bottom w:type="dxa" w:w="60"/>
              <w:right w:type="dxa" w:w="100"/>
            </w:tcMar>
          </w:tcPr>
          <w:p>
            <w:r>
              <w:rPr>
                <w:b w:val="false"/>
                <w:bCs w:val="false"/>
                <w:color w:val="1F2937"/>
                <w:sz w:val="19"/>
                <w:szCs w:val="19"/>
              </w:rPr>
              <w:t xml:space="preserve">A single competition/category, e.g. “Mono Act – Sub Junior”. Has its own eligibility rules, fee, schedule, and participant type.</w:t>
            </w:r>
          </w:p>
        </w:tc>
      </w:tr>
      <w:tr>
        <w:tc>
          <w:tcPr>
            <w:tcW w:type="dxa" w:w="2400"/>
            <w:tcMar>
              <w:top w:type="dxa" w:w="60"/>
              <w:left w:type="dxa" w:w="100"/>
              <w:bottom w:type="dxa" w:w="60"/>
              <w:right w:type="dxa" w:w="100"/>
            </w:tcMar>
          </w:tcPr>
          <w:p>
            <w:r>
              <w:rPr>
                <w:b w:val="false"/>
                <w:bCs w:val="false"/>
                <w:color w:val="1F2937"/>
                <w:sz w:val="19"/>
                <w:szCs w:val="19"/>
              </w:rPr>
              <w:t xml:space="preserve">Item Head</w:t>
            </w:r>
          </w:p>
        </w:tc>
        <w:tc>
          <w:tcPr>
            <w:tcW w:type="dxa" w:w="6960"/>
            <w:tcMar>
              <w:top w:type="dxa" w:w="60"/>
              <w:left w:type="dxa" w:w="100"/>
              <w:bottom w:type="dxa" w:w="60"/>
              <w:right w:type="dxa" w:w="100"/>
            </w:tcMar>
          </w:tcPr>
          <w:p>
            <w:r>
              <w:rPr>
                <w:b w:val="false"/>
                <w:bCs w:val="false"/>
                <w:color w:val="1F2937"/>
                <w:sz w:val="19"/>
                <w:szCs w:val="19"/>
              </w:rPr>
              <w:t xml:space="preserve">A grouping of related items under one umbrella (used for combined ID passes and combined reporting).</w:t>
            </w:r>
          </w:p>
        </w:tc>
      </w:tr>
      <w:tr>
        <w:tc>
          <w:tcPr>
            <w:tcW w:type="dxa" w:w="2400"/>
            <w:tcMar>
              <w:top w:type="dxa" w:w="60"/>
              <w:left w:type="dxa" w:w="100"/>
              <w:bottom w:type="dxa" w:w="60"/>
              <w:right w:type="dxa" w:w="100"/>
            </w:tcMar>
          </w:tcPr>
          <w:p>
            <w:r>
              <w:rPr>
                <w:b w:val="false"/>
                <w:bCs w:val="false"/>
                <w:color w:val="1F2937"/>
                <w:sz w:val="19"/>
                <w:szCs w:val="19"/>
              </w:rPr>
              <w:t xml:space="preserve">Registration</w:t>
            </w:r>
          </w:p>
        </w:tc>
        <w:tc>
          <w:tcPr>
            <w:tcW w:type="dxa" w:w="6960"/>
            <w:tcMar>
              <w:top w:type="dxa" w:w="60"/>
              <w:left w:type="dxa" w:w="100"/>
              <w:bottom w:type="dxa" w:w="60"/>
              <w:right w:type="dxa" w:w="100"/>
            </w:tcMar>
          </w:tcPr>
          <w:p>
            <w:r>
              <w:rPr>
                <w:b w:val="false"/>
                <w:bCs w:val="false"/>
                <w:color w:val="1F2937"/>
                <w:sz w:val="19"/>
                <w:szCs w:val="19"/>
              </w:rPr>
              <w:t xml:space="preserve">One school's entry into one item — either an individual student or a team/group.</w:t>
            </w:r>
          </w:p>
        </w:tc>
      </w:tr>
      <w:tr>
        <w:tc>
          <w:tcPr>
            <w:tcW w:type="dxa" w:w="2400"/>
            <w:tcMar>
              <w:top w:type="dxa" w:w="60"/>
              <w:left w:type="dxa" w:w="100"/>
              <w:bottom w:type="dxa" w:w="60"/>
              <w:right w:type="dxa" w:w="100"/>
            </w:tcMar>
          </w:tcPr>
          <w:p>
            <w:r>
              <w:rPr>
                <w:b w:val="false"/>
                <w:bCs w:val="false"/>
                <w:color w:val="1F2937"/>
                <w:sz w:val="19"/>
                <w:szCs w:val="19"/>
              </w:rPr>
              <w:t xml:space="preserve">Chest number</w:t>
            </w:r>
          </w:p>
        </w:tc>
        <w:tc>
          <w:tcPr>
            <w:tcW w:type="dxa" w:w="6960"/>
            <w:tcMar>
              <w:top w:type="dxa" w:w="60"/>
              <w:left w:type="dxa" w:w="100"/>
              <w:bottom w:type="dxa" w:w="60"/>
              <w:right w:type="dxa" w:w="100"/>
            </w:tcMar>
          </w:tcPr>
          <w:p>
            <w:r>
              <w:rPr>
                <w:b w:val="false"/>
                <w:bCs w:val="false"/>
                <w:color w:val="1F2937"/>
                <w:sz w:val="19"/>
                <w:szCs w:val="19"/>
              </w:rPr>
              <w:t xml:space="preserve">The number pinned on a participant, used for stage identification and result recording.</w:t>
            </w:r>
          </w:p>
        </w:tc>
      </w:tr>
      <w:tr>
        <w:tc>
          <w:tcPr>
            <w:tcW w:type="dxa" w:w="2400"/>
            <w:tcMar>
              <w:top w:type="dxa" w:w="60"/>
              <w:left w:type="dxa" w:w="100"/>
              <w:bottom w:type="dxa" w:w="60"/>
              <w:right w:type="dxa" w:w="100"/>
            </w:tcMar>
          </w:tcPr>
          <w:p>
            <w:r>
              <w:rPr>
                <w:b w:val="false"/>
                <w:bCs w:val="false"/>
                <w:color w:val="1F2937"/>
                <w:sz w:val="19"/>
                <w:szCs w:val="19"/>
              </w:rPr>
              <w:t xml:space="preserve">Fest ID</w:t>
            </w:r>
          </w:p>
        </w:tc>
        <w:tc>
          <w:tcPr>
            <w:tcW w:type="dxa" w:w="6960"/>
            <w:tcMar>
              <w:top w:type="dxa" w:w="60"/>
              <w:left w:type="dxa" w:w="100"/>
              <w:bottom w:type="dxa" w:w="60"/>
              <w:right w:type="dxa" w:w="100"/>
            </w:tcMar>
          </w:tcPr>
          <w:p>
            <w:r>
              <w:rPr>
                <w:b w:val="false"/>
                <w:bCs w:val="false"/>
                <w:color w:val="1F2937"/>
                <w:sz w:val="19"/>
                <w:szCs w:val="19"/>
              </w:rPr>
              <w:t xml:space="preserve">A participant's platform-wide registration number for the event (separate from chest number).</w:t>
            </w:r>
          </w:p>
        </w:tc>
      </w:tr>
      <w:tr>
        <w:tc>
          <w:tcPr>
            <w:tcW w:type="dxa" w:w="2400"/>
            <w:tcMar>
              <w:top w:type="dxa" w:w="60"/>
              <w:left w:type="dxa" w:w="100"/>
              <w:bottom w:type="dxa" w:w="60"/>
              <w:right w:type="dxa" w:w="100"/>
            </w:tcMar>
          </w:tcPr>
          <w:p>
            <w:r>
              <w:rPr>
                <w:b w:val="false"/>
                <w:bCs w:val="false"/>
                <w:color w:val="1F2937"/>
                <w:sz w:val="19"/>
                <w:szCs w:val="19"/>
              </w:rPr>
              <w:t xml:space="preserve">Region</w:t>
            </w:r>
          </w:p>
        </w:tc>
        <w:tc>
          <w:tcPr>
            <w:tcW w:type="dxa" w:w="6960"/>
            <w:tcMar>
              <w:top w:type="dxa" w:w="60"/>
              <w:left w:type="dxa" w:w="100"/>
              <w:bottom w:type="dxa" w:w="60"/>
              <w:right w:type="dxa" w:w="100"/>
            </w:tcMar>
          </w:tcPr>
          <w:p>
            <w:r>
              <w:rPr>
                <w:b w:val="false"/>
                <w:bCs w:val="false"/>
                <w:color w:val="1F2937"/>
                <w:sz w:val="19"/>
                <w:szCs w:val="19"/>
              </w:rPr>
              <w:t xml:space="preserve">An optional geographic/zonal grouping of schools used only for Kalotsavam, to run zone-level rounds before the Sahodaya-level round.</w:t>
            </w:r>
          </w:p>
        </w:tc>
      </w:tr>
      <w:tr>
        <w:tc>
          <w:tcPr>
            <w:tcW w:type="dxa" w:w="2400"/>
            <w:tcMar>
              <w:top w:type="dxa" w:w="60"/>
              <w:left w:type="dxa" w:w="100"/>
              <w:bottom w:type="dxa" w:w="60"/>
              <w:right w:type="dxa" w:w="100"/>
            </w:tcMar>
          </w:tcPr>
          <w:p>
            <w:r>
              <w:rPr>
                <w:b w:val="false"/>
                <w:bCs w:val="false"/>
                <w:color w:val="1F2937"/>
                <w:sz w:val="19"/>
                <w:szCs w:val="19"/>
              </w:rPr>
              <w:t xml:space="preserve">Qualification / promotion</w:t>
            </w:r>
          </w:p>
        </w:tc>
        <w:tc>
          <w:tcPr>
            <w:tcW w:type="dxa" w:w="6960"/>
            <w:tcMar>
              <w:top w:type="dxa" w:w="60"/>
              <w:left w:type="dxa" w:w="100"/>
              <w:bottom w:type="dxa" w:w="60"/>
              <w:right w:type="dxa" w:w="100"/>
            </w:tcMar>
          </w:tcPr>
          <w:p>
            <w:r>
              <w:rPr>
                <w:b w:val="false"/>
                <w:bCs w:val="false"/>
                <w:color w:val="1F2937"/>
                <w:sz w:val="19"/>
                <w:szCs w:val="19"/>
              </w:rPr>
              <w:t xml:space="preserve">The process of moving winners from one round (e.g. school-level) up to the next (Sahodaya-level, then State).</w:t>
            </w:r>
          </w:p>
        </w:tc>
      </w:tr>
    </w:tbl>
    <w:p>
      <w:pPr>
        <w:pStyle w:val="Heading1"/>
        <w:spacing w:after="160" w:before="360"/>
      </w:pPr>
      <w:r>
        <w:t xml:space="preserve">3. Event Lifecycle (End to End)</w:t>
      </w:r>
    </w:p>
    <w:p>
      <w:pPr>
        <w:spacing w:after="140"/>
      </w:pPr>
      <w:r>
        <w:t xml:space="preserve">The lifecycle below is the same shape used for every fest type; the numbered stages are what actually happens for a Kalotsavam event on this platform.</w:t>
      </w:r>
    </w:p>
    <w:p>
      <w:pPr>
        <w:pStyle w:val="Heading3"/>
        <w:spacing w:after="100" w:before="200"/>
      </w:pPr>
      <w:r>
        <w:t xml:space="preserve">Stage 1 — Setup (Sahodaya admin)</w:t>
      </w:r>
    </w:p>
    <w:p>
      <w:pPr>
        <w:pStyle w:val="ListParagraph"/>
        <w:numPr>
          <w:ilvl w:val="0"/>
          <w:numId w:val="2"/>
        </w:numPr>
        <w:spacing w:after="60"/>
      </w:pPr>
      <w:r>
        <w:t xml:space="preserve">Create/configure the Kalotsavam event: dates, conduct level (school / Sahodaya / state round), registration window, chest-reveal mode, class-group scheme.</w:t>
      </w:r>
    </w:p>
    <w:p>
      <w:pPr>
        <w:pStyle w:val="ListParagraph"/>
        <w:numPr>
          <w:ilvl w:val="0"/>
          <w:numId w:val="2"/>
        </w:numPr>
        <w:spacing w:after="60"/>
      </w:pPr>
      <w:r>
        <w:t xml:space="preserve">Build the item catalog: items, participant type (individual/team/group), eligibility (category, gender, class group, age group), fees, max entries per school, qualify-count and tie-break rule for promotion.</w:t>
      </w:r>
    </w:p>
    <w:p>
      <w:pPr>
        <w:pStyle w:val="ListParagraph"/>
        <w:numPr>
          <w:ilvl w:val="0"/>
          <w:numId w:val="2"/>
        </w:numPr>
        <w:spacing w:after="60"/>
      </w:pPr>
      <w:r>
        <w:t xml:space="preserve">Optional: create Regions and let schools pick/be assigned a region for zone-level rounds (Kalotsavam-only feature, off by default).</w:t>
      </w:r>
    </w:p>
    <w:p>
      <w:pPr>
        <w:pStyle w:val="ListParagraph"/>
        <w:numPr>
          <w:ilvl w:val="0"/>
          <w:numId w:val="2"/>
        </w:numPr>
        <w:spacing w:after="60"/>
      </w:pPr>
      <w:r>
        <w:t xml:space="preserve">Open registration.</w:t>
      </w:r>
    </w:p>
    <w:p>
      <w:pPr>
        <w:pStyle w:val="Heading3"/>
        <w:spacing w:after="100" w:before="200"/>
      </w:pPr>
      <w:r>
        <w:t xml:space="preserve">Stage 2 — School registration</w:t>
      </w:r>
    </w:p>
    <w:p>
      <w:pPr>
        <w:pStyle w:val="ListParagraph"/>
        <w:numPr>
          <w:ilvl w:val="0"/>
          <w:numId w:val="2"/>
        </w:numPr>
        <w:spacing w:after="60"/>
      </w:pPr>
      <w:r>
        <w:t xml:space="preserve">School admin registers students into items — individually, by team/group, in bulk via Excel import, or via a bulk student-assignment screen.</w:t>
      </w:r>
    </w:p>
    <w:p>
      <w:pPr>
        <w:pStyle w:val="ListParagraph"/>
        <w:numPr>
          <w:ilvl w:val="0"/>
          <w:numId w:val="2"/>
        </w:numPr>
        <w:spacing w:after="60"/>
      </w:pPr>
      <w:r>
        <w:t xml:space="preserve">School uploads the event/item fee payment proof.</w:t>
      </w:r>
    </w:p>
    <w:p>
      <w:pPr>
        <w:pStyle w:val="ListParagraph"/>
        <w:numPr>
          <w:ilvl w:val="0"/>
          <w:numId w:val="2"/>
        </w:numPr>
        <w:spacing w:after="60"/>
      </w:pPr>
      <w:r>
        <w:t xml:space="preserve">School can request substitutions (swap a registered participant) or report a schedule clash.</w:t>
      </w:r>
    </w:p>
    <w:p>
      <w:pPr>
        <w:pStyle w:val="Heading3"/>
        <w:spacing w:after="100" w:before="200"/>
      </w:pPr>
      <w:r>
        <w:t xml:space="preserve">Stage 3 — Review &amp; approval (Sahodaya admin)</w:t>
      </w:r>
    </w:p>
    <w:p>
      <w:pPr>
        <w:pStyle w:val="ListParagraph"/>
        <w:numPr>
          <w:ilvl w:val="0"/>
          <w:numId w:val="2"/>
        </w:numPr>
        <w:spacing w:after="60"/>
      </w:pPr>
      <w:r>
        <w:t xml:space="preserve">Sahodaya reviews each registration — approve, reject, or bulk-approve/reject across many schools at once.</w:t>
      </w:r>
    </w:p>
    <w:p>
      <w:pPr>
        <w:pStyle w:val="ListParagraph"/>
        <w:numPr>
          <w:ilvl w:val="0"/>
          <w:numId w:val="2"/>
        </w:numPr>
        <w:spacing w:after="60"/>
      </w:pPr>
      <w:r>
        <w:t xml:space="preserve">Sahodaya verifies fee payment and (if enabled) marks each school's documents as verified for the event.</w:t>
      </w:r>
    </w:p>
    <w:p>
      <w:pPr>
        <w:pStyle w:val="ListParagraph"/>
        <w:numPr>
          <w:ilvl w:val="0"/>
          <w:numId w:val="2"/>
        </w:numPr>
        <w:spacing w:after="60"/>
      </w:pPr>
      <w:r>
        <w:t xml:space="preserve">Sahodaya reviews and resolves clash requests and substitution requests.</w:t>
      </w:r>
    </w:p>
    <w:p>
      <w:pPr>
        <w:pStyle w:val="Heading3"/>
        <w:spacing w:after="100" w:before="200"/>
      </w:pPr>
      <w:r>
        <w:t xml:space="preserve">Stage 4 — Pre-event operations</w:t>
      </w:r>
    </w:p>
    <w:p>
      <w:pPr>
        <w:pStyle w:val="ListParagraph"/>
        <w:numPr>
          <w:ilvl w:val="0"/>
          <w:numId w:val="2"/>
        </w:numPr>
        <w:spacing w:after="60"/>
      </w:pPr>
      <w:r>
        <w:t xml:space="preserve">Chest numbers are generated/assigned (either immediately on approval, or lazily revealed at stage entry, depending on the event's chest-reveal mode).</w:t>
      </w:r>
    </w:p>
    <w:p>
      <w:pPr>
        <w:pStyle w:val="ListParagraph"/>
        <w:numPr>
          <w:ilvl w:val="0"/>
          <w:numId w:val="2"/>
        </w:numPr>
        <w:spacing w:after="60"/>
      </w:pPr>
      <w:r>
        <w:t xml:space="preserve">ID cards (participant, volunteer, staff) are generated and printed — 4 cards per A4 sheet in the default template, including chest number where applicable.</w:t>
      </w:r>
    </w:p>
    <w:p>
      <w:pPr>
        <w:pStyle w:val="ListParagraph"/>
        <w:numPr>
          <w:ilvl w:val="0"/>
          <w:numId w:val="2"/>
        </w:numPr>
        <w:spacing w:after="60"/>
      </w:pPr>
      <w:r>
        <w:t xml:space="preserve">Schedule is built and published; schools see per-participant call times on a “Fest Day” screen.</w:t>
      </w:r>
    </w:p>
    <w:p>
      <w:pPr>
        <w:pStyle w:val="Heading3"/>
        <w:spacing w:after="100" w:before="200"/>
      </w:pPr>
      <w:r>
        <w:t xml:space="preserve">Stage 5 — Competition day</w:t>
      </w:r>
    </w:p>
    <w:p>
      <w:pPr>
        <w:pStyle w:val="ListParagraph"/>
        <w:numPr>
          <w:ilvl w:val="0"/>
          <w:numId w:val="2"/>
        </w:numPr>
        <w:spacing w:after="60"/>
      </w:pPr>
      <w:r>
        <w:t xml:space="preserve">Judges are assigned to items; marks are entered per item as competitions conclude.</w:t>
      </w:r>
    </w:p>
    <w:p>
      <w:pPr>
        <w:pStyle w:val="ListParagraph"/>
        <w:numPr>
          <w:ilvl w:val="0"/>
          <w:numId w:val="2"/>
        </w:numPr>
        <w:spacing w:after="60"/>
      </w:pPr>
      <w:r>
        <w:t xml:space="preserve">Chest numbers due for lazy reveal are revealed as participants reach the stage.</w:t>
      </w:r>
    </w:p>
    <w:p>
      <w:pPr>
        <w:pStyle w:val="Heading3"/>
        <w:spacing w:after="100" w:before="200"/>
      </w:pPr>
      <w:r>
        <w:t xml:space="preserve">Stage 6 — Results &amp; promotion</w:t>
      </w:r>
    </w:p>
    <w:p>
      <w:pPr>
        <w:pStyle w:val="ListParagraph"/>
        <w:numPr>
          <w:ilvl w:val="0"/>
          <w:numId w:val="2"/>
        </w:numPr>
        <w:spacing w:after="60"/>
      </w:pPr>
      <w:r>
        <w:t xml:space="preserve">Sahodaya publishes results — per item, or for the whole event at once.</w:t>
      </w:r>
    </w:p>
    <w:p>
      <w:pPr>
        <w:pStyle w:val="ListParagraph"/>
        <w:numPr>
          <w:ilvl w:val="0"/>
          <w:numId w:val="2"/>
        </w:numPr>
        <w:spacing w:after="60"/>
      </w:pPr>
      <w:r>
        <w:t xml:space="preserve">Publishing an item's results (or the whole event) triggers: school point recalculation, automatic certificate generation for winners and participants, a scoreboard push, and a results-published notification.</w:t>
      </w:r>
    </w:p>
    <w:p>
      <w:pPr>
        <w:pStyle w:val="ListParagraph"/>
        <w:numPr>
          <w:ilvl w:val="0"/>
          <w:numId w:val="2"/>
        </w:numPr>
        <w:spacing w:after="60"/>
      </w:pPr>
      <w:r>
        <w:t xml:space="preserve">Winners are promoted to the next round — school-level winners promote into the Sahodaya-level event, and Sahodaya-level winners can promote into a linked State-level event — either one item at a time or in bulk, with a configurable tie-break policy when scores are tied at the qualifying cutoff.</w:t>
      </w:r>
    </w:p>
    <w:p>
      <w:pPr>
        <w:pStyle w:val="Heading3"/>
        <w:spacing w:after="100" w:before="200"/>
      </w:pPr>
      <w:r>
        <w:t xml:space="preserve">Stage 7 — Post-event</w:t>
      </w:r>
    </w:p>
    <w:p>
      <w:pPr>
        <w:pStyle w:val="ListParagraph"/>
        <w:numPr>
          <w:ilvl w:val="0"/>
          <w:numId w:val="2"/>
        </w:numPr>
        <w:spacing w:after="60"/>
      </w:pPr>
      <w:r>
        <w:t xml:space="preserve">Certificates are downloadable per participant or as a bulk ZIP, each individually QR-verifiable.</w:t>
      </w:r>
    </w:p>
    <w:p>
      <w:pPr>
        <w:pStyle w:val="ListParagraph"/>
        <w:numPr>
          <w:ilvl w:val="0"/>
          <w:numId w:val="2"/>
        </w:numPr>
        <w:spacing w:after="60"/>
      </w:pPr>
      <w:r>
        <w:t xml:space="preserve">Public results, scoreboard, records, and certificate-verification pages remain available on the Sahodaya's public site.</w:t>
      </w:r>
    </w:p>
    <w:p>
      <w:pPr>
        <w:pStyle w:val="ListParagraph"/>
        <w:numPr>
          <w:ilvl w:val="0"/>
          <w:numId w:val="2"/>
        </w:numPr>
        <w:spacing w:after="60"/>
      </w:pPr>
      <w:r>
        <w:t xml:space="preserve">Appeals against results can be raised and reviewed.</w:t>
      </w:r>
    </w:p>
    <w:p>
      <w:pPr>
        <w:pStyle w:val="Heading1"/>
        <w:spacing w:after="160" w:before="360"/>
      </w:pPr>
      <w:r>
        <w:t xml:space="preserve">4. School Admin — User Flow</w:t>
      </w:r>
    </w:p>
    <w:p>
      <w:pPr>
        <w:spacing w:after="140"/>
      </w:pPr>
      <w:r>
        <w:t xml:space="preserve">Everything below is reached from the school's Kalotsavam workspace (the “kalotsav” program area of the School Admin portal).</w:t>
      </w:r>
    </w:p>
    <w:p>
      <w:pPr>
        <w:pStyle w:val="Heading2"/>
        <w:spacing w:after="120" w:before="280"/>
      </w:pPr>
      <w:r>
        <w:t xml:space="preserve">4.1 Registering students</w:t>
      </w:r>
    </w:p>
    <w:p>
      <w:pPr>
        <w:pStyle w:val="ListParagraph"/>
        <w:numPr>
          <w:ilvl w:val="0"/>
          <w:numId w:val="2"/>
        </w:numPr>
        <w:spacing w:after="60"/>
      </w:pPr>
      <w:r>
        <w:t xml:space="preserve">Event overview page — shows the event window, region (if applicable), verification status, and links into every other screen.</w:t>
      </w:r>
    </w:p>
    <w:p>
      <w:pPr>
        <w:pStyle w:val="ListParagraph"/>
        <w:numPr>
          <w:ilvl w:val="0"/>
          <w:numId w:val="2"/>
        </w:numPr>
        <w:spacing w:after="60"/>
      </w:pPr>
      <w:r>
        <w:t xml:space="preserve">Registration page — the main screen for entering students into items: choose an item, add an individual student, or build a team/group (team name, coach/manager, squad members), plus up to 2 standby participants per entry.</w:t>
      </w:r>
    </w:p>
    <w:p>
      <w:pPr>
        <w:pStyle w:val="ListParagraph"/>
        <w:numPr>
          <w:ilvl w:val="0"/>
          <w:numId w:val="2"/>
        </w:numPr>
        <w:spacing w:after="60"/>
      </w:pPr>
      <w:r>
        <w:t xml:space="preserve">Bulk student assignment — a faster path for assigning many students across items at once.</w:t>
      </w:r>
    </w:p>
    <w:p>
      <w:pPr>
        <w:pStyle w:val="ListParagraph"/>
        <w:numPr>
          <w:ilvl w:val="0"/>
          <w:numId w:val="2"/>
        </w:numPr>
        <w:spacing w:after="60"/>
      </w:pPr>
      <w:r>
        <w:t xml:space="preserve">Excel/CSV import — download a template, fill it offline, upload to bulk-create registrations.</w:t>
      </w:r>
    </w:p>
    <w:p>
      <w:pPr>
        <w:pStyle w:val="ListParagraph"/>
        <w:numPr>
          <w:ilvl w:val="0"/>
          <w:numId w:val="2"/>
        </w:numPr>
        <w:spacing w:after="60"/>
      </w:pPr>
      <w:r>
        <w:t xml:space="preserve">Edit / withdraw — a school can edit a roster in place (re-submits for review if it was already approved) or withdraw an entry entirely, while withdrawal/edit is still allowed.</w:t>
      </w:r>
    </w:p>
    <w:p>
      <w:pPr>
        <w:pStyle w:val="Heading2"/>
        <w:spacing w:after="120" w:before="280"/>
      </w:pPr>
      <w:r>
        <w:t xml:space="preserve">4.2 Region selection (Kalotsavam-only, when enabled)</w:t>
      </w:r>
    </w:p>
    <w:p>
      <w:pPr>
        <w:spacing w:after="140"/>
      </w:pPr>
      <w:r>
        <w:t xml:space="preserve">If the Sahodaya has set up Regions for zone-level rounds, the school picks (or is assigned) its region as part of Annual Registration, and the Kalotsavam registration page shows that region read-only with a link back to where it's set. If the Sahodaya hasn't created any regions, this entire step is invisible and irrelevant — it's opt-in per Sahodaya.</w:t>
      </w:r>
    </w:p>
    <w:p>
      <w:pPr>
        <w:pStyle w:val="Heading2"/>
        <w:spacing w:after="120" w:before="280"/>
      </w:pPr>
      <w:r>
        <w:t xml:space="preserve">4.3 Fees</w:t>
      </w:r>
    </w:p>
    <w:p>
      <w:pPr>
        <w:pStyle w:val="ListParagraph"/>
        <w:numPr>
          <w:ilvl w:val="0"/>
          <w:numId w:val="2"/>
        </w:numPr>
        <w:spacing w:after="60"/>
      </w:pPr>
      <w:r>
        <w:t xml:space="preserve">The registration/overview page shows what's owed (event-level fee, per-item fee, or a combined model, depending on how the Sahodaya has configured fees for this event).</w:t>
      </w:r>
    </w:p>
    <w:p>
      <w:pPr>
        <w:pStyle w:val="ListParagraph"/>
        <w:numPr>
          <w:ilvl w:val="0"/>
          <w:numId w:val="2"/>
        </w:numPr>
        <w:spacing w:after="60"/>
      </w:pPr>
      <w:r>
        <w:t xml:space="preserve">School uploads payment proof; a receipt/invoice PDF is available once approved.</w:t>
      </w:r>
    </w:p>
    <w:p>
      <w:pPr>
        <w:pStyle w:val="Heading2"/>
        <w:spacing w:after="120" w:before="280"/>
      </w:pPr>
      <w:r>
        <w:t xml:space="preserve">4.4 Clashes &amp; substitutions</w:t>
      </w:r>
    </w:p>
    <w:p>
      <w:pPr>
        <w:pStyle w:val="ListParagraph"/>
        <w:numPr>
          <w:ilvl w:val="0"/>
          <w:numId w:val="2"/>
        </w:numPr>
        <w:spacing w:after="60"/>
      </w:pPr>
      <w:r>
        <w:t xml:space="preserve">Clash requests — if a participant is double-booked in overlapping schedule slots, the school flags the two conflicting slots for Sahodaya review.</w:t>
      </w:r>
    </w:p>
    <w:p>
      <w:pPr>
        <w:pStyle w:val="ListParagraph"/>
        <w:numPr>
          <w:ilvl w:val="0"/>
          <w:numId w:val="2"/>
        </w:numPr>
        <w:spacing w:after="60"/>
      </w:pPr>
      <w:r>
        <w:t xml:space="preserve">Substitution requests — request swapping a registered participant for another eligible student.</w:t>
      </w:r>
    </w:p>
    <w:p>
      <w:pPr>
        <w:pStyle w:val="Heading2"/>
        <w:spacing w:after="120" w:before="280"/>
      </w:pPr>
      <w:r>
        <w:t xml:space="preserve">4.5 Competition day</w:t>
      </w:r>
    </w:p>
    <w:p>
      <w:pPr>
        <w:pStyle w:val="ListParagraph"/>
        <w:numPr>
          <w:ilvl w:val="0"/>
          <w:numId w:val="2"/>
        </w:numPr>
        <w:spacing w:after="60"/>
      </w:pPr>
      <w:r>
        <w:t xml:space="preserve">Fest Day screen — shows each approved participant's chest number, item, and schedule/stage call status.</w:t>
      </w:r>
    </w:p>
    <w:p>
      <w:pPr>
        <w:pStyle w:val="Heading2"/>
        <w:spacing w:after="120" w:before="280"/>
      </w:pPr>
      <w:r>
        <w:t xml:space="preserve">4.6 ID cards &amp; reports</w:t>
      </w:r>
    </w:p>
    <w:p>
      <w:pPr>
        <w:spacing w:after="140"/>
      </w:pPr>
      <w:r>
        <w:t xml:space="preserve">The school has a large reports hub covering: participation summary, student-wise and teacher-wise entries, item-wise and item-head-wise breakdowns, admit cards / ID cards (including bulk “all heads” PDF), registration register, fee summary, discipline participation, numbering register, pending approvals, schedule clashes, item schedule, mark-entry status, results summary and published results, attendance and attendance sheets, and group rosters.</w:t>
      </w:r>
    </w:p>
    <w:p>
      <w:pPr>
        <w:pStyle w:val="Heading1"/>
        <w:spacing w:after="160" w:before="360"/>
      </w:pPr>
      <w:r>
        <w:t xml:space="preserve">5. Sahodaya Admin — User Flow</w:t>
      </w:r>
    </w:p>
    <w:p>
      <w:pPr>
        <w:pStyle w:val="Heading2"/>
        <w:spacing w:after="120" w:before="280"/>
      </w:pPr>
      <w:r>
        <w:t xml:space="preserve">5.1 Event setup</w:t>
      </w:r>
    </w:p>
    <w:p>
      <w:pPr>
        <w:pStyle w:val="ListParagraph"/>
        <w:numPr>
          <w:ilvl w:val="0"/>
          <w:numId w:val="2"/>
        </w:numPr>
        <w:spacing w:after="60"/>
      </w:pPr>
      <w:r>
        <w:t xml:space="preserve">Create and configure the event (dates, conduct level, chest-reveal mode, class-group scheme, lifecycle/settings tabs).</w:t>
      </w:r>
    </w:p>
    <w:p>
      <w:pPr>
        <w:pStyle w:val="ListParagraph"/>
        <w:numPr>
          <w:ilvl w:val="0"/>
          <w:numId w:val="2"/>
        </w:numPr>
        <w:spacing w:after="60"/>
      </w:pPr>
      <w:r>
        <w:t xml:space="preserve">Build and maintain the item catalog and item heads.</w:t>
      </w:r>
    </w:p>
    <w:p>
      <w:pPr>
        <w:pStyle w:val="ListParagraph"/>
        <w:numPr>
          <w:ilvl w:val="0"/>
          <w:numId w:val="2"/>
        </w:numPr>
        <w:spacing w:after="60"/>
      </w:pPr>
      <w:r>
        <w:t xml:space="preserve">If running zonal rounds: create Regions, then sync region partitions — this automatically creates a linked sub-event per region and reassigns every school with a region on file into its region's sub-event.</w:t>
      </w:r>
    </w:p>
    <w:p>
      <w:pPr>
        <w:pStyle w:val="Heading2"/>
        <w:spacing w:after="120" w:before="280"/>
      </w:pPr>
      <w:r>
        <w:t xml:space="preserve">5.2 Registrations</w:t>
      </w:r>
    </w:p>
    <w:p>
      <w:pPr>
        <w:pStyle w:val="ListParagraph"/>
        <w:numPr>
          <w:ilvl w:val="0"/>
          <w:numId w:val="2"/>
        </w:numPr>
        <w:spacing w:after="60"/>
      </w:pPr>
      <w:r>
        <w:t xml:space="preserve">Review all registrations across schools with head/item filters and search; a region column appears automatically for Kalotsavam when regions are in use.</w:t>
      </w:r>
    </w:p>
    <w:p>
      <w:pPr>
        <w:pStyle w:val="ListParagraph"/>
        <w:numPr>
          <w:ilvl w:val="0"/>
          <w:numId w:val="2"/>
        </w:numPr>
        <w:spacing w:after="60"/>
      </w:pPr>
      <w:r>
        <w:t xml:space="preserve">Register a school directly on its behalf (with an optional auto-approve).</w:t>
      </w:r>
    </w:p>
    <w:p>
      <w:pPr>
        <w:pStyle w:val="ListParagraph"/>
        <w:numPr>
          <w:ilvl w:val="0"/>
          <w:numId w:val="2"/>
        </w:numPr>
        <w:spacing w:after="60"/>
      </w:pPr>
      <w:r>
        <w:t xml:space="preserve">Approve, reject, cancel, or substitute individual registrations — approval checks that required fees are cleared and any mandatory items are satisfied.</w:t>
      </w:r>
    </w:p>
    <w:p>
      <w:pPr>
        <w:pStyle w:val="ListParagraph"/>
        <w:numPr>
          <w:ilvl w:val="0"/>
          <w:numId w:val="2"/>
        </w:numPr>
        <w:spacing w:after="60"/>
      </w:pPr>
      <w:r>
        <w:t xml:space="preserve">Bulk-approve or bulk-reject across many registrations at once.</w:t>
      </w:r>
    </w:p>
    <w:p>
      <w:pPr>
        <w:pStyle w:val="ListParagraph"/>
        <w:numPr>
          <w:ilvl w:val="0"/>
          <w:numId w:val="2"/>
        </w:numPr>
        <w:spacing w:after="60"/>
      </w:pPr>
      <w:r>
        <w:t xml:space="preserve">Cluster-wide Excel import for registrations spanning multiple schools at once.</w:t>
      </w:r>
    </w:p>
    <w:p>
      <w:pPr>
        <w:pStyle w:val="Heading2"/>
        <w:spacing w:after="120" w:before="280"/>
      </w:pPr>
      <w:r>
        <w:t xml:space="preserve">5.3 Verification, clashes, substitutions, payments</w:t>
      </w:r>
    </w:p>
    <w:p>
      <w:pPr>
        <w:pStyle w:val="ListParagraph"/>
        <w:numPr>
          <w:ilvl w:val="0"/>
          <w:numId w:val="2"/>
        </w:numPr>
        <w:spacing w:after="60"/>
      </w:pPr>
      <w:r>
        <w:t xml:space="preserve">Mark each school's documents as verified for the event (if document verification is enabled).</w:t>
      </w:r>
    </w:p>
    <w:p>
      <w:pPr>
        <w:pStyle w:val="ListParagraph"/>
        <w:numPr>
          <w:ilvl w:val="0"/>
          <w:numId w:val="2"/>
        </w:numPr>
        <w:spacing w:after="60"/>
      </w:pPr>
      <w:r>
        <w:t xml:space="preserve">Review and approve/reject clash requests and substitution requests raised by schools.</w:t>
      </w:r>
    </w:p>
    <w:p>
      <w:pPr>
        <w:pStyle w:val="ListParagraph"/>
        <w:numPr>
          <w:ilvl w:val="0"/>
          <w:numId w:val="2"/>
        </w:numPr>
        <w:spacing w:after="60"/>
      </w:pPr>
      <w:r>
        <w:t xml:space="preserve">Review and approve/reject fee payments — either per event or through a single cross-event payments queue filtered by status and program.</w:t>
      </w:r>
    </w:p>
    <w:p>
      <w:pPr>
        <w:pStyle w:val="Heading2"/>
        <w:spacing w:after="120" w:before="280"/>
      </w:pPr>
      <w:r>
        <w:t xml:space="preserve">5.4 Chest numbers &amp; ID cards</w:t>
      </w:r>
    </w:p>
    <w:p>
      <w:pPr>
        <w:pStyle w:val="ListParagraph"/>
        <w:numPr>
          <w:ilvl w:val="0"/>
          <w:numId w:val="2"/>
        </w:numPr>
        <w:spacing w:after="60"/>
      </w:pPr>
      <w:r>
        <w:t xml:space="preserve">Generate or bulk-assign chest numbers, assign item registration IDs, clear/reset a chest number, and reveal chest numbers (immediately, or at stage entry for events using lazy reveal) — revealing notifies the school.</w:t>
      </w:r>
    </w:p>
    <w:p>
      <w:pPr>
        <w:pStyle w:val="ListParagraph"/>
        <w:numPr>
          <w:ilvl w:val="0"/>
          <w:numId w:val="2"/>
        </w:numPr>
        <w:spacing w:after="60"/>
      </w:pPr>
      <w:r>
        <w:t xml:space="preserve">Generate ID cards for students, volunteers, or staff — per item, per item-head, or one card per participant across the whole event; individual or team layout; live preview, single-scope PDF, or bulk PDF across all items/heads.</w:t>
      </w:r>
    </w:p>
    <w:p>
      <w:pPr>
        <w:pStyle w:val="Heading2"/>
        <w:spacing w:after="120" w:before="280"/>
      </w:pPr>
      <w:r>
        <w:t xml:space="preserve">5.5 Scheduling &amp; judging</w:t>
      </w:r>
    </w:p>
    <w:p>
      <w:pPr>
        <w:pStyle w:val="ListParagraph"/>
        <w:numPr>
          <w:ilvl w:val="0"/>
          <w:numId w:val="2"/>
        </w:numPr>
        <w:spacing w:after="60"/>
      </w:pPr>
      <w:r>
        <w:t xml:space="preserve">Build and publish the competition schedule.</w:t>
      </w:r>
    </w:p>
    <w:p>
      <w:pPr>
        <w:pStyle w:val="ListParagraph"/>
        <w:numPr>
          <w:ilvl w:val="0"/>
          <w:numId w:val="2"/>
        </w:numPr>
        <w:spacing w:after="60"/>
      </w:pPr>
      <w:r>
        <w:t xml:space="preserve">Assign judges to items and enter marks per item as competitions conclude.</w:t>
      </w:r>
    </w:p>
    <w:p>
      <w:pPr>
        <w:pStyle w:val="Heading2"/>
        <w:spacing w:after="120" w:before="280"/>
      </w:pPr>
      <w:r>
        <w:t xml:space="preserve">5.6 Results &amp; promotion</w:t>
      </w:r>
    </w:p>
    <w:p>
      <w:pPr>
        <w:pStyle w:val="ListParagraph"/>
        <w:numPr>
          <w:ilvl w:val="0"/>
          <w:numId w:val="2"/>
        </w:numPr>
        <w:spacing w:after="60"/>
      </w:pPr>
      <w:r>
        <w:t xml:space="preserve">Publish results per item or for the whole event; publishing the whole event recalculates school points, auto-generates certificates, pushes the scoreboard, and notifies schools. Results can also be unpublished (reverts the event to “ongoing”).</w:t>
      </w:r>
    </w:p>
    <w:p>
      <w:pPr>
        <w:pStyle w:val="ListParagraph"/>
        <w:numPr>
          <w:ilvl w:val="0"/>
          <w:numId w:val="2"/>
        </w:numPr>
        <w:spacing w:after="60"/>
      </w:pPr>
      <w:r>
        <w:t xml:space="preserve">Promote winners to the next round — per item or in bulk across every published school-level round — with tie-break handling (strict cutoff, include-all-ties, exclude-ties, seeded lot draw, or manual resolution for genuinely tied cases) and the ability to revoke a promotion.</w:t>
      </w:r>
    </w:p>
    <w:p>
      <w:pPr>
        <w:pStyle w:val="Heading2"/>
        <w:spacing w:after="120" w:before="280"/>
      </w:pPr>
      <w:r>
        <w:t xml:space="preserve">5.7 Certificates, finance, appeals</w:t>
      </w:r>
    </w:p>
    <w:p>
      <w:pPr>
        <w:pStyle w:val="ListParagraph"/>
        <w:numPr>
          <w:ilvl w:val="0"/>
          <w:numId w:val="2"/>
        </w:numPr>
        <w:spacing w:after="60"/>
      </w:pPr>
      <w:r>
        <w:t xml:space="preserve">View/generate certificates, download a bulk ZIP.</w:t>
      </w:r>
    </w:p>
    <w:p>
      <w:pPr>
        <w:pStyle w:val="ListParagraph"/>
        <w:numPr>
          <w:ilvl w:val="0"/>
          <w:numId w:val="2"/>
        </w:numPr>
        <w:spacing w:after="60"/>
      </w:pPr>
      <w:r>
        <w:t xml:space="preserve">Finance rollups for the event.</w:t>
      </w:r>
    </w:p>
    <w:p>
      <w:pPr>
        <w:pStyle w:val="ListParagraph"/>
        <w:numPr>
          <w:ilvl w:val="0"/>
          <w:numId w:val="2"/>
        </w:numPr>
        <w:spacing w:after="60"/>
      </w:pPr>
      <w:r>
        <w:t xml:space="preserve">Review and resolve post-results appeals.</w:t>
      </w:r>
    </w:p>
    <w:p>
      <w:pPr>
        <w:pStyle w:val="Heading1"/>
        <w:spacing w:after="160" w:before="360"/>
      </w:pPr>
      <w:r>
        <w:t xml:space="preserve">6. Regions &amp; Zonal Rounds (Kalotsavam-only feature)</w:t>
      </w:r>
    </w:p>
    <w:p>
      <w:pPr>
        <w:spacing w:after="140"/>
      </w:pPr>
      <w:r>
        <w:t xml:space="preserve">This is opt-in: it only applies once a Sahodaya has created at least one active Region, and it only ever affects Kalotsavam — sports and other fest types ignore it entirely.</w:t>
      </w:r>
    </w:p>
    <w:p>
      <w:pPr>
        <w:pStyle w:val="ListParagraph"/>
        <w:numPr>
          <w:ilvl w:val="0"/>
          <w:numId w:val="2"/>
        </w:numPr>
        <w:spacing w:after="60"/>
      </w:pPr>
      <w:r>
        <w:t xml:space="preserve">A school picks (or is assigned) one Region per academic year as part of its annual Sahodaya membership registration.</w:t>
      </w:r>
    </w:p>
    <w:p>
      <w:pPr>
        <w:pStyle w:val="ListParagraph"/>
        <w:numPr>
          <w:ilvl w:val="0"/>
          <w:numId w:val="2"/>
        </w:numPr>
        <w:spacing w:after="60"/>
      </w:pPr>
      <w:r>
        <w:t xml:space="preserve">When the Sahodaya syncs region partitions on a Kalotsavam event, the platform creates one linked sub-event per active region and moves every school with a region on file into its region's sub-event, switching the main event into “partitioned” mode.</w:t>
      </w:r>
    </w:p>
    <w:p>
      <w:pPr>
        <w:pStyle w:val="ListParagraph"/>
        <w:numPr>
          <w:ilvl w:val="0"/>
          <w:numId w:val="2"/>
        </w:numPr>
        <w:spacing w:after="60"/>
      </w:pPr>
      <w:r>
        <w:t xml:space="preserve">Zone-level results then feed into the Sahodaya-level round through the same promotion mechanism used for any level (see Section 7), and Sahodaya-level results can, in turn, feed a linked State-level event.</w:t>
      </w:r>
    </w:p>
    <w:p>
      <w:pPr>
        <w:pStyle w:val="Heading1"/>
        <w:spacing w:after="160" w:before="360"/>
      </w:pPr>
      <w:r>
        <w:t xml:space="preserve">7. Qualification &amp; Promotion Between Levels</w:t>
      </w:r>
    </w:p>
    <w:p>
      <w:pPr>
        <w:spacing w:after="140"/>
      </w:pPr>
      <w:r>
        <w:t xml:space="preserve">Winners move up through levels — School → Sahodaya → State — using the same promotion mechanism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3D7A" w:val="clear"/>
            <w:tcMar>
              <w:top w:type="dxa" w:w="60"/>
              <w:left w:type="dxa" w:w="100"/>
              <w:bottom w:type="dxa" w:w="60"/>
              <w:right w:type="dxa" w:w="100"/>
            </w:tcMar>
          </w:tcPr>
          <w:p>
            <w:r>
              <w:rPr>
                <w:b/>
                <w:bCs/>
                <w:color w:val="FFFFFF"/>
                <w:sz w:val="19"/>
                <w:szCs w:val="19"/>
              </w:rPr>
              <w:t xml:space="preserve">Tie-break mode</w:t>
            </w:r>
          </w:p>
        </w:tc>
        <w:tc>
          <w:tcPr>
            <w:tcW w:type="dxa" w:w="6760"/>
            <w:shd w:fill="0F3D7A" w:val="clear"/>
            <w:tcMar>
              <w:top w:type="dxa" w:w="60"/>
              <w:left w:type="dxa" w:w="100"/>
              <w:bottom w:type="dxa" w:w="60"/>
              <w:right w:type="dxa" w:w="100"/>
            </w:tcMar>
          </w:tcPr>
          <w:p>
            <w:r>
              <w:rPr>
                <w:b/>
                <w:bCs/>
                <w:color w:val="FFFFFF"/>
                <w:sz w:val="19"/>
                <w:szCs w:val="19"/>
              </w:rPr>
              <w:t xml:space="preserve">Behavior</w:t>
            </w:r>
          </w:p>
        </w:tc>
      </w:tr>
      <w:tr>
        <w:tc>
          <w:tcPr>
            <w:tcW w:type="dxa" w:w="2600"/>
            <w:tcMar>
              <w:top w:type="dxa" w:w="60"/>
              <w:left w:type="dxa" w:w="100"/>
              <w:bottom w:type="dxa" w:w="60"/>
              <w:right w:type="dxa" w:w="100"/>
            </w:tcMar>
          </w:tcPr>
          <w:p>
            <w:r>
              <w:rPr>
                <w:b w:val="false"/>
                <w:bCs w:val="false"/>
                <w:color w:val="1F2937"/>
                <w:sz w:val="19"/>
                <w:szCs w:val="19"/>
              </w:rPr>
              <w:t xml:space="preserve">None (default)</w:t>
            </w:r>
          </w:p>
        </w:tc>
        <w:tc>
          <w:tcPr>
            <w:tcW w:type="dxa" w:w="6760"/>
            <w:tcMar>
              <w:top w:type="dxa" w:w="60"/>
              <w:left w:type="dxa" w:w="100"/>
              <w:bottom w:type="dxa" w:w="60"/>
              <w:right w:type="dxa" w:w="100"/>
            </w:tcMar>
          </w:tcPr>
          <w:p>
            <w:r>
              <w:rPr>
                <w:b w:val="false"/>
                <w:bCs w:val="false"/>
                <w:color w:val="1F2937"/>
                <w:sz w:val="19"/>
                <w:szCs w:val="19"/>
              </w:rPr>
              <w:t xml:space="preserve">Strict cutoff — exactly the item's configured qualifying count promotes, by position.</w:t>
            </w:r>
          </w:p>
        </w:tc>
      </w:tr>
      <w:tr>
        <w:tc>
          <w:tcPr>
            <w:tcW w:type="dxa" w:w="2600"/>
            <w:tcMar>
              <w:top w:type="dxa" w:w="60"/>
              <w:left w:type="dxa" w:w="100"/>
              <w:bottom w:type="dxa" w:w="60"/>
              <w:right w:type="dxa" w:w="100"/>
            </w:tcMar>
          </w:tcPr>
          <w:p>
            <w:r>
              <w:rPr>
                <w:b w:val="false"/>
                <w:bCs w:val="false"/>
                <w:color w:val="1F2937"/>
                <w:sz w:val="19"/>
                <w:szCs w:val="19"/>
              </w:rPr>
              <w:t xml:space="preserve">Include all ties</w:t>
            </w:r>
          </w:p>
        </w:tc>
        <w:tc>
          <w:tcPr>
            <w:tcW w:type="dxa" w:w="6760"/>
            <w:tcMar>
              <w:top w:type="dxa" w:w="60"/>
              <w:left w:type="dxa" w:w="100"/>
              <w:bottom w:type="dxa" w:w="60"/>
              <w:right w:type="dxa" w:w="100"/>
            </w:tcMar>
          </w:tcPr>
          <w:p>
            <w:r>
              <w:rPr>
                <w:b w:val="false"/>
                <w:bCs w:val="false"/>
                <w:color w:val="1F2937"/>
                <w:sz w:val="19"/>
                <w:szCs w:val="19"/>
              </w:rPr>
              <w:t xml:space="preserve">Everyone tied at the qualifying rank promotes, even if that pushes the count above the configured limit.</w:t>
            </w:r>
          </w:p>
        </w:tc>
      </w:tr>
      <w:tr>
        <w:tc>
          <w:tcPr>
            <w:tcW w:type="dxa" w:w="2600"/>
            <w:tcMar>
              <w:top w:type="dxa" w:w="60"/>
              <w:left w:type="dxa" w:w="100"/>
              <w:bottom w:type="dxa" w:w="60"/>
              <w:right w:type="dxa" w:w="100"/>
            </w:tcMar>
          </w:tcPr>
          <w:p>
            <w:r>
              <w:rPr>
                <w:b w:val="false"/>
                <w:bCs w:val="false"/>
                <w:color w:val="1F2937"/>
                <w:sz w:val="19"/>
                <w:szCs w:val="19"/>
              </w:rPr>
              <w:t xml:space="preserve">Exclude ties</w:t>
            </w:r>
          </w:p>
        </w:tc>
        <w:tc>
          <w:tcPr>
            <w:tcW w:type="dxa" w:w="6760"/>
            <w:tcMar>
              <w:top w:type="dxa" w:w="60"/>
              <w:left w:type="dxa" w:w="100"/>
              <w:bottom w:type="dxa" w:w="60"/>
              <w:right w:type="dxa" w:w="100"/>
            </w:tcMar>
          </w:tcPr>
          <w:p>
            <w:r>
              <w:rPr>
                <w:b w:val="false"/>
                <w:bCs w:val="false"/>
                <w:color w:val="1F2937"/>
                <w:sz w:val="19"/>
                <w:szCs w:val="19"/>
              </w:rPr>
              <w:t xml:space="preserve">A contested rank is skipped entirely rather than overfilling the quota.</w:t>
            </w:r>
          </w:p>
        </w:tc>
      </w:tr>
      <w:tr>
        <w:tc>
          <w:tcPr>
            <w:tcW w:type="dxa" w:w="2600"/>
            <w:tcMar>
              <w:top w:type="dxa" w:w="60"/>
              <w:left w:type="dxa" w:w="100"/>
              <w:bottom w:type="dxa" w:w="60"/>
              <w:right w:type="dxa" w:w="100"/>
            </w:tcMar>
          </w:tcPr>
          <w:p>
            <w:r>
              <w:rPr>
                <w:b w:val="false"/>
                <w:bCs w:val="false"/>
                <w:color w:val="1F2937"/>
                <w:sz w:val="19"/>
                <w:szCs w:val="19"/>
              </w:rPr>
              <w:t xml:space="preserve">Lot draw</w:t>
            </w:r>
          </w:p>
        </w:tc>
        <w:tc>
          <w:tcPr>
            <w:tcW w:type="dxa" w:w="6760"/>
            <w:tcMar>
              <w:top w:type="dxa" w:w="60"/>
              <w:left w:type="dxa" w:w="100"/>
              <w:bottom w:type="dxa" w:w="60"/>
              <w:right w:type="dxa" w:w="100"/>
            </w:tcMar>
          </w:tcPr>
          <w:p>
            <w:r>
              <w:rPr>
                <w:b w:val="false"/>
                <w:bCs w:val="false"/>
                <w:color w:val="1F2937"/>
                <w:sz w:val="19"/>
                <w:szCs w:val="19"/>
              </w:rPr>
              <w:t xml:space="preserve">Clear-cut slots fill first; a seeded random draw fills any remaining contested slots, and the draw is recorded for audit.</w:t>
            </w:r>
          </w:p>
        </w:tc>
      </w:tr>
      <w:tr>
        <w:tc>
          <w:tcPr>
            <w:tcW w:type="dxa" w:w="2600"/>
            <w:tcMar>
              <w:top w:type="dxa" w:w="60"/>
              <w:left w:type="dxa" w:w="100"/>
              <w:bottom w:type="dxa" w:w="60"/>
              <w:right w:type="dxa" w:w="100"/>
            </w:tcMar>
          </w:tcPr>
          <w:p>
            <w:r>
              <w:rPr>
                <w:b w:val="false"/>
                <w:bCs w:val="false"/>
                <w:color w:val="1F2937"/>
                <w:sz w:val="19"/>
                <w:szCs w:val="19"/>
              </w:rPr>
              <w:t xml:space="preserve">Manual</w:t>
            </w:r>
          </w:p>
        </w:tc>
        <w:tc>
          <w:tcPr>
            <w:tcW w:type="dxa" w:w="6760"/>
            <w:tcMar>
              <w:top w:type="dxa" w:w="60"/>
              <w:left w:type="dxa" w:w="100"/>
              <w:bottom w:type="dxa" w:w="60"/>
              <w:right w:type="dxa" w:w="100"/>
            </w:tcMar>
          </w:tcPr>
          <w:p>
            <w:r>
              <w:rPr>
                <w:b w:val="false"/>
                <w:bCs w:val="false"/>
                <w:color w:val="1F2937"/>
                <w:sz w:val="19"/>
                <w:szCs w:val="19"/>
              </w:rPr>
              <w:t xml:space="preserve">Promotion is blocked until a Sahodaya admin manually resolves the tie.</w:t>
            </w:r>
          </w:p>
        </w:tc>
      </w:tr>
    </w:tbl>
    <w:p>
      <w:pPr>
        <w:pBdr>
          <w:left w:val="single" w:color="0F3D7A" w:sz="18" w:space="8"/>
        </w:pBdr>
        <w:shd w:fill="EEF2F7" w:val="clear"/>
        <w:spacing w:after="160" w:before="80"/>
      </w:pPr>
      <w:r>
        <w:rPr>
          <w:i/>
          <w:iCs/>
          <w:color w:val="475569"/>
          <w:sz w:val="20"/>
          <w:szCs w:val="20"/>
        </w:rPr>
        <w:t xml:space="preserve">Promotion can be run item-by-item or in one bulk action across every published school-level round under a Sahodaya/State parent, and any individual promotion can be revoked if it was made in error.</w:t>
      </w:r>
    </w:p>
    <w:p>
      <w:pPr>
        <w:pStyle w:val="Heading1"/>
        <w:spacing w:after="160" w:before="360"/>
      </w:pPr>
      <w:r>
        <w:t xml:space="preserve">8. Fees &amp; Payments</w:t>
      </w:r>
    </w:p>
    <w:p>
      <w:pPr>
        <w:pStyle w:val="ListParagraph"/>
        <w:numPr>
          <w:ilvl w:val="0"/>
          <w:numId w:val="2"/>
        </w:numPr>
        <w:spacing w:after="60"/>
      </w:pPr>
      <w:r>
        <w:t xml:space="preserve">Fee model is configurable per event: no fee, a flat fee per item, a fee driven by the item catalog, or a combined/composite model.</w:t>
      </w:r>
    </w:p>
    <w:p>
      <w:pPr>
        <w:pStyle w:val="ListParagraph"/>
        <w:numPr>
          <w:ilvl w:val="0"/>
          <w:numId w:val="2"/>
        </w:numPr>
        <w:spacing w:after="60"/>
      </w:pPr>
      <w:r>
        <w:t xml:space="preserve">Team/group items are billed once per entry, not once per team member.</w:t>
      </w:r>
    </w:p>
    <w:p>
      <w:pPr>
        <w:pStyle w:val="ListParagraph"/>
        <w:numPr>
          <w:ilvl w:val="0"/>
          <w:numId w:val="2"/>
        </w:numPr>
        <w:spacing w:after="60"/>
      </w:pPr>
      <w:r>
        <w:t xml:space="preserve">Schools upload payment proof; Sahodaya approves or rejects it, with a receipt/invoice available afterward.</w:t>
      </w:r>
    </w:p>
    <w:p>
      <w:pPr>
        <w:pStyle w:val="ListParagraph"/>
        <w:numPr>
          <w:ilvl w:val="0"/>
          <w:numId w:val="2"/>
        </w:numPr>
        <w:spacing w:after="60"/>
      </w:pPr>
      <w:r>
        <w:t xml:space="preserve">If configured, fee clearance is required before a registration can be approved.</w:t>
      </w:r>
    </w:p>
    <w:p>
      <w:pPr>
        <w:pStyle w:val="Heading1"/>
        <w:spacing w:after="160" w:before="360"/>
      </w:pPr>
      <w:r>
        <w:t xml:space="preserve">9. Chest Numbers &amp; ID Cards</w:t>
      </w:r>
    </w:p>
    <w:p>
      <w:pPr>
        <w:pStyle w:val="Heading2"/>
        <w:spacing w:after="120" w:before="280"/>
      </w:pPr>
      <w:r>
        <w:t xml:space="preserve">9.1 Chest numbers</w:t>
      </w:r>
    </w:p>
    <w:p>
      <w:pPr>
        <w:pStyle w:val="ListParagraph"/>
        <w:numPr>
          <w:ilvl w:val="0"/>
          <w:numId w:val="2"/>
        </w:numPr>
        <w:spacing w:after="60"/>
      </w:pPr>
      <w:r>
        <w:t xml:space="preserve">Reveal mode is set per event: immediate (visible as soon as assigned) or stage-entry (hidden until the participant is called to the stage, then revealed — which can also happen in bulk for an entire scheduled slot).</w:t>
      </w:r>
    </w:p>
    <w:p>
      <w:pPr>
        <w:pStyle w:val="ListParagraph"/>
        <w:numPr>
          <w:ilvl w:val="0"/>
          <w:numId w:val="2"/>
        </w:numPr>
        <w:spacing w:after="60"/>
      </w:pPr>
      <w:r>
        <w:t xml:space="preserve">Off-stage items show a registration number instead of a chest number.</w:t>
      </w:r>
    </w:p>
    <w:p>
      <w:pPr>
        <w:pStyle w:val="ListParagraph"/>
        <w:numPr>
          <w:ilvl w:val="0"/>
          <w:numId w:val="2"/>
        </w:numPr>
        <w:spacing w:after="60"/>
      </w:pPr>
      <w:r>
        <w:t xml:space="preserve">Numbers can be cleared/reset within a numbering scope (event-wide, or per item-head).</w:t>
      </w:r>
    </w:p>
    <w:p>
      <w:pPr>
        <w:pStyle w:val="Heading2"/>
        <w:spacing w:after="120" w:before="280"/>
      </w:pPr>
      <w:r>
        <w:t xml:space="preserve">9.2 ID cards</w:t>
      </w:r>
    </w:p>
    <w:p>
      <w:pPr>
        <w:pStyle w:val="ListParagraph"/>
        <w:numPr>
          <w:ilvl w:val="0"/>
          <w:numId w:val="2"/>
        </w:numPr>
        <w:spacing w:after="60"/>
      </w:pPr>
      <w:r>
        <w:t xml:space="preserve">Three audiences: student/participant, volunteer, staff.</w:t>
      </w:r>
    </w:p>
    <w:p>
      <w:pPr>
        <w:pStyle w:val="ListParagraph"/>
        <w:numPr>
          <w:ilvl w:val="0"/>
          <w:numId w:val="2"/>
        </w:numPr>
        <w:spacing w:after="60"/>
      </w:pPr>
      <w:r>
        <w:t xml:space="preserve">Three scopes for a student card: one item, one item-head (all items under that head on one pass), or the whole event (one card covering everything a participant is entered in).</w:t>
      </w:r>
    </w:p>
    <w:p>
      <w:pPr>
        <w:pStyle w:val="ListParagraph"/>
        <w:numPr>
          <w:ilvl w:val="0"/>
          <w:numId w:val="2"/>
        </w:numPr>
        <w:spacing w:after="60"/>
      </w:pPr>
      <w:r>
        <w:t xml:space="preserve">Two layouts: individual and team (a team card lists every squad member).</w:t>
      </w:r>
    </w:p>
    <w:p>
      <w:pPr>
        <w:pStyle w:val="ListParagraph"/>
        <w:numPr>
          <w:ilvl w:val="0"/>
          <w:numId w:val="2"/>
        </w:numPr>
        <w:spacing w:after="60"/>
      </w:pPr>
      <w:r>
        <w:t xml:space="preserve">Each card includes a QR code, photo, Fest ID, and — for sports events specifically — chest number and age-group badges; a schedule line is included where available.</w:t>
      </w:r>
    </w:p>
    <w:p>
      <w:pPr>
        <w:pStyle w:val="ListParagraph"/>
        <w:numPr>
          <w:ilvl w:val="0"/>
          <w:numId w:val="2"/>
        </w:numPr>
        <w:spacing w:after="60"/>
      </w:pPr>
      <w:r>
        <w:t xml:space="preserve">Cards print 4-to-a-page (2×2 grid) on A4 in the default template, with single-scope or bulk (“all items” / “all heads”) PDF export.</w:t>
      </w:r>
    </w:p>
    <w:p>
      <w:pPr>
        <w:pStyle w:val="Heading1"/>
        <w:spacing w:after="160" w:before="360"/>
      </w:pPr>
      <w:r>
        <w:t xml:space="preserve">10. Results, Certificates &amp; Notifications</w:t>
      </w:r>
    </w:p>
    <w:p>
      <w:pPr>
        <w:pStyle w:val="Heading2"/>
        <w:spacing w:after="120" w:before="280"/>
      </w:pPr>
      <w:r>
        <w:t xml:space="preserve">10.1 Results</w:t>
      </w:r>
    </w:p>
    <w:p>
      <w:pPr>
        <w:pStyle w:val="ListParagraph"/>
        <w:numPr>
          <w:ilvl w:val="0"/>
          <w:numId w:val="2"/>
        </w:numPr>
        <w:spacing w:after="60"/>
      </w:pPr>
      <w:r>
        <w:t xml:space="preserve">Results can be published per item independently of the whole event, so partial results can go live while other items are still being judged.</w:t>
      </w:r>
    </w:p>
    <w:p>
      <w:pPr>
        <w:pStyle w:val="ListParagraph"/>
        <w:numPr>
          <w:ilvl w:val="0"/>
          <w:numId w:val="2"/>
        </w:numPr>
        <w:spacing w:after="60"/>
      </w:pPr>
      <w:r>
        <w:t xml:space="preserve">Publishing the whole event locks it as completed, recalculates school points, and is reversible (unpublish reverts to “ongoing”).</w:t>
      </w:r>
    </w:p>
    <w:p>
      <w:pPr>
        <w:pStyle w:val="Heading2"/>
        <w:spacing w:after="120" w:before="280"/>
      </w:pPr>
      <w:r>
        <w:t xml:space="preserve">10.2 Certificates</w:t>
      </w:r>
    </w:p>
    <w:p>
      <w:pPr>
        <w:pStyle w:val="ListParagraph"/>
        <w:numPr>
          <w:ilvl w:val="0"/>
          <w:numId w:val="2"/>
        </w:numPr>
        <w:spacing w:after="60"/>
      </w:pPr>
      <w:r>
        <w:t xml:space="preserve">Certificates auto-generate on results publish (both winner and general participation certificates), and can also be regenerated manually.</w:t>
      </w:r>
    </w:p>
    <w:p>
      <w:pPr>
        <w:pStyle w:val="ListParagraph"/>
        <w:numPr>
          <w:ilvl w:val="0"/>
          <w:numId w:val="2"/>
        </w:numPr>
        <w:spacing w:after="60"/>
      </w:pPr>
      <w:r>
        <w:t xml:space="preserve">Every certificate carries a verification code so it can be checked publicly.</w:t>
      </w:r>
    </w:p>
    <w:p>
      <w:pPr>
        <w:pStyle w:val="ListParagraph"/>
        <w:numPr>
          <w:ilvl w:val="0"/>
          <w:numId w:val="2"/>
        </w:numPr>
        <w:spacing w:after="60"/>
      </w:pPr>
      <w:r>
        <w:t xml:space="preserve">Certificates can be downloaded individually or as a bulk ZIP.</w:t>
      </w:r>
    </w:p>
    <w:p>
      <w:pPr>
        <w:pStyle w:val="Heading2"/>
        <w:spacing w:after="120" w:before="280"/>
      </w:pPr>
      <w:r>
        <w:t xml:space="preserve">10.3 Notifications fired through the event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F3D7A" w:val="clear"/>
            <w:tcMar>
              <w:top w:type="dxa" w:w="60"/>
              <w:left w:type="dxa" w:w="100"/>
              <w:bottom w:type="dxa" w:w="60"/>
              <w:right w:type="dxa" w:w="100"/>
            </w:tcMar>
          </w:tcPr>
          <w:p>
            <w:r>
              <w:rPr>
                <w:b/>
                <w:bCs/>
                <w:color w:val="FFFFFF"/>
                <w:sz w:val="19"/>
                <w:szCs w:val="19"/>
              </w:rPr>
              <w:t xml:space="preserve">Moment</w:t>
            </w:r>
          </w:p>
        </w:tc>
        <w:tc>
          <w:tcPr>
            <w:tcW w:type="dxa" w:w="5960"/>
            <w:shd w:fill="0F3D7A" w:val="clear"/>
            <w:tcMar>
              <w:top w:type="dxa" w:w="60"/>
              <w:left w:type="dxa" w:w="100"/>
              <w:bottom w:type="dxa" w:w="60"/>
              <w:right w:type="dxa" w:w="100"/>
            </w:tcMar>
          </w:tcPr>
          <w:p>
            <w:r>
              <w:rPr>
                <w:b/>
                <w:bCs/>
                <w:color w:val="FFFFFF"/>
                <w:sz w:val="19"/>
                <w:szCs w:val="19"/>
              </w:rPr>
              <w:t xml:space="preserve">What fires</w:t>
            </w:r>
          </w:p>
        </w:tc>
      </w:tr>
      <w:tr>
        <w:tc>
          <w:tcPr>
            <w:tcW w:type="dxa" w:w="3400"/>
            <w:tcMar>
              <w:top w:type="dxa" w:w="60"/>
              <w:left w:type="dxa" w:w="100"/>
              <w:bottom w:type="dxa" w:w="60"/>
              <w:right w:type="dxa" w:w="100"/>
            </w:tcMar>
          </w:tcPr>
          <w:p>
            <w:r>
              <w:rPr>
                <w:b w:val="false"/>
                <w:bCs w:val="false"/>
                <w:color w:val="1F2937"/>
                <w:sz w:val="19"/>
                <w:szCs w:val="19"/>
              </w:rPr>
              <w:t xml:space="preserve">Registration approved / rejected / withdrawn</w:t>
            </w:r>
          </w:p>
        </w:tc>
        <w:tc>
          <w:tcPr>
            <w:tcW w:type="dxa" w:w="5960"/>
            <w:tcMar>
              <w:top w:type="dxa" w:w="60"/>
              <w:left w:type="dxa" w:w="100"/>
              <w:bottom w:type="dxa" w:w="60"/>
              <w:right w:type="dxa" w:w="100"/>
            </w:tcMar>
          </w:tcPr>
          <w:p>
            <w:r>
              <w:rPr>
                <w:b w:val="false"/>
                <w:bCs w:val="false"/>
                <w:color w:val="1F2937"/>
                <w:sz w:val="19"/>
                <w:szCs w:val="19"/>
              </w:rPr>
              <w:t xml:space="preserve">Notifies the school.</w:t>
            </w:r>
          </w:p>
        </w:tc>
      </w:tr>
      <w:tr>
        <w:tc>
          <w:tcPr>
            <w:tcW w:type="dxa" w:w="3400"/>
            <w:tcMar>
              <w:top w:type="dxa" w:w="60"/>
              <w:left w:type="dxa" w:w="100"/>
              <w:bottom w:type="dxa" w:w="60"/>
              <w:right w:type="dxa" w:w="100"/>
            </w:tcMar>
          </w:tcPr>
          <w:p>
            <w:r>
              <w:rPr>
                <w:b w:val="false"/>
                <w:bCs w:val="false"/>
                <w:color w:val="1F2937"/>
                <w:sz w:val="19"/>
                <w:szCs w:val="19"/>
              </w:rPr>
              <w:t xml:space="preserve">Registration window opens / nears its deadline</w:t>
            </w:r>
          </w:p>
        </w:tc>
        <w:tc>
          <w:tcPr>
            <w:tcW w:type="dxa" w:w="5960"/>
            <w:tcMar>
              <w:top w:type="dxa" w:w="60"/>
              <w:left w:type="dxa" w:w="100"/>
              <w:bottom w:type="dxa" w:w="60"/>
              <w:right w:type="dxa" w:w="100"/>
            </w:tcMar>
          </w:tcPr>
          <w:p>
            <w:r>
              <w:rPr>
                <w:b w:val="false"/>
                <w:bCs w:val="false"/>
                <w:color w:val="1F2937"/>
                <w:sz w:val="19"/>
                <w:szCs w:val="19"/>
              </w:rPr>
              <w:t xml:space="preserve">Reminder notifications.</w:t>
            </w:r>
          </w:p>
        </w:tc>
      </w:tr>
      <w:tr>
        <w:tc>
          <w:tcPr>
            <w:tcW w:type="dxa" w:w="3400"/>
            <w:tcMar>
              <w:top w:type="dxa" w:w="60"/>
              <w:left w:type="dxa" w:w="100"/>
              <w:bottom w:type="dxa" w:w="60"/>
              <w:right w:type="dxa" w:w="100"/>
            </w:tcMar>
          </w:tcPr>
          <w:p>
            <w:r>
              <w:rPr>
                <w:b w:val="false"/>
                <w:bCs w:val="false"/>
                <w:color w:val="1F2937"/>
                <w:sz w:val="19"/>
                <w:szCs w:val="19"/>
              </w:rPr>
              <w:t xml:space="preserve">Fee payment pending</w:t>
            </w:r>
          </w:p>
        </w:tc>
        <w:tc>
          <w:tcPr>
            <w:tcW w:type="dxa" w:w="5960"/>
            <w:tcMar>
              <w:top w:type="dxa" w:w="60"/>
              <w:left w:type="dxa" w:w="100"/>
              <w:bottom w:type="dxa" w:w="60"/>
              <w:right w:type="dxa" w:w="100"/>
            </w:tcMar>
          </w:tcPr>
          <w:p>
            <w:r>
              <w:rPr>
                <w:b w:val="false"/>
                <w:bCs w:val="false"/>
                <w:color w:val="1F2937"/>
                <w:sz w:val="19"/>
                <w:szCs w:val="19"/>
              </w:rPr>
              <w:t xml:space="preserve">Reminder to the school.</w:t>
            </w:r>
          </w:p>
        </w:tc>
      </w:tr>
      <w:tr>
        <w:tc>
          <w:tcPr>
            <w:tcW w:type="dxa" w:w="3400"/>
            <w:tcMar>
              <w:top w:type="dxa" w:w="60"/>
              <w:left w:type="dxa" w:w="100"/>
              <w:bottom w:type="dxa" w:w="60"/>
              <w:right w:type="dxa" w:w="100"/>
            </w:tcMar>
          </w:tcPr>
          <w:p>
            <w:r>
              <w:rPr>
                <w:b w:val="false"/>
                <w:bCs w:val="false"/>
                <w:color w:val="1F2937"/>
                <w:sz w:val="19"/>
                <w:szCs w:val="19"/>
              </w:rPr>
              <w:t xml:space="preserve">Payment proof uploaded</w:t>
            </w:r>
          </w:p>
        </w:tc>
        <w:tc>
          <w:tcPr>
            <w:tcW w:type="dxa" w:w="5960"/>
            <w:tcMar>
              <w:top w:type="dxa" w:w="60"/>
              <w:left w:type="dxa" w:w="100"/>
              <w:bottom w:type="dxa" w:w="60"/>
              <w:right w:type="dxa" w:w="100"/>
            </w:tcMar>
          </w:tcPr>
          <w:p>
            <w:r>
              <w:rPr>
                <w:b w:val="false"/>
                <w:bCs w:val="false"/>
                <w:color w:val="1F2937"/>
                <w:sz w:val="19"/>
                <w:szCs w:val="19"/>
              </w:rPr>
              <w:t xml:space="preserve">Notifies Sahodaya admins.</w:t>
            </w:r>
          </w:p>
        </w:tc>
      </w:tr>
      <w:tr>
        <w:tc>
          <w:tcPr>
            <w:tcW w:type="dxa" w:w="3400"/>
            <w:tcMar>
              <w:top w:type="dxa" w:w="60"/>
              <w:left w:type="dxa" w:w="100"/>
              <w:bottom w:type="dxa" w:w="60"/>
              <w:right w:type="dxa" w:w="100"/>
            </w:tcMar>
          </w:tcPr>
          <w:p>
            <w:r>
              <w:rPr>
                <w:b w:val="false"/>
                <w:bCs w:val="false"/>
                <w:color w:val="1F2937"/>
                <w:sz w:val="19"/>
                <w:szCs w:val="19"/>
              </w:rPr>
              <w:t xml:space="preserve">Schedule published</w:t>
            </w:r>
          </w:p>
        </w:tc>
        <w:tc>
          <w:tcPr>
            <w:tcW w:type="dxa" w:w="5960"/>
            <w:tcMar>
              <w:top w:type="dxa" w:w="60"/>
              <w:left w:type="dxa" w:w="100"/>
              <w:bottom w:type="dxa" w:w="60"/>
              <w:right w:type="dxa" w:w="100"/>
            </w:tcMar>
          </w:tcPr>
          <w:p>
            <w:r>
              <w:rPr>
                <w:b w:val="false"/>
                <w:bCs w:val="false"/>
                <w:color w:val="1F2937"/>
                <w:sz w:val="19"/>
                <w:szCs w:val="19"/>
              </w:rPr>
              <w:t xml:space="preserve">Notifies schools.</w:t>
            </w:r>
          </w:p>
        </w:tc>
      </w:tr>
      <w:tr>
        <w:tc>
          <w:tcPr>
            <w:tcW w:type="dxa" w:w="3400"/>
            <w:tcMar>
              <w:top w:type="dxa" w:w="60"/>
              <w:left w:type="dxa" w:w="100"/>
              <w:bottom w:type="dxa" w:w="60"/>
              <w:right w:type="dxa" w:w="100"/>
            </w:tcMar>
          </w:tcPr>
          <w:p>
            <w:r>
              <w:rPr>
                <w:b w:val="false"/>
                <w:bCs w:val="false"/>
                <w:color w:val="1F2937"/>
                <w:sz w:val="19"/>
                <w:szCs w:val="19"/>
              </w:rPr>
              <w:t xml:space="preserve">Chest numbers revealed</w:t>
            </w:r>
          </w:p>
        </w:tc>
        <w:tc>
          <w:tcPr>
            <w:tcW w:type="dxa" w:w="5960"/>
            <w:tcMar>
              <w:top w:type="dxa" w:w="60"/>
              <w:left w:type="dxa" w:w="100"/>
              <w:bottom w:type="dxa" w:w="60"/>
              <w:right w:type="dxa" w:w="100"/>
            </w:tcMar>
          </w:tcPr>
          <w:p>
            <w:r>
              <w:rPr>
                <w:b w:val="false"/>
                <w:bCs w:val="false"/>
                <w:color w:val="1F2937"/>
                <w:sz w:val="19"/>
                <w:szCs w:val="19"/>
              </w:rPr>
              <w:t xml:space="preserve">Notifies the school.</w:t>
            </w:r>
          </w:p>
        </w:tc>
      </w:tr>
      <w:tr>
        <w:tc>
          <w:tcPr>
            <w:tcW w:type="dxa" w:w="3400"/>
            <w:tcMar>
              <w:top w:type="dxa" w:w="60"/>
              <w:left w:type="dxa" w:w="100"/>
              <w:bottom w:type="dxa" w:w="60"/>
              <w:right w:type="dxa" w:w="100"/>
            </w:tcMar>
          </w:tcPr>
          <w:p>
            <w:r>
              <w:rPr>
                <w:b w:val="false"/>
                <w:bCs w:val="false"/>
                <w:color w:val="1F2937"/>
                <w:sz w:val="19"/>
                <w:szCs w:val="19"/>
              </w:rPr>
              <w:t xml:space="preserve">Results published</w:t>
            </w:r>
          </w:p>
        </w:tc>
        <w:tc>
          <w:tcPr>
            <w:tcW w:type="dxa" w:w="5960"/>
            <w:tcMar>
              <w:top w:type="dxa" w:w="60"/>
              <w:left w:type="dxa" w:w="100"/>
              <w:bottom w:type="dxa" w:w="60"/>
              <w:right w:type="dxa" w:w="100"/>
            </w:tcMar>
          </w:tcPr>
          <w:p>
            <w:r>
              <w:rPr>
                <w:b w:val="false"/>
                <w:bCs w:val="false"/>
                <w:color w:val="1F2937"/>
                <w:sz w:val="19"/>
                <w:szCs w:val="19"/>
              </w:rPr>
              <w:t xml:space="preserve">Notifies schools.</w:t>
            </w:r>
          </w:p>
        </w:tc>
      </w:tr>
      <w:tr>
        <w:tc>
          <w:tcPr>
            <w:tcW w:type="dxa" w:w="3400"/>
            <w:tcMar>
              <w:top w:type="dxa" w:w="60"/>
              <w:left w:type="dxa" w:w="100"/>
              <w:bottom w:type="dxa" w:w="60"/>
              <w:right w:type="dxa" w:w="100"/>
            </w:tcMar>
          </w:tcPr>
          <w:p>
            <w:r>
              <w:rPr>
                <w:b w:val="false"/>
                <w:bCs w:val="false"/>
                <w:color w:val="1F2937"/>
                <w:sz w:val="19"/>
                <w:szCs w:val="19"/>
              </w:rPr>
              <w:t xml:space="preserve">Promotion completed</w:t>
            </w:r>
          </w:p>
        </w:tc>
        <w:tc>
          <w:tcPr>
            <w:tcW w:type="dxa" w:w="5960"/>
            <w:tcMar>
              <w:top w:type="dxa" w:w="60"/>
              <w:left w:type="dxa" w:w="100"/>
              <w:bottom w:type="dxa" w:w="60"/>
              <w:right w:type="dxa" w:w="100"/>
            </w:tcMar>
          </w:tcPr>
          <w:p>
            <w:r>
              <w:rPr>
                <w:b w:val="false"/>
                <w:bCs w:val="false"/>
                <w:color w:val="1F2937"/>
                <w:sz w:val="19"/>
                <w:szCs w:val="19"/>
              </w:rPr>
              <w:t xml:space="preserve">Notifies the promoted school.</w:t>
            </w:r>
          </w:p>
        </w:tc>
      </w:tr>
      <w:tr>
        <w:tc>
          <w:tcPr>
            <w:tcW w:type="dxa" w:w="3400"/>
            <w:tcMar>
              <w:top w:type="dxa" w:w="60"/>
              <w:left w:type="dxa" w:w="100"/>
              <w:bottom w:type="dxa" w:w="60"/>
              <w:right w:type="dxa" w:w="100"/>
            </w:tcMar>
          </w:tcPr>
          <w:p>
            <w:r>
              <w:rPr>
                <w:b w:val="false"/>
                <w:bCs w:val="false"/>
                <w:color w:val="1F2937"/>
                <w:sz w:val="19"/>
                <w:szCs w:val="19"/>
              </w:rPr>
              <w:t xml:space="preserve">Certificate available</w:t>
            </w:r>
          </w:p>
        </w:tc>
        <w:tc>
          <w:tcPr>
            <w:tcW w:type="dxa" w:w="5960"/>
            <w:tcMar>
              <w:top w:type="dxa" w:w="60"/>
              <w:left w:type="dxa" w:w="100"/>
              <w:bottom w:type="dxa" w:w="60"/>
              <w:right w:type="dxa" w:w="100"/>
            </w:tcMar>
          </w:tcPr>
          <w:p>
            <w:r>
              <w:rPr>
                <w:b w:val="false"/>
                <w:bCs w:val="false"/>
                <w:color w:val="1F2937"/>
                <w:sz w:val="19"/>
                <w:szCs w:val="19"/>
              </w:rPr>
              <w:t xml:space="preserve">Notifies the participant/school.</w:t>
            </w:r>
          </w:p>
        </w:tc>
      </w:tr>
      <w:tr>
        <w:tc>
          <w:tcPr>
            <w:tcW w:type="dxa" w:w="3400"/>
            <w:tcMar>
              <w:top w:type="dxa" w:w="60"/>
              <w:left w:type="dxa" w:w="100"/>
              <w:bottom w:type="dxa" w:w="60"/>
              <w:right w:type="dxa" w:w="100"/>
            </w:tcMar>
          </w:tcPr>
          <w:p>
            <w:r>
              <w:rPr>
                <w:b w:val="false"/>
                <w:bCs w:val="false"/>
                <w:color w:val="1F2937"/>
                <w:sz w:val="19"/>
                <w:szCs w:val="19"/>
              </w:rPr>
              <w:t xml:space="preserve">Appeal received</w:t>
            </w:r>
          </w:p>
        </w:tc>
        <w:tc>
          <w:tcPr>
            <w:tcW w:type="dxa" w:w="5960"/>
            <w:tcMar>
              <w:top w:type="dxa" w:w="60"/>
              <w:left w:type="dxa" w:w="100"/>
              <w:bottom w:type="dxa" w:w="60"/>
              <w:right w:type="dxa" w:w="100"/>
            </w:tcMar>
          </w:tcPr>
          <w:p>
            <w:r>
              <w:rPr>
                <w:b w:val="false"/>
                <w:bCs w:val="false"/>
                <w:color w:val="1F2937"/>
                <w:sz w:val="19"/>
                <w:szCs w:val="19"/>
              </w:rPr>
              <w:t xml:space="preserve">Notifies Sahodaya admins.</w:t>
            </w:r>
          </w:p>
        </w:tc>
      </w:tr>
      <w:tr>
        <w:tc>
          <w:tcPr>
            <w:tcW w:type="dxa" w:w="3400"/>
            <w:tcMar>
              <w:top w:type="dxa" w:w="60"/>
              <w:left w:type="dxa" w:w="100"/>
              <w:bottom w:type="dxa" w:w="60"/>
              <w:right w:type="dxa" w:w="100"/>
            </w:tcMar>
          </w:tcPr>
          <w:p>
            <w:r>
              <w:rPr>
                <w:b w:val="false"/>
                <w:bCs w:val="false"/>
                <w:color w:val="1F2937"/>
                <w:sz w:val="19"/>
                <w:szCs w:val="19"/>
              </w:rPr>
              <w:t xml:space="preserve">Judge assigned</w:t>
            </w:r>
          </w:p>
        </w:tc>
        <w:tc>
          <w:tcPr>
            <w:tcW w:type="dxa" w:w="5960"/>
            <w:tcMar>
              <w:top w:type="dxa" w:w="60"/>
              <w:left w:type="dxa" w:w="100"/>
              <w:bottom w:type="dxa" w:w="60"/>
              <w:right w:type="dxa" w:w="100"/>
            </w:tcMar>
          </w:tcPr>
          <w:p>
            <w:r>
              <w:rPr>
                <w:b w:val="false"/>
                <w:bCs w:val="false"/>
                <w:color w:val="1F2937"/>
                <w:sz w:val="19"/>
                <w:szCs w:val="19"/>
              </w:rPr>
              <w:t xml:space="preserve">Notifies the judge.</w:t>
            </w:r>
          </w:p>
        </w:tc>
      </w:tr>
    </w:tbl>
    <w:p>
      <w:pPr>
        <w:pStyle w:val="Heading1"/>
        <w:spacing w:after="160" w:before="360"/>
      </w:pPr>
      <w:r>
        <w:t xml:space="preserve">11. Public-Facing Pages</w:t>
      </w:r>
    </w:p>
    <w:p>
      <w:pPr>
        <w:spacing w:after="140"/>
      </w:pPr>
      <w:r>
        <w:t xml:space="preserve">These are open, no-login pages on the Sahodaya's own public site, shared across every fest type including Kalotsavam:</w:t>
      </w:r>
    </w:p>
    <w:p>
      <w:pPr>
        <w:pStyle w:val="ListParagraph"/>
        <w:numPr>
          <w:ilvl w:val="0"/>
          <w:numId w:val="2"/>
        </w:numPr>
        <w:spacing w:after="60"/>
      </w:pPr>
      <w:r>
        <w:t xml:space="preserve">Event listing and event detail page.</w:t>
      </w:r>
    </w:p>
    <w:p>
      <w:pPr>
        <w:pStyle w:val="ListParagraph"/>
        <w:numPr>
          <w:ilvl w:val="0"/>
          <w:numId w:val="2"/>
        </w:numPr>
        <w:spacing w:after="60"/>
      </w:pPr>
      <w:r>
        <w:t xml:space="preserve">Schedule — whole event and per item.</w:t>
      </w:r>
    </w:p>
    <w:p>
      <w:pPr>
        <w:pStyle w:val="ListParagraph"/>
        <w:numPr>
          <w:ilvl w:val="0"/>
          <w:numId w:val="2"/>
        </w:numPr>
        <w:spacing w:after="60"/>
      </w:pPr>
      <w:r>
        <w:t xml:space="preserve">Results — whole event, per item, and a downloadable per-item results PDF.</w:t>
      </w:r>
    </w:p>
    <w:p>
      <w:pPr>
        <w:pStyle w:val="ListParagraph"/>
        <w:numPr>
          <w:ilvl w:val="0"/>
          <w:numId w:val="2"/>
        </w:numPr>
        <w:spacing w:after="60"/>
      </w:pPr>
      <w:r>
        <w:t xml:space="preserve">Winner posters (1st / 2nd / 3rd) per item.</w:t>
      </w:r>
    </w:p>
    <w:p>
      <w:pPr>
        <w:pStyle w:val="ListParagraph"/>
        <w:numPr>
          <w:ilvl w:val="0"/>
          <w:numId w:val="2"/>
        </w:numPr>
        <w:spacing w:after="60"/>
      </w:pPr>
      <w:r>
        <w:t xml:space="preserve">Scoreboard, including a live view during the event and filters by category/cluster.</w:t>
      </w:r>
    </w:p>
    <w:p>
      <w:pPr>
        <w:pStyle w:val="ListParagraph"/>
        <w:numPr>
          <w:ilvl w:val="0"/>
          <w:numId w:val="2"/>
        </w:numPr>
        <w:spacing w:after="60"/>
      </w:pPr>
      <w:r>
        <w:t xml:space="preserve">Rules/manual PDF download.</w:t>
      </w:r>
    </w:p>
    <w:p>
      <w:pPr>
        <w:pStyle w:val="ListParagraph"/>
        <w:numPr>
          <w:ilvl w:val="0"/>
          <w:numId w:val="2"/>
        </w:numPr>
        <w:spacing w:after="60"/>
      </w:pPr>
      <w:r>
        <w:t xml:space="preserve">Records page.</w:t>
      </w:r>
    </w:p>
    <w:p>
      <w:pPr>
        <w:pStyle w:val="ListParagraph"/>
        <w:numPr>
          <w:ilvl w:val="0"/>
          <w:numId w:val="2"/>
        </w:numPr>
        <w:spacing w:after="60"/>
      </w:pPr>
      <w:r>
        <w:t xml:space="preserve">Public participant/chest-number search and lookup.</w:t>
      </w:r>
    </w:p>
    <w:p>
      <w:pPr>
        <w:pStyle w:val="ListParagraph"/>
        <w:numPr>
          <w:ilvl w:val="0"/>
          <w:numId w:val="2"/>
        </w:numPr>
        <w:spacing w:after="60"/>
      </w:pPr>
      <w:r>
        <w:t xml:space="preserve">Certificate verification lookup (via QR or code).</w:t>
      </w:r>
    </w:p>
    <w:p>
      <w:pPr>
        <w:pStyle w:val="Heading1"/>
        <w:spacing w:after="160" w:before="360"/>
      </w:pPr>
      <w:r>
        <w:t xml:space="preserve">12. Quick Reference —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0F3D7A" w:val="clear"/>
            <w:tcMar>
              <w:top w:type="dxa" w:w="60"/>
              <w:left w:type="dxa" w:w="100"/>
              <w:bottom w:type="dxa" w:w="60"/>
              <w:right w:type="dxa" w:w="100"/>
            </w:tcMar>
          </w:tcPr>
          <w:p>
            <w:r>
              <w:rPr>
                <w:b/>
                <w:bCs/>
                <w:color w:val="FFFFFF"/>
                <w:sz w:val="19"/>
                <w:szCs w:val="19"/>
              </w:rPr>
              <w:t xml:space="preserve">Area</w:t>
            </w:r>
          </w:p>
        </w:tc>
        <w:tc>
          <w:tcPr>
            <w:tcW w:type="dxa" w:w="7360"/>
            <w:shd w:fill="0F3D7A" w:val="clear"/>
            <w:tcMar>
              <w:top w:type="dxa" w:w="60"/>
              <w:left w:type="dxa" w:w="100"/>
              <w:bottom w:type="dxa" w:w="60"/>
              <w:right w:type="dxa" w:w="100"/>
            </w:tcMar>
          </w:tcPr>
          <w:p>
            <w:r>
              <w:rPr>
                <w:b/>
                <w:bCs/>
                <w:color w:val="FFFFFF"/>
                <w:sz w:val="19"/>
                <w:szCs w:val="19"/>
              </w:rPr>
              <w:t xml:space="preserve">Key screens</w:t>
            </w:r>
          </w:p>
        </w:tc>
      </w:tr>
      <w:tr>
        <w:tc>
          <w:tcPr>
            <w:tcW w:type="dxa" w:w="2000"/>
            <w:tcMar>
              <w:top w:type="dxa" w:w="60"/>
              <w:left w:type="dxa" w:w="100"/>
              <w:bottom w:type="dxa" w:w="60"/>
              <w:right w:type="dxa" w:w="100"/>
            </w:tcMar>
          </w:tcPr>
          <w:p>
            <w:r>
              <w:rPr>
                <w:b w:val="false"/>
                <w:bCs w:val="false"/>
                <w:color w:val="1F2937"/>
                <w:sz w:val="19"/>
                <w:szCs w:val="19"/>
              </w:rPr>
              <w:t xml:space="preserve">School admin</w:t>
            </w:r>
          </w:p>
        </w:tc>
        <w:tc>
          <w:tcPr>
            <w:tcW w:type="dxa" w:w="7360"/>
            <w:tcMar>
              <w:top w:type="dxa" w:w="60"/>
              <w:left w:type="dxa" w:w="100"/>
              <w:bottom w:type="dxa" w:w="60"/>
              <w:right w:type="dxa" w:w="100"/>
            </w:tcMar>
          </w:tcPr>
          <w:p>
            <w:r>
              <w:rPr>
                <w:b w:val="false"/>
                <w:bCs w:val="false"/>
                <w:color w:val="1F2937"/>
                <w:sz w:val="19"/>
                <w:szCs w:val="19"/>
              </w:rPr>
              <w:t xml:space="preserve">Event Overview · Registration · Fest Day · Clash Requests · Substitution Requests · Reports Hub (ID cards, fee summary, attendance, results, and 25+ more)</w:t>
            </w:r>
          </w:p>
        </w:tc>
      </w:tr>
      <w:tr>
        <w:tc>
          <w:tcPr>
            <w:tcW w:type="dxa" w:w="2000"/>
            <w:tcMar>
              <w:top w:type="dxa" w:w="60"/>
              <w:left w:type="dxa" w:w="100"/>
              <w:bottom w:type="dxa" w:w="60"/>
              <w:right w:type="dxa" w:w="100"/>
            </w:tcMar>
          </w:tcPr>
          <w:p>
            <w:r>
              <w:rPr>
                <w:b w:val="false"/>
                <w:bCs w:val="false"/>
                <w:color w:val="1F2937"/>
                <w:sz w:val="19"/>
                <w:szCs w:val="19"/>
              </w:rPr>
              <w:t xml:space="preserve">Sahodaya admin</w:t>
            </w:r>
          </w:p>
        </w:tc>
        <w:tc>
          <w:tcPr>
            <w:tcW w:type="dxa" w:w="7360"/>
            <w:tcMar>
              <w:top w:type="dxa" w:w="60"/>
              <w:left w:type="dxa" w:w="100"/>
              <w:bottom w:type="dxa" w:w="60"/>
              <w:right w:type="dxa" w:w="100"/>
            </w:tcMar>
          </w:tcPr>
          <w:p>
            <w:r>
              <w:rPr>
                <w:b w:val="false"/>
                <w:bCs w:val="false"/>
                <w:color w:val="1F2937"/>
                <w:sz w:val="19"/>
                <w:szCs w:val="19"/>
              </w:rPr>
              <w:t xml:space="preserve">Event settings · Item/Item-Head catalog · Regions · Registrations (review, bulk actions, import) · Clash Review · Substitution Review · School Verification · Payments · Chest Numbers · ID Cards · Schedule · Judge Assignment · Mark Entry · Results &amp; Promotion · Certificates · Finance · Appeals</w:t>
            </w:r>
          </w:p>
        </w:tc>
      </w:tr>
      <w:tr>
        <w:tc>
          <w:tcPr>
            <w:tcW w:type="dxa" w:w="2000"/>
            <w:tcMar>
              <w:top w:type="dxa" w:w="60"/>
              <w:left w:type="dxa" w:w="100"/>
              <w:bottom w:type="dxa" w:w="60"/>
              <w:right w:type="dxa" w:w="100"/>
            </w:tcMar>
          </w:tcPr>
          <w:p>
            <w:r>
              <w:rPr>
                <w:b w:val="false"/>
                <w:bCs w:val="false"/>
                <w:color w:val="1F2937"/>
                <w:sz w:val="19"/>
                <w:szCs w:val="19"/>
              </w:rPr>
              <w:t xml:space="preserve">Public site</w:t>
            </w:r>
          </w:p>
        </w:tc>
        <w:tc>
          <w:tcPr>
            <w:tcW w:type="dxa" w:w="7360"/>
            <w:tcMar>
              <w:top w:type="dxa" w:w="60"/>
              <w:left w:type="dxa" w:w="100"/>
              <w:bottom w:type="dxa" w:w="60"/>
              <w:right w:type="dxa" w:w="100"/>
            </w:tcMar>
          </w:tcPr>
          <w:p>
            <w:r>
              <w:rPr>
                <w:b w:val="false"/>
                <w:bCs w:val="false"/>
                <w:color w:val="1F2937"/>
                <w:sz w:val="19"/>
                <w:szCs w:val="19"/>
              </w:rPr>
              <w:t xml:space="preserve">Event listing · Schedule · Results · Scoreboard (incl. live) · Winner posters · Records · Participant search · Certificate verification</w:t>
            </w:r>
          </w:p>
        </w:tc>
      </w:tr>
    </w:tbl>
    <w:p>
      <w:pPr>
        <w:pBdr>
          <w:left w:val="single" w:color="0F3D7A" w:sz="18" w:space="8"/>
        </w:pBdr>
        <w:shd w:fill="EEF2F7" w:val="clear"/>
        <w:spacing w:after="160" w:before="80"/>
      </w:pPr>
      <w:r>
        <w:rPr>
          <w:i/>
          <w:iCs/>
          <w:color w:val="475569"/>
          <w:sz w:val="20"/>
          <w:szCs w:val="20"/>
        </w:rPr>
        <w:t xml:space="preserve">This document reflects the platform's current implementation as of the codebase reviewed. Feature availability (e.g. Regions, document verification, specific fee models) depends on what each Sahodaya has configured for its own event.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3D7A" w:sz="6" w:space="4"/>
      </w:pBdr>
      <w:spacing w:after="160" w:before="360"/>
    </w:pPr>
    <w:rPr>
      <w:b/>
      <w:bCs/>
      <w:color w:val="0F3D7A"/>
      <w:sz w:val="30"/>
      <w:szCs w:val="30"/>
    </w:rPr>
  </w:style>
  <w:style w:type="paragraph" w:styleId="Heading2">
    <w:name w:val="Heading 2"/>
    <w:basedOn w:val="Normal"/>
    <w:next w:val="Normal"/>
    <w:qFormat/>
    <w:rPr>
      <w:b/>
      <w:bCs/>
      <w:color w:val="0F3D7A"/>
      <w:sz w:val="25"/>
      <w:szCs w:val="25"/>
    </w:rPr>
  </w:style>
  <w:style w:type="paragraph" w:styleId="Heading3">
    <w:name w:val="Heading 3"/>
    <w:basedOn w:val="Normal"/>
    <w:next w:val="Normal"/>
    <w:qFormat/>
    <w:rPr>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2026-07-17T10:20:46.399Z</dcterms:created>
  <dcterms:modified xsi:type="dcterms:W3CDTF">2026-07-17T10:20:46.399Z</dcterms:modified>
</cp:coreProperties>
</file>

<file path=docProps/custom.xml><?xml version="1.0" encoding="utf-8"?>
<Properties xmlns="http://schemas.openxmlformats.org/officeDocument/2006/custom-properties" xmlns:vt="http://schemas.openxmlformats.org/officeDocument/2006/docPropsVTypes"/>
</file>