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Multi-Web Re-Audit Plan — FRD-01, 03, 08, 17, 18</w:t>
      </w:r>
    </w:p>
    <w:p>
      <w:pPr>
        <w:spacing w:after="120"/>
      </w:pPr>
      <w:r>
        <w:rPr>
          <w:i/>
          <w:iCs/>
          <w:color w:val="6b7280"/>
        </w:rPr>
        <w:t xml:space="preserve">CBSE Sahodaya Digital Platform · Generated 2026-07-12 · Audit checklist, not yet executed</w:t>
      </w:r>
    </w:p>
    <w:p>
      <w:pPr>
        <w:spacing w:after="120"/>
      </w:pPr>
      <w:r>
        <w:t xml:space="preserve"/>
      </w:r>
    </w:p>
    <w:p>
      <w:pPr>
        <w:pStyle w:val="Heading1"/>
        <w:spacing w:after="150" w:before="300"/>
      </w:pPr>
      <w:r>
        <w:t xml:space="preserve">Overview</w:t>
      </w:r>
    </w:p>
    <w:p>
      <w:pPr>
        <w:spacing w:after="120"/>
      </w:pPr>
      <w:r>
        <w:t xml:space="preserve">Following the FRD-06/13/15 and FRD-12/10/14/11/16 hardening passes (all 17 real findings across those areas fixed and committed), this plan covers the next 5 areas per the agreed priority order. FRD-19 (Public Portal) and FRD-20 (Website Builder/CMS) are deliberately deferred to last and are not covered here. Priority is grounded in actual repo inspection done for this plan (controllers/models/commands found by name), not just the FRD text, so the checklist below references real files. Scope is bounded to code as committed through the current HEAD (commit f5156ca and everything before it) — this is a re-audit of what has actually shipped, not speculative future work. This document is a checklist only — it does not yet contain findings. Each area gets the same treatment as the prior two passes: read-only investigation first, findings reported with severity + evidence, then a follow-up implementation pass for anything real.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600"/>
        <w:gridCol w:w="1700"/>
      </w:tblGrid>
      <w:tr>
        <w:tc>
          <w:tcPr>
            <w:tcW w:type="dxa" w:w="900"/>
            <w:shd w:fill="0f3d7a" w:val="clear"/>
          </w:tcPr>
          <w:p>
            <w:pPr>
              <w:jc w:val="left"/>
            </w:pPr>
            <w:r>
              <w:rPr>
                <w:b/>
                <w:bCs/>
              </w:rPr>
              <w:t xml:space="preserve">Rank</w:t>
            </w:r>
          </w:p>
        </w:tc>
        <w:tc>
          <w:tcPr>
            <w:tcW w:type="dxa" w:w="3600"/>
            <w:shd w:fill="0f3d7a" w:val="clear"/>
          </w:tcPr>
          <w:p>
            <w:pPr>
              <w:jc w:val="left"/>
            </w:pPr>
            <w:r>
              <w:rPr>
                <w:b/>
                <w:bCs/>
              </w:rPr>
              <w:t xml:space="preserve">Area</w:t>
            </w:r>
          </w:p>
        </w:tc>
        <w:tc>
          <w:tcPr>
            <w:tcW w:type="dxa" w:w="3600"/>
            <w:shd w:fill="0f3d7a" w:val="clear"/>
          </w:tcPr>
          <w:p>
            <w:pPr>
              <w:jc w:val="left"/>
            </w:pPr>
            <w:r>
              <w:rPr>
                <w:b/>
                <w:bCs/>
              </w:rPr>
              <w:t xml:space="preserve">Why this priority</w:t>
            </w:r>
          </w:p>
        </w:tc>
        <w:tc>
          <w:tcPr>
            <w:tcW w:type="dxa" w:w="1700"/>
            <w:shd w:fill="0f3d7a" w:val="clear"/>
          </w:tcPr>
          <w:p>
            <w:pPr>
              <w:jc w:val="left"/>
            </w:pPr>
            <w:r>
              <w:rPr>
                <w:b/>
                <w:bCs/>
              </w:rPr>
              <w:t xml:space="preserve">Audit effort</w:t>
            </w:r>
          </w:p>
        </w:tc>
      </w:tr>
      <w:tr>
        <w:tc>
          <w:tcPr>
            <w:tcW w:type="dxa" w:w="900"/>
          </w:tcPr>
          <w:p>
            <w:pPr>
              <w:jc w:val="left"/>
            </w:pPr>
            <w:r>
              <w:rPr>
                <w:b w:val="false"/>
                <w:bCs w:val="false"/>
              </w:rPr>
              <w:t xml:space="preserve">1</w:t>
            </w:r>
          </w:p>
        </w:tc>
        <w:tc>
          <w:tcPr>
            <w:tcW w:type="dxa" w:w="3600"/>
            <w:shd w:fill="FEF3C7" w:val="clear"/>
          </w:tcPr>
          <w:p>
            <w:pPr>
              <w:jc w:val="left"/>
            </w:pPr>
            <w:r>
              <w:rPr>
                <w:b w:val="false"/>
                <w:bCs w:val="false"/>
              </w:rPr>
              <w:t xml:space="preserve">FRD-01 Sahodaya Setup &amp; School Membership</w:t>
            </w:r>
          </w:p>
        </w:tc>
        <w:tc>
          <w:tcPr>
            <w:tcW w:type="dxa" w:w="3600"/>
          </w:tcPr>
          <w:p>
            <w:pPr>
              <w:jc w:val="left"/>
            </w:pPr>
            <w:r>
              <w:rPr>
                <w:b w:val="false"/>
                <w:bCs w:val="false"/>
              </w:rPr>
              <w:t xml:space="preserve">Foundational: tenant provisioning, school application/approval, and membership fees are the root that FRD-06 finance and every other module sits on top of. Untouched by the last two hardening passes, so no fresh eyes on it since the original audit.</w:t>
            </w:r>
          </w:p>
        </w:tc>
        <w:tc>
          <w:tcPr>
            <w:tcW w:type="dxa" w:w="1700"/>
          </w:tcPr>
          <w:p>
            <w:pPr>
              <w:jc w:val="left"/>
            </w:pPr>
            <w:r>
              <w:rPr>
                <w:b w:val="false"/>
                <w:bCs w:val="false"/>
              </w:rPr>
              <w:t xml:space="preserve">~1d</w:t>
            </w:r>
          </w:p>
        </w:tc>
      </w:tr>
      <w:tr>
        <w:tc>
          <w:tcPr>
            <w:tcW w:type="dxa" w:w="900"/>
          </w:tcPr>
          <w:p>
            <w:pPr>
              <w:jc w:val="left"/>
            </w:pPr>
            <w:r>
              <w:rPr>
                <w:b w:val="false"/>
                <w:bCs w:val="false"/>
              </w:rPr>
              <w:t xml:space="preserve">2</w:t>
            </w:r>
          </w:p>
        </w:tc>
        <w:tc>
          <w:tcPr>
            <w:tcW w:type="dxa" w:w="3600"/>
            <w:shd w:fill="FEF3C7" w:val="clear"/>
          </w:tcPr>
          <w:p>
            <w:pPr>
              <w:jc w:val="left"/>
            </w:pPr>
            <w:r>
              <w:rPr>
                <w:b w:val="false"/>
                <w:bCs w:val="false"/>
              </w:rPr>
              <w:t xml:space="preserve">FRD-03 Competition Engine Core Framework</w:t>
            </w:r>
          </w:p>
        </w:tc>
        <w:tc>
          <w:tcPr>
            <w:tcW w:type="dxa" w:w="3600"/>
          </w:tcPr>
          <w:p>
            <w:pPr>
              <w:jc w:val="left"/>
            </w:pPr>
            <w:r>
              <w:rPr>
                <w:b w:val="false"/>
                <w:bCs w:val="false"/>
              </w:rPr>
              <w:t xml:space="preserve">The shared FestEvent/EventHead/EventItem engine was heavily reworked this session (per-head composite billing, quota, roster governance) while implementing Sports. Need to confirm those changes landed at the core/shared layer, not as Sports-only patches that leave Kalotsav/other categories on the old behavior.</w:t>
            </w:r>
          </w:p>
        </w:tc>
        <w:tc>
          <w:tcPr>
            <w:tcW w:type="dxa" w:w="1700"/>
          </w:tcPr>
          <w:p>
            <w:pPr>
              <w:jc w:val="left"/>
            </w:pPr>
            <w:r>
              <w:rPr>
                <w:b w:val="false"/>
                <w:bCs w:val="false"/>
              </w:rPr>
              <w:t xml:space="preserve">~1d</w:t>
            </w:r>
          </w:p>
        </w:tc>
      </w:tr>
      <w:tr>
        <w:tc>
          <w:tcPr>
            <w:tcW w:type="dxa" w:w="900"/>
          </w:tcPr>
          <w:p>
            <w:pPr>
              <w:jc w:val="left"/>
            </w:pPr>
            <w:r>
              <w:rPr>
                <w:b w:val="false"/>
                <w:bCs w:val="false"/>
              </w:rPr>
              <w:t xml:space="preserve">3</w:t>
            </w:r>
          </w:p>
        </w:tc>
        <w:tc>
          <w:tcPr>
            <w:tcW w:type="dxa" w:w="3600"/>
            <w:shd w:fill="FEF3C7" w:val="clear"/>
          </w:tcPr>
          <w:p>
            <w:pPr>
              <w:jc w:val="left"/>
            </w:pPr>
            <w:r>
              <w:rPr>
                <w:b w:val="false"/>
                <w:bCs w:val="false"/>
              </w:rPr>
              <w:t xml:space="preserve">FRD-08 Custom Competition Management</w:t>
            </w:r>
          </w:p>
        </w:tc>
        <w:tc>
          <w:tcPr>
            <w:tcW w:type="dxa" w:w="3600"/>
          </w:tcPr>
          <w:p>
            <w:pPr>
              <w:jc w:val="left"/>
            </w:pPr>
            <w:r>
              <w:rPr>
                <w:b w:val="false"/>
                <w:bCs w:val="false"/>
              </w:rPr>
              <w:t xml:space="preserve">Builds directly on FRD-03. No dedicated CustomCompetition model exists in the codebase — need to first establish how "custom" competitions are actually represented, then confirm they inherit the FRD-03 engine changes rather than being left behind.</w:t>
            </w:r>
          </w:p>
        </w:tc>
        <w:tc>
          <w:tcPr>
            <w:tcW w:type="dxa" w:w="1700"/>
          </w:tcPr>
          <w:p>
            <w:pPr>
              <w:jc w:val="left"/>
            </w:pPr>
            <w:r>
              <w:rPr>
                <w:b w:val="false"/>
                <w:bCs w:val="false"/>
              </w:rPr>
              <w:t xml:space="preserve">~0.5d</w:t>
            </w:r>
          </w:p>
        </w:tc>
      </w:tr>
      <w:tr>
        <w:tc>
          <w:tcPr>
            <w:tcW w:type="dxa" w:w="900"/>
          </w:tcPr>
          <w:p>
            <w:pPr>
              <w:jc w:val="left"/>
            </w:pPr>
            <w:r>
              <w:rPr>
                <w:b w:val="false"/>
                <w:bCs w:val="false"/>
              </w:rPr>
              <w:t xml:space="preserve">4</w:t>
            </w:r>
          </w:p>
        </w:tc>
        <w:tc>
          <w:tcPr>
            <w:tcW w:type="dxa" w:w="3600"/>
            <w:shd w:fill="FEF3C7" w:val="clear"/>
          </w:tcPr>
          <w:p>
            <w:pPr>
              <w:jc w:val="left"/>
            </w:pPr>
            <w:r>
              <w:rPr>
                <w:b w:val="false"/>
                <w:bCs w:val="false"/>
              </w:rPr>
              <w:t xml:space="preserve">FRD-17 Platform Services &amp; Common Utilities</w:t>
            </w:r>
          </w:p>
        </w:tc>
        <w:tc>
          <w:tcPr>
            <w:tcW w:type="dxa" w:w="3600"/>
          </w:tcPr>
          <w:p>
            <w:pPr>
              <w:jc w:val="left"/>
            </w:pPr>
            <w:r>
              <w:rPr>
                <w:b w:val="false"/>
                <w:bCs w:val="false"/>
              </w:rPr>
              <w:t xml:space="preserve">Shared cross-cutting code (TenancyDatabase, TenantCache, ReminderDedupGuard, PlatformAuditLogger, DataChangeLogger, TenantUserCatalog) used by every module above. Includes self-review of utilities added in the last two hardening passes for consistency/coverage gaps.</w:t>
            </w:r>
          </w:p>
        </w:tc>
        <w:tc>
          <w:tcPr>
            <w:tcW w:type="dxa" w:w="1700"/>
          </w:tcPr>
          <w:p>
            <w:pPr>
              <w:jc w:val="left"/>
            </w:pPr>
            <w:r>
              <w:rPr>
                <w:b w:val="false"/>
                <w:bCs w:val="false"/>
              </w:rPr>
              <w:t xml:space="preserve">~0.75d</w:t>
            </w:r>
          </w:p>
        </w:tc>
      </w:tr>
      <w:tr>
        <w:tc>
          <w:tcPr>
            <w:tcW w:type="dxa" w:w="900"/>
          </w:tcPr>
          <w:p>
            <w:pPr>
              <w:jc w:val="left"/>
            </w:pPr>
            <w:r>
              <w:rPr>
                <w:b w:val="false"/>
                <w:bCs w:val="false"/>
              </w:rPr>
              <w:t xml:space="preserve">5</w:t>
            </w:r>
          </w:p>
        </w:tc>
        <w:tc>
          <w:tcPr>
            <w:tcW w:type="dxa" w:w="3600"/>
            <w:shd w:fill="FEF3C7" w:val="clear"/>
          </w:tcPr>
          <w:p>
            <w:pPr>
              <w:jc w:val="left"/>
            </w:pPr>
            <w:r>
              <w:rPr>
                <w:b w:val="false"/>
                <w:bCs w:val="false"/>
              </w:rPr>
              <w:t xml:space="preserve">FRD-18 Deployment, DevOps &amp; Infrastructure</w:t>
            </w:r>
          </w:p>
        </w:tc>
        <w:tc>
          <w:tcPr>
            <w:tcW w:type="dxa" w:w="3600"/>
          </w:tcPr>
          <w:p>
            <w:pPr>
              <w:jc w:val="left"/>
            </w:pPr>
            <w:r>
              <w:rPr>
                <w:b w:val="false"/>
                <w:bCs w:val="false"/>
              </w:rPr>
              <w:t xml:space="preserve">Operational/process risk rather than data or security risk, so lowest urgency of the non-deferred set. Covers scheduler hygiene, cache-driver assumptions behind the new ReminderDedupGuard, and migration/deployment hygiene for the 3 new tenant migrations added this session.</w:t>
            </w:r>
          </w:p>
        </w:tc>
        <w:tc>
          <w:tcPr>
            <w:tcW w:type="dxa" w:w="1700"/>
          </w:tcPr>
          <w:p>
            <w:pPr>
              <w:jc w:val="left"/>
            </w:pPr>
            <w:r>
              <w:rPr>
                <w:b w:val="false"/>
                <w:bCs w:val="false"/>
              </w:rPr>
              <w:t xml:space="preserve">~0.5d</w:t>
            </w:r>
          </w:p>
        </w:tc>
      </w:tr>
    </w:tbl>
    <w:p>
      <w:pPr>
        <w:spacing w:after="120"/>
      </w:pPr>
      <w:r>
        <w:t xml:space="preserve"/>
      </w:r>
    </w:p>
    <w:p>
      <w:pPr>
        <w:spacing w:after="120"/>
      </w:pPr>
      <w:r>
        <w:t xml:space="preserve">Total estimated audit effort: ~3.75 person-days for all 5 areas (research only; fix effort estimated once findings are in).</w:t>
      </w:r>
    </w:p>
    <w:p>
      <w:pPr>
        <w:pStyle w:val="Heading1"/>
        <w:spacing w:after="150" w:before="300"/>
      </w:pPr>
      <w:r>
        <w:t xml:space="preserve">1. FRD-01 — Sahodaya Setup &amp; School Membership</w:t>
      </w:r>
    </w:p>
    <w:p>
      <w:pPr>
        <w:spacing w:after="120"/>
      </w:pPr>
      <w:r>
        <w:t xml:space="preserve">Covers Sahodaya/tenant setup, school application → approval, membership fees/renewal, and annual registration. Grounded in: Public/SchoolApplicationController, Api/V1/Public/SchoolApplicationApiController, SahodayaAdmin/MemberSchoolsController, MembershipSettingsController, MembershipReceiptController, MembershipReportsController, SchoolAdmin/AnnualRegistrationController, Admin/SubscriptionController, and commands ProvisionSahodayaDatabases/SyncTenantDomains/UpdateMembershipStatusCommand/SendMembershipRemindersCommand.</w:t>
      </w:r>
    </w:p>
    <w:p>
      <w:pPr>
        <w:pStyle w:val="ListParagraph"/>
        <w:numPr>
          <w:ilvl w:val="0"/>
          <w:numId w:val="2"/>
        </w:numPr>
        <w:spacing w:after="90"/>
      </w:pPr>
      <w:r>
        <w:rPr>
          <w:b/>
          <w:bCs/>
        </w:rPr>
        <w:t xml:space="preserve">☐  </w:t>
      </w:r>
      <w:r>
        <w:t xml:space="preserve">School application → approval → provisioning: trace Public/SchoolApplicationController and Api/V1/Public/SchoolApplicationApiController through MemberSchoolsController::applications() approval to Tenant provisioning (ProvisionSahodayaDatabases) — confirm no step can leave a school in a half-provisioned state (approved but no working tenant DB, or vice versa).</w:t>
      </w:r>
    </w:p>
    <w:p>
      <w:pPr>
        <w:pStyle w:val="ListParagraph"/>
        <w:numPr>
          <w:ilvl w:val="0"/>
          <w:numId w:val="2"/>
        </w:numPr>
        <w:spacing w:after="90"/>
      </w:pPr>
      <w:r>
        <w:rPr>
          <w:b/>
          <w:bCs/>
        </w:rPr>
        <w:t xml:space="preserve">☐  </w:t>
      </w:r>
      <w:r>
        <w:t xml:space="preserve">MembershipPayment rejection history: McqSchoolFee just gained an append-only rejection_history on its FeeReceipt (FRD-10 follow-up). Check whether MembershipPayment/MembershipPaymentApprovalService's reject path has the same single-overwrite rejection_reason gap, and whether it should get the same FeeReceipt::appendRejectionHistory() treatment for consistency.</w:t>
      </w:r>
    </w:p>
    <w:p>
      <w:pPr>
        <w:pStyle w:val="ListParagraph"/>
        <w:numPr>
          <w:ilvl w:val="0"/>
          <w:numId w:val="2"/>
        </w:numPr>
        <w:spacing w:after="90"/>
      </w:pPr>
      <w:r>
        <w:rPr>
          <w:b/>
          <w:bCs/>
        </w:rPr>
        <w:t xml:space="preserve">☐  </w:t>
      </w:r>
      <w:r>
        <w:t xml:space="preserve">Membership fee reversal integration: confirm MembershipReceiptController and MembershipPaymentApprovalService route through the same FeeReceiptReversalService/LedgerPostingService added under FRD-06, not a parallel/older reversal path specific to membership.</w:t>
      </w:r>
    </w:p>
    <w:p>
      <w:pPr>
        <w:pStyle w:val="ListParagraph"/>
        <w:numPr>
          <w:ilvl w:val="0"/>
          <w:numId w:val="2"/>
        </w:numPr>
        <w:spacing w:after="90"/>
      </w:pPr>
      <w:r>
        <w:rPr>
          <w:b/>
          <w:bCs/>
        </w:rPr>
        <w:t xml:space="preserve">☐  </w:t>
      </w:r>
      <w:r>
        <w:t xml:space="preserve">Renewal status transitions: membership:update-renewal-status (dailyAt 02:00) and SchoolYearSubmission/StateRemittance — confirm status transitions are idempotent and can't double-transition a school's renewal state if the command overlaps with a manual admin action.</w:t>
      </w:r>
    </w:p>
    <w:p>
      <w:pPr>
        <w:pStyle w:val="ListParagraph"/>
        <w:numPr>
          <w:ilvl w:val="0"/>
          <w:numId w:val="2"/>
        </w:numPr>
        <w:spacing w:after="90"/>
      </w:pPr>
      <w:r>
        <w:rPr>
          <w:b/>
          <w:bCs/>
        </w:rPr>
        <w:t xml:space="preserve">☐  </w:t>
      </w:r>
      <w:r>
        <w:t xml:space="preserve">Permission-path coverage: TenantUserCatalog::writePermissionForPath() was found missing a mapping for /board-results earlier this session (now fixed). Check whether /schools, /membership, and /annual-registration paths used by delegated Sahodaya staff are fully and correctly mapped, not falling through to an implicit 403.</w:t>
      </w:r>
    </w:p>
    <w:p>
      <w:pPr>
        <w:pStyle w:val="ListParagraph"/>
        <w:numPr>
          <w:ilvl w:val="0"/>
          <w:numId w:val="2"/>
        </w:numPr>
        <w:spacing w:after="90"/>
      </w:pPr>
      <w:r>
        <w:rPr>
          <w:b/>
          <w:bCs/>
        </w:rPr>
        <w:t xml:space="preserve">☐  </w:t>
      </w:r>
      <w:r>
        <w:t xml:space="preserve">Subscription vs Membership overlap: Admin/SubscriptionController + SubscriptionReceipt look like a separate billing concept from the school Membership flow — confirm which is authoritative today and flag if one is dead/legacy code still reachable via routes.</w:t>
      </w:r>
    </w:p>
    <w:p>
      <w:pPr>
        <w:pStyle w:val="ListParagraph"/>
        <w:numPr>
          <w:ilvl w:val="0"/>
          <w:numId w:val="2"/>
        </w:numPr>
        <w:spacing w:after="90"/>
      </w:pPr>
      <w:r>
        <w:rPr>
          <w:b/>
          <w:bCs/>
        </w:rPr>
        <w:t xml:space="preserve">☐  </w:t>
      </w:r>
      <w:r>
        <w:t xml:space="preserve">Legacy import commands: ImportKannurLegacySchools/ImportKannurLegacyMembership/ResetKannurSchoolPasswords exist as artisan commands — confirm these are one-time migration tools (not wired into any scheduled or user-triggerable path) so they can't be re-run destructively by accident.</w:t>
      </w:r>
    </w:p>
    <w:p>
      <w:pPr>
        <w:spacing w:after="120"/>
      </w:pPr>
      <w:r>
        <w:t xml:space="preserve"/>
      </w:r>
    </w:p>
    <w:p>
      <w:pPr>
        <w:pStyle w:val="Heading1"/>
        <w:spacing w:after="150" w:before="300"/>
      </w:pPr>
      <w:r>
        <w:t xml:space="preserve">2. FRD-03 — Competition Engine Core Framework</w:t>
      </w:r>
    </w:p>
    <w:p>
      <w:pPr>
        <w:spacing w:after="120"/>
      </w:pPr>
      <w:r>
        <w:t xml:space="preserve">Covers the shared FestEvent/FestEventItem/FestEventInvoice/EventHead engine that Sports, Kalotsav, and other event categories are all built on. This session's Sports work (head-level composite billing, quota/policy schema, roster governance, per-head gating on approval/ID cards/hall tickets, medal tally, report-overcounting fix) all sit on this core — the question is whether those changes generalized correctly or are Sports-specific patches.</w:t>
      </w:r>
    </w:p>
    <w:p>
      <w:pPr>
        <w:pStyle w:val="ListParagraph"/>
        <w:numPr>
          <w:ilvl w:val="0"/>
          <w:numId w:val="2"/>
        </w:numPr>
        <w:spacing w:after="90"/>
      </w:pPr>
      <w:r>
        <w:rPr>
          <w:b/>
          <w:bCs/>
        </w:rPr>
        <w:t xml:space="preserve">☐  </w:t>
      </w:r>
      <w:r>
        <w:t xml:space="preserve">Composite billing layer placement: confirm FestSchoolEventFeeService's head-aware recalculate()/attachPayment()/isPaid() (built for sports_composite billing) lives at the shared/core service layer and is reachable by non-Sports event categories, not gated behind a Sports-only code path.</w:t>
      </w:r>
    </w:p>
    <w:p>
      <w:pPr>
        <w:pStyle w:val="ListParagraph"/>
        <w:numPr>
          <w:ilvl w:val="0"/>
          <w:numId w:val="2"/>
        </w:numPr>
        <w:spacing w:after="90"/>
      </w:pPr>
      <w:r>
        <w:rPr>
          <w:b/>
          <w:bCs/>
        </w:rPr>
        <w:t xml:space="preserve">☐  </w:t>
      </w:r>
      <w:r>
        <w:t xml:space="preserve">FestEventInvoice rollup: confirm the per-head-to-rollup invoice model works for Kalotsav/other categories today, or whether it was only ever exercised end-to-end for Sports.</w:t>
      </w:r>
    </w:p>
    <w:p>
      <w:pPr>
        <w:pStyle w:val="ListParagraph"/>
        <w:numPr>
          <w:ilvl w:val="0"/>
          <w:numId w:val="2"/>
        </w:numPr>
        <w:spacing w:after="90"/>
      </w:pPr>
      <w:r>
        <w:rPr>
          <w:b/>
          <w:bCs/>
        </w:rPr>
        <w:t xml:space="preserve">☐  </w:t>
      </w:r>
      <w:r>
        <w:t xml:space="preserve">Per-head gating generalization: registration-approval gating, ID card/hall ticket/admit card per-head downloads, and the fully-paid auto-approve cascade were built per-head this session — confirm these live in the shared Fest registration/document controllers, not duplicated Sports-specific controller code that Kalotsav doesn't get.</w:t>
      </w:r>
    </w:p>
    <w:p>
      <w:pPr>
        <w:pStyle w:val="ListParagraph"/>
        <w:numPr>
          <w:ilvl w:val="0"/>
          <w:numId w:val="2"/>
        </w:numPr>
        <w:spacing w:after="90"/>
      </w:pPr>
      <w:r>
        <w:rPr>
          <w:b/>
          <w:bCs/>
        </w:rPr>
        <w:t xml:space="preserve">☐  </w:t>
      </w:r>
      <w:r>
        <w:t xml:space="preserve">Report-overcounting fix scope: the "schools paid" overcounting fix (commit df1358a) was applied to make Sports reports accurate under per-head billing — check whether the same query pattern exists uncorrected in any Kalotsav or generic Fest report.</w:t>
      </w:r>
    </w:p>
    <w:p>
      <w:pPr>
        <w:pStyle w:val="ListParagraph"/>
        <w:numPr>
          <w:ilvl w:val="0"/>
          <w:numId w:val="2"/>
        </w:numPr>
        <w:spacing w:after="90"/>
      </w:pPr>
      <w:r>
        <w:rPr>
          <w:b/>
          <w:bCs/>
        </w:rPr>
        <w:t xml:space="preserve">☐  </w:t>
      </w:r>
      <w:r>
        <w:t xml:space="preserve">Team/roster governance: Team entity coach/manager fields and roster governance (commit 9f9794b) — confirm this is a core Fest concept usable by any team-based event category, not hardcoded to Sports team events.</w:t>
      </w:r>
    </w:p>
    <w:p>
      <w:pPr>
        <w:pStyle w:val="ListParagraph"/>
        <w:numPr>
          <w:ilvl w:val="0"/>
          <w:numId w:val="2"/>
        </w:numPr>
        <w:spacing w:after="90"/>
      </w:pPr>
      <w:r>
        <w:rPr>
          <w:b/>
          <w:bCs/>
        </w:rPr>
        <w:t xml:space="preserve">☐  </w:t>
      </w:r>
      <w:r>
        <w:t xml:space="preserve">Backfill completeness: BackfillSportsHeadFees command exists for retrofitting live Sports events onto the head model — confirm there isn't an equivalent gap for any live Kalotsav events that predate the head model and never got backfilled.</w:t>
      </w:r>
    </w:p>
    <w:p>
      <w:pPr>
        <w:spacing w:after="120"/>
      </w:pPr>
      <w:r>
        <w:t xml:space="preserve"/>
      </w:r>
    </w:p>
    <w:p>
      <w:pPr>
        <w:pStyle w:val="Heading1"/>
        <w:spacing w:after="150" w:before="300"/>
      </w:pPr>
      <w:r>
        <w:t xml:space="preserve">3. FRD-08 — Custom Competition Management</w:t>
      </w:r>
    </w:p>
    <w:p>
      <w:pPr>
        <w:spacing w:after="120"/>
      </w:pPr>
      <w:r>
        <w:t xml:space="preserve">No CustomCompetition model or controller exists under that name in the codebase — first task is to establish how "custom" competitions are actually modeled (most likely a FestEvent category/type value alongside sports/kalotsav), then verify parity with the FRD-03 core engine changes.</w:t>
      </w:r>
    </w:p>
    <w:p>
      <w:pPr>
        <w:pStyle w:val="ListParagraph"/>
        <w:numPr>
          <w:ilvl w:val="0"/>
          <w:numId w:val="2"/>
        </w:numPr>
        <w:spacing w:after="90"/>
      </w:pPr>
      <w:r>
        <w:rPr>
          <w:b/>
          <w:bCs/>
        </w:rPr>
        <w:t xml:space="preserve">☐  </w:t>
      </w:r>
      <w:r>
        <w:t xml:space="preserve">Representation discovery: confirm how custom/non-standard competitions are modeled today (FestEvent.category or similar enum value) and document it, since no dedicated model/controller was found by name.</w:t>
      </w:r>
    </w:p>
    <w:p>
      <w:pPr>
        <w:pStyle w:val="ListParagraph"/>
        <w:numPr>
          <w:ilvl w:val="0"/>
          <w:numId w:val="2"/>
        </w:numPr>
        <w:spacing w:after="90"/>
      </w:pPr>
      <w:r>
        <w:rPr>
          <w:b/>
          <w:bCs/>
        </w:rPr>
        <w:t xml:space="preserve">☐  </w:t>
      </w:r>
      <w:r>
        <w:t xml:space="preserve">Feature parity with Sports/Kalotsav: confirm custom competitions can use per-head composite billing, quota enforcement, and the per-head approval/document-download gating verified under FRD-03, rather than only supporting the older whole-school billing model.</w:t>
      </w:r>
    </w:p>
    <w:p>
      <w:pPr>
        <w:pStyle w:val="ListParagraph"/>
        <w:numPr>
          <w:ilvl w:val="0"/>
          <w:numId w:val="2"/>
        </w:numPr>
        <w:spacing w:after="90"/>
      </w:pPr>
      <w:r>
        <w:rPr>
          <w:b/>
          <w:bCs/>
        </w:rPr>
        <w:t xml:space="preserve">☐  </w:t>
      </w:r>
      <w:r>
        <w:t xml:space="preserve">Report/dashboard inclusion: confirm reports and dashboards that list events by category correctly include or aggregate custom competitions rather than being hardcoded to only sports/kalotsav.</w:t>
      </w:r>
    </w:p>
    <w:p>
      <w:pPr>
        <w:pStyle w:val="ListParagraph"/>
        <w:numPr>
          <w:ilvl w:val="0"/>
          <w:numId w:val="2"/>
        </w:numPr>
        <w:spacing w:after="90"/>
      </w:pPr>
      <w:r>
        <w:rPr>
          <w:b/>
          <w:bCs/>
        </w:rPr>
        <w:t xml:space="preserve">☐  </w:t>
      </w:r>
      <w:r>
        <w:t xml:space="preserve">Admin UI discoverability: confirm Sahodaya admins actually have a UI path to create a custom-category event (not just a value that's valid in the DB schema but unreachable from any form).</w:t>
      </w:r>
    </w:p>
    <w:p>
      <w:pPr>
        <w:spacing w:after="120"/>
      </w:pPr>
      <w:r>
        <w:t xml:space="preserve"/>
      </w:r>
    </w:p>
    <w:p>
      <w:pPr>
        <w:pStyle w:val="Heading1"/>
        <w:spacing w:after="150" w:before="300"/>
      </w:pPr>
      <w:r>
        <w:t xml:space="preserve">4. FRD-17 — Platform Services &amp; Common Utilities</w:t>
      </w:r>
    </w:p>
    <w:p>
      <w:pPr>
        <w:spacing w:after="120"/>
      </w:pPr>
      <w:r>
        <w:t xml:space="preserve">Covers shared Support/ classes used across every module, with particular focus on utilities added or extended during the last two hardening passes (ReminderDedupGuard, TenantCache-adjacent caching in ExamStream, TenantUserCatalog).</w:t>
      </w:r>
    </w:p>
    <w:p>
      <w:pPr>
        <w:pStyle w:val="ListParagraph"/>
        <w:numPr>
          <w:ilvl w:val="0"/>
          <w:numId w:val="2"/>
        </w:numPr>
        <w:spacing w:after="90"/>
      </w:pPr>
      <w:r>
        <w:rPr>
          <w:b/>
          <w:bCs/>
        </w:rPr>
        <w:t xml:space="preserve">☐  </w:t>
      </w:r>
      <w:r>
        <w:t xml:space="preserve">ReminderDedupGuard coverage: it was wired into SendTrainingReminders, SendBoardResultUploadReminders, and SendMcqExamReminders only. Check whether SendFestRegistrationReminders, SendFestScheduleReminders, SendTrainingSessionReminders, SendMembershipRemindersCommand, and SendSchoolDocumentExpiryReminders have the same duplicate-send exposure and should get it too — or already have their own dedup logic that should be consolidated instead of left parallel.</w:t>
      </w:r>
    </w:p>
    <w:p>
      <w:pPr>
        <w:pStyle w:val="ListParagraph"/>
        <w:numPr>
          <w:ilvl w:val="0"/>
          <w:numId w:val="2"/>
        </w:numPr>
        <w:spacing w:after="90"/>
      </w:pPr>
      <w:r>
        <w:rPr>
          <w:b/>
          <w:bCs/>
        </w:rPr>
        <w:t xml:space="preserve">☐  </w:t>
      </w:r>
      <w:r>
        <w:t xml:space="preserve">Cache helper consistency: ExamStream's new caching hand-rolls its own tenant-scoped cache key rather than reusing the existing TenantCache::remember() helper (which already solves the same problem for Tenant::setting()). Decide whether that was the right call or whether it should be migrated onto the shared helper.</w:t>
      </w:r>
    </w:p>
    <w:p>
      <w:pPr>
        <w:pStyle w:val="ListParagraph"/>
        <w:numPr>
          <w:ilvl w:val="0"/>
          <w:numId w:val="2"/>
        </w:numPr>
        <w:spacing w:after="90"/>
      </w:pPr>
      <w:r>
        <w:rPr>
          <w:b/>
          <w:bCs/>
        </w:rPr>
        <w:t xml:space="preserve">☐  </w:t>
      </w:r>
      <w:r>
        <w:t xml:space="preserve">TenancyDatabase usage consistency: SendBoardResultUploadReminders uses TenancyDatabase::withTenantDatabase() while SendTrainingReminders/SendMcqExamReminders use TenancyDatabase::runWhenDatabaseReady() — confirm this is an intentional distinction (e.g. readiness-check semantics) and not accidental drift between near-identical commands.</w:t>
      </w:r>
    </w:p>
    <w:p>
      <w:pPr>
        <w:pStyle w:val="ListParagraph"/>
        <w:numPr>
          <w:ilvl w:val="0"/>
          <w:numId w:val="2"/>
        </w:numPr>
        <w:spacing w:after="90"/>
      </w:pPr>
      <w:r>
        <w:rPr>
          <w:b/>
          <w:bCs/>
        </w:rPr>
        <w:t xml:space="preserve">☐  </w:t>
      </w:r>
      <w:r>
        <w:t xml:space="preserve">TenantUserCatalog::writePermissionForPath() completeness: one gap (/board-results) was already found and fixed this session. Do a full pass over every SahodayaAdmin controller's route prefixes added in the last two sessions and confirm each has a mapping, rather than waiting to discover gaps one 403 report at a time.</w:t>
      </w:r>
    </w:p>
    <w:p>
      <w:pPr>
        <w:pStyle w:val="ListParagraph"/>
        <w:numPr>
          <w:ilvl w:val="0"/>
          <w:numId w:val="2"/>
        </w:numPr>
        <w:spacing w:after="90"/>
      </w:pPr>
      <w:r>
        <w:rPr>
          <w:b/>
          <w:bCs/>
        </w:rPr>
        <w:t xml:space="preserve">☐  </w:t>
      </w:r>
      <w:r>
        <w:t xml:space="preserve">Audit-logger consistency: confirm DataChangeLogger and PlatformAuditLogger are applied with the same granularity (causer, before/after state, reason) across all workflows touched this session, not just the ones already spot-checked under FRD-10.</w:t>
      </w:r>
    </w:p>
    <w:p>
      <w:pPr>
        <w:pStyle w:val="ListParagraph"/>
        <w:numPr>
          <w:ilvl w:val="0"/>
          <w:numId w:val="2"/>
        </w:numPr>
        <w:spacing w:after="90"/>
      </w:pPr>
      <w:r>
        <w:rPr>
          <w:b/>
          <w:bCs/>
        </w:rPr>
        <w:t xml:space="preserve">☐  </w:t>
      </w:r>
      <w:r>
        <w:t xml:space="preserve">Dead/unused Support classes: quick sweep for Support/ classes with no remaining callers (natural byproduct of the Kalotsav-to-Fest migration and other refactors), to flag cleanup candidates.</w:t>
      </w:r>
    </w:p>
    <w:p>
      <w:pPr>
        <w:spacing w:after="120"/>
      </w:pPr>
      <w:r>
        <w:t xml:space="preserve"/>
      </w:r>
    </w:p>
    <w:p>
      <w:pPr>
        <w:pStyle w:val="Heading1"/>
        <w:spacing w:after="150" w:before="300"/>
      </w:pPr>
      <w:r>
        <w:t xml:space="preserve">5. FRD-18 — Deployment, DevOps &amp; Infrastructure</w:t>
      </w:r>
    </w:p>
    <w:p>
      <w:pPr>
        <w:spacing w:after="120"/>
      </w:pPr>
      <w:r>
        <w:t xml:space="preserve">Covers scheduler configuration (routes/console.php), cache-driver assumptions behind new atomic-cache-dependent code, and migration/deployment hygiene for what shipped this session.</w:t>
      </w:r>
    </w:p>
    <w:p>
      <w:pPr>
        <w:pStyle w:val="ListParagraph"/>
        <w:numPr>
          <w:ilvl w:val="0"/>
          <w:numId w:val="2"/>
        </w:numPr>
        <w:spacing w:after="90"/>
      </w:pPr>
      <w:r>
        <w:rPr>
          <w:b/>
          <w:bCs/>
        </w:rPr>
        <w:t xml:space="preserve">☐  </w:t>
      </w:r>
      <w:r>
        <w:t xml:space="preserve">Scheduler overlap protection: none of the ~13 commands scheduled in routes/console.php use -&gt;withoutOverlapping(), including several running every 5-15 minutes (mcq:auto-submit-expired, fest:schedule-reminders, mcq:transition-exam-windows). Confirm this is acceptable given each command's runtime characteristics, or flag the ones that could stack up if a run hangs past its own interval.</w:t>
      </w:r>
    </w:p>
    <w:p>
      <w:pPr>
        <w:pStyle w:val="ListParagraph"/>
        <w:numPr>
          <w:ilvl w:val="0"/>
          <w:numId w:val="2"/>
        </w:numPr>
        <w:spacing w:after="90"/>
      </w:pPr>
      <w:r>
        <w:rPr>
          <w:b/>
          <w:bCs/>
        </w:rPr>
        <w:t xml:space="preserve">☐  </w:t>
      </w:r>
      <w:r>
        <w:t xml:space="preserve">Cache-driver assumption for ReminderDedupGuard/ExamStream caching: both rely on Cache::add()/Cache::remember() being safe under concurrent scheduler runs, which requires an atomic backend (Redis). .env.example sets CACHE_STORE=redis but config/cache.php falls back to 'database' if unset — confirm production deployment actually sets CACHE_STORE=redis, since a database-driver fallback would make the new dedup guard's atomicity guarantee weaker than assumed.</w:t>
      </w:r>
    </w:p>
    <w:p>
      <w:pPr>
        <w:pStyle w:val="ListParagraph"/>
        <w:numPr>
          <w:ilvl w:val="0"/>
          <w:numId w:val="2"/>
        </w:numPr>
        <w:spacing w:after="90"/>
      </w:pPr>
      <w:r>
        <w:rPr>
          <w:b/>
          <w:bCs/>
        </w:rPr>
        <w:t xml:space="preserve">☐  </w:t>
      </w:r>
      <w:r>
        <w:t xml:space="preserve">New tenant migrations placement: confirm the 3 migrations added this session (2026_08_08_000001_notification_logs_body, 2026_08_08_000002_training_attendance_previous_status, 2026_08_09_000001_fee_receipt_rejection_history) are correctly picked up by whatever runs tenant migrations for both newly-provisioned Sahodayas (ProvisionSahodayaDatabases) and existing ones (a tenant migrate-all path), so no Sahodaya is silently left behind.</w:t>
      </w:r>
    </w:p>
    <w:p>
      <w:pPr>
        <w:pStyle w:val="ListParagraph"/>
        <w:numPr>
          <w:ilvl w:val="0"/>
          <w:numId w:val="2"/>
        </w:numPr>
        <w:spacing w:after="90"/>
      </w:pPr>
      <w:r>
        <w:rPr>
          <w:b/>
          <w:bCs/>
        </w:rPr>
        <w:t xml:space="preserve">☐  </w:t>
      </w:r>
      <w:r>
        <w:t xml:space="preserve">Queue/worker coverage: confirm the newer notification-heavy workflows (MCQ batch fee notifications, TrainingPendingSchool link/reject notifications) don't introduce a new queue name that isn't covered by the existing queue worker/Horizon configuration.</w:t>
      </w:r>
    </w:p>
    <w:p>
      <w:pPr>
        <w:pStyle w:val="ListParagraph"/>
        <w:numPr>
          <w:ilvl w:val="0"/>
          <w:numId w:val="2"/>
        </w:numPr>
        <w:spacing w:after="90"/>
      </w:pPr>
      <w:r>
        <w:rPr>
          <w:b/>
          <w:bCs/>
        </w:rPr>
        <w:t xml:space="preserve">☐  </w:t>
      </w:r>
      <w:r>
        <w:t xml:space="preserve">Deployment docs currency: check whether any README/DEPLOYMENT doc that lists artisan commands or scheduled jobs has been updated to reflect the volume of new commands added this session, so ops doesn't rely on a stale list.</w:t>
      </w:r>
    </w:p>
    <w:p>
      <w:pPr>
        <w:spacing w:after="120"/>
      </w:pPr>
      <w:r>
        <w:t xml:space="preserve"/>
      </w:r>
    </w:p>
    <w:p>
      <w:pPr>
        <w:pStyle w:val="Heading1"/>
        <w:spacing w:after="150" w:before="300"/>
      </w:pPr>
      <w:r>
        <w:t xml:space="preserve">Next Step</w:t>
      </w:r>
    </w:p>
    <w:p>
      <w:pPr>
        <w:spacing w:after="120"/>
      </w:pPr>
      <w:r>
        <w:t xml:space="preserve">Once this plan is approved, each of the 5 areas gets a dedicated read-only research pass (same methodology as the prior two hardening passes: specific file/method evidence required, no speculative findings), producing a findings report with Critical/High/Medium/Low severity per item. Findings then get added to the task tracker and a follow-up hardening-plan document. FRD-19 and FRD-20 remain deferred until this set is closed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2026-07-12T10:39:04.358Z</dcterms:created>
  <dcterms:modified xsi:type="dcterms:W3CDTF">2026-07-12T10:39:04.359Z</dcterms:modified>
</cp:coreProperties>
</file>

<file path=docProps/custom.xml><?xml version="1.0" encoding="utf-8"?>
<Properties xmlns="http://schemas.openxmlformats.org/officeDocument/2006/custom-properties" xmlns:vt="http://schemas.openxmlformats.org/officeDocument/2006/docPropsVTypes"/>
</file>