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864"/>
          <w:sz w:val="56"/>
          <w:szCs w:val="56"/>
        </w:rPr>
        <w:t xml:space="preserve">MASTER PRODUCT AUDIT</w:t>
      </w:r>
    </w:p>
    <w:p>
      <w:pPr>
        <w:spacing w:after="100"/>
        <w:jc w:val="center"/>
      </w:pPr>
      <w:r>
        <w:rPr>
          <w:b/>
          <w:bCs/>
          <w:color w:val="2E5090"/>
          <w:sz w:val="32"/>
          <w:szCs w:val="32"/>
        </w:rPr>
        <w:t xml:space="preserve">CBSE Sahodaya Digital Platform</w:t>
      </w:r>
    </w:p>
    <w:p>
      <w:pPr>
        <w:spacing w:after="600"/>
        <w:jc w:val="center"/>
      </w:pPr>
      <w:r>
        <w:rPr>
          <w:color w:val="404040"/>
          <w:sz w:val="24"/>
          <w:szCs w:val="24"/>
        </w:rPr>
        <w:t xml:space="preserve">Complete Product Gap Analysis — Codebase vs. Functional Requirement Documents (FRD-01 through FRD-21)</w:t>
      </w:r>
    </w:p>
    <w:p>
      <w:pPr>
        <w:spacing w:after="100"/>
        <w:jc w:val="center"/>
      </w:pPr>
      <w:r>
        <w:rPr>
          <w:color w:val="808080"/>
          <w:sz w:val="20"/>
          <w:szCs w:val="20"/>
        </w:rPr>
        <w:t xml:space="preserve">Laravel 12 · PHP 8 · PostgreSQL · Redis · Inertia/Vue 3 · Multi-Tenant Architecture</w:t>
      </w:r>
    </w:p>
    <w:p>
      <w:pPr>
        <w:spacing w:after="100"/>
        <w:jc w:val="center"/>
      </w:pPr>
      <w:r>
        <w:rPr>
          <w:color w:val="808080"/>
          <w:sz w:val="20"/>
          <w:szCs w:val="20"/>
        </w:rPr>
        <w:t xml:space="preserve">Prepared for: anoop  |  Date: 10 July 2026</w:t>
      </w:r>
    </w:p>
    <w:p>
      <w:pPr>
        <w:spacing w:after="100"/>
        <w:jc w:val="center"/>
      </w:pPr>
      <w:r>
        <w:rPr>
          <w:color w:val="808080"/>
          <w:sz w:val="20"/>
          <w:szCs w:val="20"/>
        </w:rPr>
        <w:t xml:space="preserve">Scope: 21 FRDs · 743 PHP files · 243 controllers · 157 models · 160 migrations · 342 frontend pages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Methodology &amp; Scope Notes</w:t>
      </w:r>
    </w:p>
    <w:p>
      <w:pPr>
        <w:spacing w:after="120"/>
      </w:pPr>
      <w:r>
        <w:t xml:space="preserve">This audit independently compared the live application codebase against 21 Functional Requirement Documents (FRD-01 through FRD-21, no FRD numbered 08 was missing after a mid-audit addition — see below) covering every module of the CBSE Sahodaya Digital Platform. Each FRD was audited by an independent reviewer against the actual code (controllers, models, migrations, routes, frontend pages, and views) with no reliance on the repository's own prior internal audit documents (AUDIT_REPORT.md, FULL_GAP_ANALYSIS.md, NAV_AUDIT_FINDINGS.md, and similar) — every finding in this report and its appendices is traceable to a specific file, route, or migration in the current codebase.</w:t>
      </w:r>
    </w:p>
    <w:p>
      <w:pPr>
        <w:pStyle w:val="Heading2"/>
      </w:pPr>
      <w:r>
        <w:t xml:space="preserve">Documentation issues encountered during the audit (findings in their own right)</w:t>
      </w:r>
    </w:p>
    <w:p>
      <w:pPr>
        <w:pStyle w:val="ListParagraph"/>
        <w:numPr>
          <w:ilvl w:val="0"/>
          <w:numId w:val="2"/>
        </w:numPr>
        <w:spacing w:after="60"/>
      </w:pPr>
      <w:r>
        <w:t xml:space="preserve">FRD-01 version conflict: </w:t>
      </w:r>
      <w:r>
        <w:t xml:space="preserve">the FRD folder originally contained both a full expanded FRD-01 ("v2", 161 lines covering the entire membership module scope) and a short amendment ("v3", 34 lines, describing only an ID-card scope change). Partway through this audit, v2 was removed from the source folder, leaving only the v3 amendment — which on its own is NOT a complete functional requirement (it does not restate registration, verification, finance, or reporting scope). This audit used the full v2 content (preserved in the working files) as the baseline with the v3 amendment applied on top, since v3 alone cannot be audited against. </w:t>
      </w:r>
    </w:p>
    <w:p>
      <w:pPr>
        <w:pStyle w:val="ListParagraph"/>
        <w:numPr>
          <w:ilvl w:val="0"/>
          <w:numId w:val="2"/>
        </w:numPr>
        <w:spacing w:after="60"/>
      </w:pPr>
      <w:r>
        <w:t xml:space="preserve">FRD-08 (Custom Competition Management) was added to the source folder partway through this audit — it was not present in the initial 20-document set and has been fully audited and included below.</w:t>
      </w:r>
    </w:p>
    <w:p>
      <w:pPr>
        <w:pStyle w:val="ListParagraph"/>
        <w:numPr>
          <w:ilvl w:val="0"/>
          <w:numId w:val="2"/>
        </w:numPr>
        <w:spacing w:after="60"/>
      </w:pPr>
      <w:r>
        <w:t xml:space="preserve">No further FRD documents were added to the source folder after FRD-08; this report reflects the 21 FRDs present in docs/FRD/ as of the time of writing.</w:t>
      </w:r>
    </w:p>
    <w:p>
      <w:pPr>
        <w:pStyle w:val="Heading2"/>
      </w:pPr>
      <w:r>
        <w:t xml:space="preserve">How to read the scores</w:t>
      </w:r>
    </w:p>
    <w:p>
      <w:pPr>
        <w:spacing w:after="120"/>
      </w:pPr>
      <w:r>
        <w:t xml:space="preserve">"Coverage Score" for each module is the auditor's calibrated estimate of how much of that FRD's required scope is actually implemented and working in the current codebase, not merely scaffolded. A high coverage score with Critical issues still present (e.g. FRD-07 at 78%) means the visible feature surface is mature but specific business-rule or data-integrity gaps remain that could cause real harm in production. A low score (e.g. FRD-10 at 12%) means the FRD's central concept was not built at all, regardless of how much surrounding functionality exists.</w:t>
      </w:r>
    </w:p>
    <w:p>
      <w:r>
        <w:br w:type="page"/>
      </w:r>
    </w:p>
    <w:p>
      <w:pPr>
        <w:pStyle w:val="Heading1"/>
      </w:pPr>
      <w:r>
        <w:t xml:space="preserve">2. Executive Summary</w:t>
      </w:r>
    </w:p>
    <w:p>
      <w:pPr>
        <w:spacing w:after="120"/>
      </w:pPr>
      <w:r>
        <w:t xml:space="preserve">Across all 21 FRDs, the platform's overall FRD coverage averages 41% (unweighted mean of 21 module scores), with a combined total of 473 distinct issues identified (121 Critical, 190 Major, 162 Minor). The pattern across modules is consistent and important: the platform is strongest exactly where a single team built one thing end-to-end for one purpose, and weakest exactly where the FRDs called for a shared, reusable, cross-cutting engine that many modules should plug into.</w:t>
      </w:r>
    </w:p>
    <w:p>
      <w:pPr>
        <w:pStyle w:val="Heading2"/>
      </w:pPr>
      <w:r>
        <w:t xml:space="preserve">The business/domain modules are reasonably mature</w:t>
      </w:r>
    </w:p>
    <w:p>
      <w:pPr>
        <w:spacing w:after="120"/>
      </w:pPr>
      <w:r>
        <w:t xml:space="preserve">FRD-01 through FRD-09 (Membership, Student/Teacher Registry, Competition Engine, Sports, Kalotsav, Finance, Examinations, Custom Competitions, Teacher Training) average 54% coverage. Membership, the Competition Engine, Sports, and Examinations in particular have real service-layer architecture, working end-to-end workflows, and evidence of genuine engineering care. Finance has a genuinely well-built double-entry ledger core. The clear outlier is FRD-08 (Custom Competition Management) at 18% — the FRD's central promise of a low-code, no-developer-needed competition builder does not exist; every competition type today is hardcoded by a developer.</w:t>
      </w:r>
    </w:p>
    <w:p>
      <w:pPr>
        <w:pStyle w:val="Heading2"/>
      </w:pPr>
      <w:r>
        <w:t xml:space="preserve">The cross-cutting platform engines are the weakest link</w:t>
      </w:r>
    </w:p>
    <w:p>
      <w:pPr>
        <w:spacing w:after="120"/>
      </w:pPr>
      <w:r>
        <w:t xml:space="preserve">FRD-10 through FRD-18 (Workflow/Approval Engine, Document/Template Engine, Notification Engine, Multi-Tenant Platform, Reporting/BI, Security, Shared Masters, Platform Services, DevOps) average only 31% coverage. These are the FRDs that explicitly asked for ONE shared engine that other modules reuse — and in every single case, the audit found the opposite: 8+ independent hand-rolled approval implementations instead of one Workflow Engine (FRD-10, 12%); three incompatible certificate/template systems instead of one Document Engine (FRD-11, 28%); only Email and In-App notifications working while Push is dead code and SMS/WhatsApp are entirely absent (FRD-12, 22%); and four overlapping "class category" concepts with no Configuration Engine at all (FRD-16, 34%). This is the single most consequential architectural finding of the entire audit and is the primary driver of duplicated logic, inconsistent business rules, and elevated maintenance cost across the whole platform.</w:t>
      </w:r>
    </w:p>
    <w:p>
      <w:pPr>
        <w:pStyle w:val="Heading2"/>
      </w:pPr>
      <w:r>
        <w:t xml:space="preserve">The public-facing layer is functional but shallow</w:t>
      </w:r>
    </w:p>
    <w:p>
      <w:pPr>
        <w:spacing w:after="120"/>
      </w:pPr>
      <w:r>
        <w:t xml:space="preserve">FRD-19 through FRD-21 (Public Portal, Website Builder, Academic Results/Toppers) average 33% coverage. The Website Builder is a genuinely substantial 41-section-type CMS, but FRD-21 (Academic Results/Toppers) at 12% is essentially a website content widget with no verification workflow, ranking engine, or Sahodaya-level dashboards — the weakest-built module in the entire platform alongside the Workflow Engine.</w:t>
      </w:r>
    </w:p>
    <w:p>
      <w:pPr>
        <w:pStyle w:val="Heading2"/>
      </w:pPr>
      <w:r>
        <w:t xml:space="preserve">The five most serious individual findings, regardless of module</w:t>
      </w:r>
    </w:p>
    <w:p>
      <w:pPr>
        <w:pStyle w:val="ListParagraph"/>
        <w:numPr>
          <w:ilvl w:val="0"/>
          <w:numId w:val="2"/>
        </w:numPr>
        <w:spacing w:after="60"/>
      </w:pPr>
      <w:r>
        <w:rPr>
          <w:b/>
          <w:bCs/>
        </w:rPr>
        <w:t xml:space="preserve">Plaintext passwords are stored permanently and displayed to admins. </w:t>
      </w:r>
      <w:r>
        <w:t xml:space="preserve">A `plain_password` column on both `users` and tenant `users` tables is written on account creation and never cleared — the cleanup service exists but is never called. Any database compromise, or any authorized-but-malicious admin, exposes live, working credentials for every student/teacher/staff account, not just password hashes. (FRD-15)</w:t>
      </w:r>
    </w:p>
    <w:p>
      <w:pPr>
        <w:pStyle w:val="ListParagraph"/>
        <w:numPr>
          <w:ilvl w:val="0"/>
          <w:numId w:val="2"/>
        </w:numPr>
        <w:spacing w:after="60"/>
      </w:pPr>
      <w:r>
        <w:rPr>
          <w:b/>
          <w:bCs/>
        </w:rPr>
        <w:t xml:space="preserve">A live, exploitable tenant-isolation leak on the State Admin role. </w:t>
      </w:r>
      <w:r>
        <w:t xml:space="preserve">State Admin has no state/region scoping column anywhere in the schema, and the middleware that protects Sahodaya/School roles does not exist for State Admin — any state admin can read and write every other state's fest programs, qualifiers, and remittances today. (FRD-13)</w:t>
      </w:r>
    </w:p>
    <w:p>
      <w:pPr>
        <w:pStyle w:val="ListParagraph"/>
        <w:numPr>
          <w:ilvl w:val="0"/>
          <w:numId w:val="2"/>
        </w:numPr>
        <w:spacing w:after="60"/>
      </w:pPr>
      <w:r>
        <w:rPr>
          <w:b/>
          <w:bCs/>
        </w:rPr>
        <w:t xml:space="preserve">No generic Workflow &amp; Approval Engine exists.</w:t>
      </w:r>
      <w:r>
        <w:t xml:space="preserve"> Every module — membership, student/teacher verification, fest registration/appeals, exam registration, training — reimplements its own approve/reject/hold logic with a different status vocabulary. This is the textbook anti-pattern the FRD was written to eliminate. (FRD-10)</w:t>
      </w:r>
    </w:p>
    <w:p>
      <w:pPr>
        <w:pStyle w:val="ListParagraph"/>
        <w:numPr>
          <w:ilvl w:val="0"/>
          <w:numId w:val="2"/>
        </w:numPr>
        <w:spacing w:after="60"/>
      </w:pPr>
      <w:r>
        <w:rPr>
          <w:b/>
          <w:bCs/>
        </w:rPr>
        <w:t xml:space="preserve">A confirmed stored-XSS vulnerability in the Website Builder. </w:t>
      </w:r>
      <w:r>
        <w:t xml:space="preserve">The "WYSIWYG" field type is an unsanitized plain textarea whose content is rendered with Blade's raw `{!! !!}` in 21 public-facing section templates. (FRD-20)</w:t>
      </w:r>
    </w:p>
    <w:p>
      <w:pPr>
        <w:pStyle w:val="ListParagraph"/>
        <w:numPr>
          <w:ilvl w:val="0"/>
          <w:numId w:val="2"/>
        </w:numPr>
        <w:spacing w:after="60"/>
      </w:pPr>
      <w:r>
        <w:rPr>
          <w:b/>
          <w:bCs/>
        </w:rPr>
        <w:t xml:space="preserve">No CI/CD, monitoring, or backup automation exists.</w:t>
      </w:r>
      <w:r>
        <w:t xml:space="preserve"> The platform runs on a local-development-style Docker setup with strong runbook documentation describing a production architecture that has not actually been built. (FRD-18)</w:t>
      </w:r>
    </w:p>
    <w:p>
      <w:r>
        <w:br w:type="page"/>
      </w:r>
    </w:p>
    <w:p>
      <w:pPr>
        <w:pStyle w:val="Heading1"/>
      </w:pPr>
      <w:r>
        <w:t xml:space="preserve">3. Master Product Audit — Platform-Wide Scores</w:t>
      </w:r>
    </w:p>
    <w:p>
      <w:pPr>
        <w:spacing w:after="120"/>
      </w:pPr>
      <w:r>
        <w:t xml:space="preserve">These scores summarize platform-wide posture across dimensions that cut across all 21 modules, synthesized from the detailed findings in every module report. They are qualitative judgments grounded in the volume and severity of issues found in each area (cited in the appendices), not a formula — treat them as a structured executive signal, not a precise measurement.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680"/>
      </w:tblGrid>
      <w:tr>
        <w:trPr>
          <w:tblHeader/>
        </w:trPr>
        <w:tc>
          <w:tcPr>
            <w:tcW w:type="dxa" w:w="2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b/>
                <w:bCs/>
                <w:color w:val="FFFFFF"/>
                <w:sz w:val="18"/>
                <w:szCs w:val="18"/>
              </w:rPr>
              <w:t xml:space="preserve">Dimension</w:t>
            </w:r>
          </w:p>
        </w:tc>
        <w:tc>
          <w:tcPr>
            <w:tcW w:type="dxa" w:w="1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b/>
                <w:bCs/>
                <w:color w:val="FFFFFF"/>
                <w:sz w:val="18"/>
                <w:szCs w:val="18"/>
              </w:rPr>
              <w:t xml:space="preserve">Score</w:t>
            </w:r>
          </w:p>
        </w:tc>
        <w:tc>
          <w:tcPr>
            <w:tcW w:type="dxa" w:w="568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b/>
                <w:bCs/>
                <w:color w:val="FFFFFF"/>
                <w:sz w:val="18"/>
                <w:szCs w:val="18"/>
              </w:rPr>
              <w:t xml:space="preserve">Basis</w:t>
            </w:r>
          </w:p>
        </w:tc>
      </w:tr>
      <w:tr>
        <w:tc>
          <w:tcPr>
            <w:tcW w:type="dxa" w:w="2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b/>
                <w:bCs/>
                <w:sz w:val="18"/>
                <w:szCs w:val="18"/>
              </w:rPr>
              <w:t xml:space="preserve">Overall Completion</w:t>
            </w:r>
          </w:p>
        </w:tc>
        <w:tc>
          <w:tcPr>
            <w:tcW w:type="dxa" w:w="1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bCs/>
                <w:color w:val="BF8F00"/>
                <w:sz w:val="18"/>
                <w:szCs w:val="18"/>
              </w:rPr>
              <w:t xml:space="preserve">41%</w:t>
            </w:r>
          </w:p>
        </w:tc>
        <w:tc>
          <w:tcPr>
            <w:tcW w:type="dxa" w:w="568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sz w:val="18"/>
                <w:szCs w:val="18"/>
              </w:rPr>
              <w:t xml:space="preserve">Unweighted mean FRD coverage across 21 modules; business modules materially ahead of platform engines.</w:t>
            </w:r>
          </w:p>
        </w:tc>
      </w:tr>
      <w:tr>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bCs/>
                <w:sz w:val="18"/>
                <w:szCs w:val="18"/>
              </w:rPr>
              <w:t xml:space="preserve">Technical Debt</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bCs/>
                <w:color w:val="C00000"/>
                <w:sz w:val="18"/>
                <w:szCs w:val="18"/>
              </w:rPr>
              <w:t xml:space="preserve">~62% (High)</w:t>
            </w:r>
          </w:p>
        </w:tc>
        <w:tc>
          <w:tcPr>
            <w:tcW w:type="dxa" w:w="568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473 total issues logged; heavy duplication (3 parallel document engines, 8+ approval implementations, 21+ duplicated CSV export blocks, 4 overlapping class-category models).</w:t>
            </w:r>
          </w:p>
        </w:tc>
      </w:tr>
      <w:tr>
        <w:tc>
          <w:tcPr>
            <w:tcW w:type="dxa" w:w="2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b/>
                <w:bCs/>
                <w:sz w:val="18"/>
                <w:szCs w:val="18"/>
              </w:rPr>
              <w:t xml:space="preserve">Architecture Score</w:t>
            </w:r>
          </w:p>
        </w:tc>
        <w:tc>
          <w:tcPr>
            <w:tcW w:type="dxa" w:w="1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bCs/>
                <w:color w:val="C00000"/>
                <w:sz w:val="18"/>
                <w:szCs w:val="18"/>
              </w:rPr>
              <w:t xml:space="preserve">4 / 10</w:t>
            </w:r>
          </w:p>
        </w:tc>
        <w:tc>
          <w:tcPr>
            <w:tcW w:type="dxa" w:w="568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sz w:val="18"/>
                <w:szCs w:val="18"/>
              </w:rPr>
              <w:t xml:space="preserve">Strong domain service layers (Ledger, Membership, MCQ) undermined by the near-total absence of the FRD-mandated shared engines (Workflow, Document, Notification).</w:t>
            </w:r>
          </w:p>
        </w:tc>
      </w:tr>
      <w:tr>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bCs/>
                <w:sz w:val="18"/>
                <w:szCs w:val="18"/>
              </w:rPr>
              <w:t xml:space="preserve">Database Score</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bCs/>
                <w:color w:val="BF8F00"/>
                <w:sz w:val="18"/>
                <w:szCs w:val="18"/>
              </w:rPr>
              <w:t xml:space="preserve">5 / 10</w:t>
            </w:r>
          </w:p>
        </w:tc>
        <w:tc>
          <w:tcPr>
            <w:tcW w:type="dxa" w:w="568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Solid core schema for Finance/Membership; but missing FKs across Fest tables, duplicate scoring tables, a non-tenant-scoped FinancialYear singleton, and plaintext password columns.</w:t>
            </w:r>
          </w:p>
        </w:tc>
      </w:tr>
      <w:tr>
        <w:tc>
          <w:tcPr>
            <w:tcW w:type="dxa" w:w="2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b/>
                <w:bCs/>
                <w:sz w:val="18"/>
                <w:szCs w:val="18"/>
              </w:rPr>
              <w:t xml:space="preserve">UI Score</w:t>
            </w:r>
          </w:p>
        </w:tc>
        <w:tc>
          <w:tcPr>
            <w:tcW w:type="dxa" w:w="1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bCs/>
                <w:color w:val="BF8F00"/>
                <w:sz w:val="18"/>
                <w:szCs w:val="18"/>
              </w:rPr>
              <w:t xml:space="preserve">5 / 10</w:t>
            </w:r>
          </w:p>
        </w:tc>
        <w:tc>
          <w:tcPr>
            <w:tcW w:type="dxa" w:w="568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sz w:val="18"/>
                <w:szCs w:val="18"/>
              </w:rPr>
              <w:t xml:space="preserve">342 working Vue pages across every role; but three incompatible certificate/template UIs, no notification center widget, and zero charting/BI visualization anywhere.</w:t>
            </w:r>
          </w:p>
        </w:tc>
      </w:tr>
      <w:tr>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bCs/>
                <w:sz w:val="18"/>
                <w:szCs w:val="18"/>
              </w:rPr>
              <w:t xml:space="preserve">Security Score</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bCs/>
                <w:color w:val="C00000"/>
                <w:sz w:val="18"/>
                <w:szCs w:val="18"/>
              </w:rPr>
              <w:t xml:space="preserve">4 / 10</w:t>
            </w:r>
          </w:p>
        </w:tc>
        <w:tc>
          <w:tcPr>
            <w:tcW w:type="dxa" w:w="568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Dragged down decisively by the permanent plaintext-password store and the State Admin tenant-isolation leak; otherwise CSRF/tenant-ownership checks are mostly sound.</w:t>
            </w:r>
          </w:p>
        </w:tc>
      </w:tr>
      <w:tr>
        <w:tc>
          <w:tcPr>
            <w:tcW w:type="dxa" w:w="2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b/>
                <w:bCs/>
                <w:sz w:val="18"/>
                <w:szCs w:val="18"/>
              </w:rPr>
              <w:t xml:space="preserve">Performance Score</w:t>
            </w:r>
          </w:p>
        </w:tc>
        <w:tc>
          <w:tcPr>
            <w:tcW w:type="dxa" w:w="1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bCs/>
                <w:color w:val="C00000"/>
                <w:sz w:val="18"/>
                <w:szCs w:val="18"/>
              </w:rPr>
              <w:t xml:space="preserve">4 / 10</w:t>
            </w:r>
          </w:p>
        </w:tc>
        <w:tc>
          <w:tcPr>
            <w:tcW w:type="dxa" w:w="568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sz w:val="18"/>
                <w:szCs w:val="18"/>
              </w:rPr>
              <w:t xml:space="preserve">Production `.env` runs `QUEUE_CONNECTION=sync` and `CACHE_STORE=file` despite Redis being fully configured; synchronous notification sending; N+1 risk in report queries.</w:t>
            </w:r>
            <w:r>
              <w:rPr>
                <w:sz w:val="18"/>
                <w:szCs w:val="18"/>
              </w:rPr>
              <w:t xml:space="preserve">Production `.env` runs `QUEUE_CONNECTION=sync` and `CACHE_STORE=file` despite Redis being fully configured; synchronous notification sending; N+1 risk in report queries.</w:t>
            </w:r>
            <w:r>
              <w:rPr>
                <w:sz w:val="18"/>
                <w:szCs w:val="18"/>
              </w:rPr>
              <w:t xml:space="preserve">Production `.env` runs `QUEUE_CONNECTION=sync` and `CACHE_STORE=file` despite Redis being fully configured; synchronous notification sending; N+1 risk in report queries.</w:t>
            </w:r>
            <w:r>
              <w:rPr>
                <w:sz w:val="18"/>
                <w:szCs w:val="18"/>
              </w:rPr>
              <w:t xml:space="preserve">Production `.env` runs `QUEUE_CONNECTION=sync` and `CACHE_STORE=file` despite Redis being fully configured; synchronous notification sending; N+1 risk in report queries.</w:t>
            </w:r>
            <w:r>
              <w:rPr>
                <w:sz w:val="18"/>
                <w:szCs w:val="18"/>
              </w:rPr>
              <w:t xml:space="preserve">Production `.env` runs `QUEUE_CONNECTION=sync` and `CACHE_STORE=file` despite Redis being fully configured; synchronous notification sending; N+1 risk in report queries.</w:t>
            </w:r>
            <w:r>
              <w:rPr>
                <w:sz w:val="18"/>
                <w:szCs w:val="18"/>
              </w:rPr>
              <w:t xml:space="preserve">Production `.env` runs `QUEUE_CONNECTION=sync` and `CACHE_STORE=file` despite Redis being fully configured; synchronous notification sending; N+1 risk in report queries.</w:t>
            </w:r>
            <w:r>
              <w:rPr>
                <w:sz w:val="18"/>
                <w:szCs w:val="18"/>
              </w:rPr>
              <w:t xml:space="preserve">Production `.env` runs `QUEUE_CONNECTION=sync` and `CACHE_STORE=file` despite Redis being fully configured; synchronous notification sending; N+1 risk in report queries.</w:t>
            </w:r>
          </w:p>
        </w:tc>
      </w:tr>
      <w:tr>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bCs/>
                <w:sz w:val="18"/>
                <w:szCs w:val="18"/>
              </w:rPr>
              <w:t xml:space="preserve">Maintainability Score</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bCs/>
                <w:color w:val="C00000"/>
                <w:sz w:val="18"/>
                <w:szCs w:val="18"/>
              </w:rPr>
              <w:t xml:space="preserve">3 / 10</w:t>
            </w:r>
          </w:p>
        </w:tc>
        <w:tc>
          <w:tcPr>
            <w:tcW w:type="dxa" w:w="568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The clearest theme of this entire audit: the same problem (approval flow, certificate generation, CSV export, class-category masters) was solved independently 3-8+ times across the codebase.</w:t>
            </w:r>
          </w:p>
        </w:tc>
      </w:tr>
      <w:tr>
        <w:tc>
          <w:tcPr>
            <w:tcW w:type="dxa" w:w="2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b/>
                <w:bCs/>
                <w:sz w:val="18"/>
                <w:szCs w:val="18"/>
              </w:rPr>
              <w:t xml:space="preserve">Enterprise Readiness</w:t>
            </w:r>
          </w:p>
        </w:tc>
        <w:tc>
          <w:tcPr>
            <w:tcW w:type="dxa" w:w="1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bCs/>
                <w:color w:val="C00000"/>
                <w:sz w:val="18"/>
                <w:szCs w:val="18"/>
              </w:rPr>
              <w:t xml:space="preserve">3 / 10</w:t>
            </w:r>
          </w:p>
        </w:tc>
        <w:tc>
          <w:tcPr>
            <w:tcW w:type="dxa" w:w="568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sz w:val="18"/>
                <w:szCs w:val="18"/>
              </w:rPr>
              <w:t xml:space="preserve">No CI/CD, no monitoring/APM, no automated backups, no MFA, no staging environment — production-readiness has not yet been engineered, only documented in runbooks.</w:t>
            </w:r>
          </w:p>
        </w:tc>
      </w:tr>
      <w:tr>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bCs/>
                <w:sz w:val="18"/>
                <w:szCs w:val="18"/>
              </w:rPr>
              <w:t xml:space="preserve">SaaS Readiness</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bCs/>
                <w:color w:val="C00000"/>
                <w:sz w:val="18"/>
                <w:szCs w:val="18"/>
              </w:rPr>
              <w:t xml:space="preserve">4 / 10</w:t>
            </w:r>
          </w:p>
        </w:tc>
        <w:tc>
          <w:tcPr>
            <w:tcW w:type="dxa" w:w="568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Real per-tenant DB isolation core is good, but no subscription enforcement, no impersonation, no tenant feature flags, and the State Admin isolation leak above.</w:t>
            </w:r>
          </w:p>
        </w:tc>
      </w:tr>
      <w:tr>
        <w:tc>
          <w:tcPr>
            <w:tcW w:type="dxa" w:w="2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b/>
                <w:bCs/>
                <w:sz w:val="18"/>
                <w:szCs w:val="18"/>
              </w:rPr>
              <w:t xml:space="preserve">Code Quality Score</w:t>
            </w:r>
          </w:p>
        </w:tc>
        <w:tc>
          <w:tcPr>
            <w:tcW w:type="dxa" w:w="1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bCs/>
                <w:color w:val="BF8F00"/>
                <w:sz w:val="18"/>
                <w:szCs w:val="18"/>
              </w:rPr>
              <w:t xml:space="preserve">5 / 10</w:t>
            </w:r>
          </w:p>
        </w:tc>
        <w:tc>
          <w:tcPr>
            <w:tcW w:type="dxa" w:w="568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sz w:val="18"/>
                <w:szCs w:val="18"/>
              </w:rPr>
              <w:t xml:space="preserve">Genuine service-layer patterns exist in the most mature modules, but fat controllers and copy-paste CRUD blocks (e.g. MasterDataController) are common elsewhere.</w:t>
            </w:r>
          </w:p>
        </w:tc>
      </w:tr>
    </w:tbl>
    <w:p>
      <w:pPr>
        <w:spacing w:after="200"/>
      </w:pPr>
    </w:p>
    <w:p>
      <w:pPr>
        <w:spacing w:after="120"/>
      </w:pPr>
      <w:r>
        <w:rPr>
          <w:i/>
          <w:iCs/>
        </w:rPr>
        <w:t xml:space="preserve">Total estimated remediation effort across all 21 modules, including the FRD-03/04/09 v2 amendment deltas below, is approximately 1,750-1,850 person-days (roughly 80-84 person-months of raw effort). This is NOT purely additive — building the FRD-10 Workflow Engine and FRD-11 Document Engine once (Phase 2 below) will reduce the effort otherwise needed to fix rule-enforcement gaps repeated across FRD-01, 02, 03, 07, 08, and 09. A realistic delivery timeline with a focused team of 5-6 engineers is 13-17 calendar months to close the Critical and Major findings platform-wide.</w:t>
      </w:r>
    </w:p>
    <w:p>
      <w:r>
        <w:br w:type="page"/>
      </w:r>
    </w:p>
    <w:p>
      <w:pPr>
        <w:pStyle w:val="Heading1"/>
      </w:pPr>
      <w:r>
        <w:t xml:space="preserve">4. Module-by-Module Coverage Summary</w:t>
      </w:r>
    </w:p>
    <w:p>
      <w:pPr>
        <w:spacing w:after="120"/>
      </w:pPr>
      <w:r>
        <w:t xml:space="preserve">Full detail, page-by-page analysis, database audits, workflow traces, and prioritized remediation tables for every module below are in the Appendices (Section 6) and the accompanying per-module Word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100"/>
        <w:gridCol w:w="800"/>
        <w:gridCol w:w="800"/>
        <w:gridCol w:w="800"/>
        <w:gridCol w:w="1300"/>
        <w:gridCol w:w="116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b/>
                <w:bCs/>
                <w:color w:val="FFFFFF"/>
                <w:sz w:val="18"/>
                <w:szCs w:val="18"/>
              </w:rPr>
              <w:t xml:space="preserve">FRD</w:t>
            </w:r>
          </w:p>
        </w:tc>
        <w:tc>
          <w:tcPr>
            <w:tcW w:type="dxa" w:w="3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b/>
                <w:bCs/>
                <w:color w:val="FFFFFF"/>
                <w:sz w:val="18"/>
                <w:szCs w:val="18"/>
              </w:rPr>
              <w:t xml:space="preserve">Module</w:t>
            </w:r>
          </w:p>
        </w:tc>
        <w:tc>
          <w:tcPr>
            <w:tcW w:type="dxa" w:w="11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b/>
                <w:bCs/>
                <w:color w:val="FFFFFF"/>
                <w:sz w:val="18"/>
                <w:szCs w:val="18"/>
              </w:rPr>
              <w:t xml:space="preserve">Coverage</w:t>
            </w:r>
          </w:p>
        </w:tc>
        <w:tc>
          <w:tcPr>
            <w:tcW w:type="dxa" w:w="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b/>
                <w:bCs/>
                <w:color w:val="FFFFFF"/>
                <w:sz w:val="18"/>
                <w:szCs w:val="18"/>
              </w:rPr>
              <w:t xml:space="preserve">Crit.</w:t>
            </w:r>
          </w:p>
        </w:tc>
        <w:tc>
          <w:tcPr>
            <w:tcW w:type="dxa" w:w="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b/>
                <w:bCs/>
                <w:color w:val="FFFFFF"/>
                <w:sz w:val="18"/>
                <w:szCs w:val="18"/>
              </w:rPr>
              <w:t xml:space="preserve">Major</w:t>
            </w:r>
          </w:p>
        </w:tc>
        <w:tc>
          <w:tcPr>
            <w:tcW w:type="dxa" w:w="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b/>
                <w:bCs/>
                <w:color w:val="FFFFFF"/>
                <w:sz w:val="18"/>
                <w:szCs w:val="18"/>
              </w:rPr>
              <w:t xml:space="preserve">Minor</w:t>
            </w:r>
          </w:p>
        </w:tc>
        <w:tc>
          <w:tcPr>
            <w:tcW w:type="dxa" w:w="1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b/>
                <w:bCs/>
                <w:color w:val="FFFFFF"/>
                <w:sz w:val="18"/>
                <w:szCs w:val="18"/>
              </w:rPr>
              <w:t xml:space="preserve">Effort (days)</w:t>
            </w:r>
          </w:p>
        </w:tc>
        <w:tc>
          <w:tcPr>
            <w:tcW w:type="dxa" w:w="11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tcPr>
          <w:p>
            <w:r>
              <w:rPr>
                <w:b/>
                <w:bCs/>
                <w:color w:val="FFFFFF"/>
                <w:sz w:val="18"/>
                <w:szCs w:val="18"/>
              </w:rPr>
              <w:t xml:space="preserve">Priority</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b/>
                <w:bCs/>
                <w:sz w:val="18"/>
                <w:szCs w:val="18"/>
              </w:rPr>
              <w:t xml:space="preserve">FRD-01</w:t>
            </w:r>
          </w:p>
        </w:tc>
        <w:tc>
          <w:tcPr>
            <w:tcW w:type="dxa" w:w="3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sz w:val="18"/>
                <w:szCs w:val="18"/>
              </w:rPr>
              <w:t xml:space="preserve">Sahodaya Setup &amp; School Membership</w:t>
            </w:r>
          </w:p>
        </w:tc>
        <w:tc>
          <w:tcPr>
            <w:tcW w:type="dxa" w:w="11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bCs/>
                <w:color w:val="2E7D32"/>
                <w:sz w:val="18"/>
                <w:szCs w:val="18"/>
              </w:rPr>
              <w:t xml:space="preserve">68%</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4</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9</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11</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46-58</w:t>
            </w:r>
          </w:p>
        </w:tc>
        <w:tc>
          <w:tcPr>
            <w:tcW w:type="dxa" w:w="11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color w:val="BF8F00"/>
                <w:sz w:val="18"/>
                <w:szCs w:val="18"/>
              </w:rPr>
              <w:t xml:space="preserve">High</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bCs/>
                <w:sz w:val="18"/>
                <w:szCs w:val="18"/>
              </w:rPr>
              <w:t xml:space="preserve">FRD-02</w:t>
            </w:r>
          </w:p>
        </w:tc>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Student &amp; Teacher Registry</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bCs/>
                <w:color w:val="2E7D32"/>
                <w:sz w:val="18"/>
                <w:szCs w:val="18"/>
              </w:rPr>
              <w:t xml:space="preserve">64%</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5</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8</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9</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34-42</w:t>
            </w:r>
          </w:p>
        </w:tc>
        <w:tc>
          <w:tcPr>
            <w:tcW w:type="dxa" w:w="116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color w:val="BF8F00"/>
                <w:sz w:val="18"/>
                <w:szCs w:val="18"/>
              </w:rPr>
              <w:t xml:space="preserve">High</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b/>
                <w:bCs/>
                <w:sz w:val="18"/>
                <w:szCs w:val="18"/>
              </w:rPr>
              <w:t xml:space="preserve">FRD-03</w:t>
            </w:r>
          </w:p>
        </w:tc>
        <w:tc>
          <w:tcPr>
            <w:tcW w:type="dxa" w:w="3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sz w:val="18"/>
                <w:szCs w:val="18"/>
              </w:rPr>
              <w:t xml:space="preserve">Competition Engine (Core Framework)</w:t>
            </w:r>
          </w:p>
        </w:tc>
        <w:tc>
          <w:tcPr>
            <w:tcW w:type="dxa" w:w="11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bCs/>
                <w:color w:val="BF8F00"/>
                <w:sz w:val="18"/>
                <w:szCs w:val="18"/>
              </w:rPr>
              <w:t xml:space="preserve">41%</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color w:val="C00000"/>
                <w:sz w:val="18"/>
                <w:szCs w:val="18"/>
              </w:rPr>
              <w:t xml:space="preserve">11</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19</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13</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127-160</w:t>
            </w:r>
          </w:p>
        </w:tc>
        <w:tc>
          <w:tcPr>
            <w:tcW w:type="dxa" w:w="11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bCs/>
                <w:color w:val="C00000"/>
                <w:sz w:val="18"/>
                <w:szCs w:val="18"/>
              </w:rPr>
              <w:t xml:space="preserve">Critical</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bCs/>
                <w:sz w:val="18"/>
                <w:szCs w:val="18"/>
              </w:rPr>
              <w:t xml:space="preserve">FRD-04</w:t>
            </w:r>
          </w:p>
        </w:tc>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Sports Management</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bCs/>
                <w:color w:val="BF8F00"/>
                <w:sz w:val="18"/>
                <w:szCs w:val="18"/>
              </w:rPr>
              <w:t xml:space="preserve">41%</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5</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6</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7</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50-65</w:t>
            </w:r>
          </w:p>
        </w:tc>
        <w:tc>
          <w:tcPr>
            <w:tcW w:type="dxa" w:w="116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bCs/>
                <w:color w:val="C00000"/>
                <w:sz w:val="18"/>
                <w:szCs w:val="18"/>
              </w:rPr>
              <w:t xml:space="preserve">Critical</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b/>
                <w:bCs/>
                <w:sz w:val="18"/>
                <w:szCs w:val="18"/>
              </w:rPr>
              <w:t xml:space="preserve">FRD-05</w:t>
            </w:r>
          </w:p>
        </w:tc>
        <w:tc>
          <w:tcPr>
            <w:tcW w:type="dxa" w:w="3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sz w:val="18"/>
                <w:szCs w:val="18"/>
              </w:rPr>
              <w:t xml:space="preserve">Kalotsav Management</w:t>
            </w:r>
          </w:p>
        </w:tc>
        <w:tc>
          <w:tcPr>
            <w:tcW w:type="dxa" w:w="11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bCs/>
                <w:color w:val="2E7D32"/>
                <w:sz w:val="18"/>
                <w:szCs w:val="18"/>
              </w:rPr>
              <w:t xml:space="preserve">62%</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2</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6</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7</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38-50</w:t>
            </w:r>
          </w:p>
        </w:tc>
        <w:tc>
          <w:tcPr>
            <w:tcW w:type="dxa" w:w="11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color w:val="BF8F00"/>
                <w:sz w:val="18"/>
                <w:szCs w:val="18"/>
              </w:rPr>
              <w:t xml:space="preserve">High</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bCs/>
                <w:sz w:val="18"/>
                <w:szCs w:val="18"/>
              </w:rPr>
              <w:t xml:space="preserve">FRD-06</w:t>
            </w:r>
          </w:p>
        </w:tc>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Finance &amp; Accounts</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bCs/>
                <w:color w:val="BF8F00"/>
                <w:sz w:val="18"/>
                <w:szCs w:val="18"/>
              </w:rPr>
              <w:t xml:space="preserve">58%</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color w:val="C00000"/>
                <w:sz w:val="18"/>
                <w:szCs w:val="18"/>
              </w:rPr>
              <w:t xml:space="preserve">6</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9</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8</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55-70</w:t>
            </w:r>
          </w:p>
        </w:tc>
        <w:tc>
          <w:tcPr>
            <w:tcW w:type="dxa" w:w="116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bCs/>
                <w:color w:val="C00000"/>
                <w:sz w:val="18"/>
                <w:szCs w:val="18"/>
              </w:rPr>
              <w:t xml:space="preserve">Critical</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b/>
                <w:bCs/>
                <w:sz w:val="18"/>
                <w:szCs w:val="18"/>
              </w:rPr>
              <w:t xml:space="preserve">FRD-07</w:t>
            </w:r>
          </w:p>
        </w:tc>
        <w:tc>
          <w:tcPr>
            <w:tcW w:type="dxa" w:w="3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sz w:val="18"/>
                <w:szCs w:val="18"/>
              </w:rPr>
              <w:t xml:space="preserve">Examination Management System</w:t>
            </w:r>
          </w:p>
        </w:tc>
        <w:tc>
          <w:tcPr>
            <w:tcW w:type="dxa" w:w="11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bCs/>
                <w:color w:val="2E7D32"/>
                <w:sz w:val="18"/>
                <w:szCs w:val="18"/>
              </w:rPr>
              <w:t xml:space="preserve">78%</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3</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6</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8</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38-48</w:t>
            </w:r>
          </w:p>
        </w:tc>
        <w:tc>
          <w:tcPr>
            <w:tcW w:type="dxa" w:w="11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color w:val="BF8F00"/>
                <w:sz w:val="18"/>
                <w:szCs w:val="18"/>
              </w:rPr>
              <w:t xml:space="preserve">High</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bCs/>
                <w:sz w:val="18"/>
                <w:szCs w:val="18"/>
              </w:rPr>
              <w:t xml:space="preserve">FRD-08</w:t>
            </w:r>
          </w:p>
        </w:tc>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Custom Competition Management</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bCs/>
                <w:color w:val="C00000"/>
                <w:sz w:val="18"/>
                <w:szCs w:val="18"/>
              </w:rPr>
              <w:t xml:space="preserve">18%</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color w:val="C00000"/>
                <w:sz w:val="18"/>
                <w:szCs w:val="18"/>
              </w:rPr>
              <w:t xml:space="preserve">6</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7</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5</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90-130</w:t>
            </w:r>
          </w:p>
        </w:tc>
        <w:tc>
          <w:tcPr>
            <w:tcW w:type="dxa" w:w="116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bCs/>
                <w:color w:val="C00000"/>
                <w:sz w:val="18"/>
                <w:szCs w:val="18"/>
              </w:rPr>
              <w:t xml:space="preserve">Critical</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b/>
                <w:bCs/>
                <w:sz w:val="18"/>
                <w:szCs w:val="18"/>
              </w:rPr>
              <w:t xml:space="preserve">FRD-09</w:t>
            </w:r>
          </w:p>
        </w:tc>
        <w:tc>
          <w:tcPr>
            <w:tcW w:type="dxa" w:w="3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sz w:val="18"/>
                <w:szCs w:val="18"/>
              </w:rPr>
              <w:t xml:space="preserve">Teacher Training &amp; Prof. Development</w:t>
            </w:r>
          </w:p>
        </w:tc>
        <w:tc>
          <w:tcPr>
            <w:tcW w:type="dxa" w:w="11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bCs/>
                <w:color w:val="BF8F00"/>
                <w:sz w:val="18"/>
                <w:szCs w:val="18"/>
              </w:rPr>
              <w:t xml:space="preserve">52%</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color w:val="C00000"/>
                <w:sz w:val="18"/>
                <w:szCs w:val="18"/>
              </w:rPr>
              <w:t xml:space="preserve">7</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14</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13</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105-134</w:t>
            </w:r>
          </w:p>
        </w:tc>
        <w:tc>
          <w:tcPr>
            <w:tcW w:type="dxa" w:w="11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color w:val="BF8F00"/>
                <w:sz w:val="18"/>
                <w:szCs w:val="18"/>
              </w:rPr>
              <w:t xml:space="preserve">High</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bCs/>
                <w:sz w:val="18"/>
                <w:szCs w:val="18"/>
              </w:rPr>
              <w:t xml:space="preserve">FRD-10</w:t>
            </w:r>
          </w:p>
        </w:tc>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Workflow &amp; Approval Engine</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bCs/>
                <w:color w:val="C00000"/>
                <w:sz w:val="18"/>
                <w:szCs w:val="18"/>
              </w:rPr>
              <w:t xml:space="preserve">12%</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color w:val="C00000"/>
                <w:sz w:val="18"/>
                <w:szCs w:val="18"/>
              </w:rPr>
              <w:t xml:space="preserve">6</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8</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5</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55-70</w:t>
            </w:r>
          </w:p>
        </w:tc>
        <w:tc>
          <w:tcPr>
            <w:tcW w:type="dxa" w:w="116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bCs/>
                <w:color w:val="C00000"/>
                <w:sz w:val="18"/>
                <w:szCs w:val="18"/>
              </w:rPr>
              <w:t xml:space="preserve">Critical</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b/>
                <w:bCs/>
                <w:sz w:val="18"/>
                <w:szCs w:val="18"/>
              </w:rPr>
              <w:t xml:space="preserve">FRD-11</w:t>
            </w:r>
          </w:p>
        </w:tc>
        <w:tc>
          <w:tcPr>
            <w:tcW w:type="dxa" w:w="3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sz w:val="18"/>
                <w:szCs w:val="18"/>
              </w:rPr>
              <w:t xml:space="preserve">Document &amp; Template Engine</w:t>
            </w:r>
          </w:p>
        </w:tc>
        <w:tc>
          <w:tcPr>
            <w:tcW w:type="dxa" w:w="11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bCs/>
                <w:color w:val="C00000"/>
                <w:sz w:val="18"/>
                <w:szCs w:val="18"/>
              </w:rPr>
              <w:t xml:space="preserve">28%</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color w:val="C00000"/>
                <w:sz w:val="18"/>
                <w:szCs w:val="18"/>
              </w:rPr>
              <w:t xml:space="preserve">6</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9</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7</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55-70</w:t>
            </w:r>
          </w:p>
        </w:tc>
        <w:tc>
          <w:tcPr>
            <w:tcW w:type="dxa" w:w="11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bCs/>
                <w:color w:val="C00000"/>
                <w:sz w:val="18"/>
                <w:szCs w:val="18"/>
              </w:rPr>
              <w:t xml:space="preserve">Critical</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bCs/>
                <w:sz w:val="18"/>
                <w:szCs w:val="18"/>
              </w:rPr>
              <w:t xml:space="preserve">FRD-12</w:t>
            </w:r>
          </w:p>
        </w:tc>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Notification &amp; Communication Engine</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bCs/>
                <w:color w:val="C00000"/>
                <w:sz w:val="18"/>
                <w:szCs w:val="18"/>
              </w:rPr>
              <w:t xml:space="preserve">22%</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color w:val="C00000"/>
                <w:sz w:val="18"/>
                <w:szCs w:val="18"/>
              </w:rPr>
              <w:t xml:space="preserve">9</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11</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7</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95-120</w:t>
            </w:r>
          </w:p>
        </w:tc>
        <w:tc>
          <w:tcPr>
            <w:tcW w:type="dxa" w:w="116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bCs/>
                <w:color w:val="C00000"/>
                <w:sz w:val="18"/>
                <w:szCs w:val="18"/>
              </w:rPr>
              <w:t xml:space="preserve">Critical</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b/>
                <w:bCs/>
                <w:sz w:val="18"/>
                <w:szCs w:val="18"/>
              </w:rPr>
              <w:t xml:space="preserve">FRD-13</w:t>
            </w:r>
          </w:p>
        </w:tc>
        <w:tc>
          <w:tcPr>
            <w:tcW w:type="dxa" w:w="3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sz w:val="18"/>
                <w:szCs w:val="18"/>
              </w:rPr>
              <w:t xml:space="preserve">Super Admin &amp; Multi-Tenant Platform</w:t>
            </w:r>
          </w:p>
        </w:tc>
        <w:tc>
          <w:tcPr>
            <w:tcW w:type="dxa" w:w="11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bCs/>
                <w:color w:val="C00000"/>
                <w:sz w:val="18"/>
                <w:szCs w:val="18"/>
              </w:rPr>
              <w:t xml:space="preserve">38%</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5</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9</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7</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62-78</w:t>
            </w:r>
          </w:p>
        </w:tc>
        <w:tc>
          <w:tcPr>
            <w:tcW w:type="dxa" w:w="11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bCs/>
                <w:color w:val="C00000"/>
                <w:sz w:val="18"/>
                <w:szCs w:val="18"/>
              </w:rPr>
              <w:t xml:space="preserve">Critical</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bCs/>
                <w:sz w:val="18"/>
                <w:szCs w:val="18"/>
              </w:rPr>
              <w:t xml:space="preserve">FRD-14</w:t>
            </w:r>
          </w:p>
        </w:tc>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Reporting, Analytics &amp; BI Engine</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bCs/>
                <w:color w:val="C00000"/>
                <w:sz w:val="18"/>
                <w:szCs w:val="18"/>
              </w:rPr>
              <w:t xml:space="preserve">38%</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color w:val="C00000"/>
                <w:sz w:val="18"/>
                <w:szCs w:val="18"/>
              </w:rPr>
              <w:t xml:space="preserve">6</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9</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7</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140-180</w:t>
            </w:r>
          </w:p>
        </w:tc>
        <w:tc>
          <w:tcPr>
            <w:tcW w:type="dxa" w:w="116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color w:val="BF8F00"/>
                <w:sz w:val="18"/>
                <w:szCs w:val="18"/>
              </w:rPr>
              <w:t xml:space="preserve">High</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b/>
                <w:bCs/>
                <w:sz w:val="18"/>
                <w:szCs w:val="18"/>
              </w:rPr>
              <w:t xml:space="preserve">FRD-15</w:t>
            </w:r>
          </w:p>
        </w:tc>
        <w:tc>
          <w:tcPr>
            <w:tcW w:type="dxa" w:w="3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sz w:val="18"/>
                <w:szCs w:val="18"/>
              </w:rPr>
              <w:t xml:space="preserve">Security, Audit &amp; Access Control</w:t>
            </w:r>
          </w:p>
        </w:tc>
        <w:tc>
          <w:tcPr>
            <w:tcW w:type="dxa" w:w="11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bCs/>
                <w:color w:val="BF8F00"/>
                <w:sz w:val="18"/>
                <w:szCs w:val="18"/>
              </w:rPr>
              <w:t xml:space="preserve">46%</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3</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7</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6</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55-70</w:t>
            </w:r>
          </w:p>
        </w:tc>
        <w:tc>
          <w:tcPr>
            <w:tcW w:type="dxa" w:w="11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bCs/>
                <w:color w:val="C00000"/>
                <w:sz w:val="18"/>
                <w:szCs w:val="18"/>
              </w:rPr>
              <w:t xml:space="preserve">Critical</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bCs/>
                <w:sz w:val="18"/>
                <w:szCs w:val="18"/>
              </w:rPr>
              <w:t xml:space="preserve">FRD-16</w:t>
            </w:r>
          </w:p>
        </w:tc>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Shared Masters &amp; Configuration Engine</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bCs/>
                <w:color w:val="C00000"/>
                <w:sz w:val="18"/>
                <w:szCs w:val="18"/>
              </w:rPr>
              <w:t xml:space="preserve">34%</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color w:val="C00000"/>
                <w:sz w:val="18"/>
                <w:szCs w:val="18"/>
              </w:rPr>
              <w:t xml:space="preserve">6</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11</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9</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55-70</w:t>
            </w:r>
          </w:p>
        </w:tc>
        <w:tc>
          <w:tcPr>
            <w:tcW w:type="dxa" w:w="116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color w:val="BF8F00"/>
                <w:sz w:val="18"/>
                <w:szCs w:val="18"/>
              </w:rPr>
              <w:t xml:space="preserve">High</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b/>
                <w:bCs/>
                <w:sz w:val="18"/>
                <w:szCs w:val="18"/>
              </w:rPr>
              <w:t xml:space="preserve">FRD-17</w:t>
            </w:r>
          </w:p>
        </w:tc>
        <w:tc>
          <w:tcPr>
            <w:tcW w:type="dxa" w:w="3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sz w:val="18"/>
                <w:szCs w:val="18"/>
              </w:rPr>
              <w:t xml:space="preserve">Platform Services &amp; Common Utilities</w:t>
            </w:r>
          </w:p>
        </w:tc>
        <w:tc>
          <w:tcPr>
            <w:tcW w:type="dxa" w:w="11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bCs/>
                <w:color w:val="C00000"/>
                <w:sz w:val="18"/>
                <w:szCs w:val="18"/>
              </w:rPr>
              <w:t xml:space="preserve">32%</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color w:val="C00000"/>
                <w:sz w:val="18"/>
                <w:szCs w:val="18"/>
              </w:rPr>
              <w:t xml:space="preserve">6</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9</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7</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65-85</w:t>
            </w:r>
          </w:p>
        </w:tc>
        <w:tc>
          <w:tcPr>
            <w:tcW w:type="dxa" w:w="11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bCs/>
                <w:color w:val="C00000"/>
                <w:sz w:val="18"/>
                <w:szCs w:val="18"/>
              </w:rPr>
              <w:t xml:space="preserve">Critical</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bCs/>
                <w:sz w:val="18"/>
                <w:szCs w:val="18"/>
              </w:rPr>
              <w:t xml:space="preserve">FRD-18</w:t>
            </w:r>
          </w:p>
        </w:tc>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Deployment, DevOps &amp; Infrastructure</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bCs/>
                <w:color w:val="C00000"/>
                <w:sz w:val="18"/>
                <w:szCs w:val="18"/>
              </w:rPr>
              <w:t xml:space="preserve">28%</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color w:val="C00000"/>
                <w:sz w:val="18"/>
                <w:szCs w:val="18"/>
              </w:rPr>
              <w:t xml:space="preserve">6</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7</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5</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55-75</w:t>
            </w:r>
          </w:p>
        </w:tc>
        <w:tc>
          <w:tcPr>
            <w:tcW w:type="dxa" w:w="116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bCs/>
                <w:color w:val="C00000"/>
                <w:sz w:val="18"/>
                <w:szCs w:val="18"/>
              </w:rPr>
              <w:t xml:space="preserve">Critical</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b/>
                <w:bCs/>
                <w:sz w:val="18"/>
                <w:szCs w:val="18"/>
              </w:rPr>
              <w:t xml:space="preserve">FRD-19</w:t>
            </w:r>
          </w:p>
        </w:tc>
        <w:tc>
          <w:tcPr>
            <w:tcW w:type="dxa" w:w="3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sz w:val="18"/>
                <w:szCs w:val="18"/>
              </w:rPr>
              <w:t xml:space="preserve">Public Portal, Live Results &amp; Public Info</w:t>
            </w:r>
          </w:p>
        </w:tc>
        <w:tc>
          <w:tcPr>
            <w:tcW w:type="dxa" w:w="11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bCs/>
                <w:color w:val="BF8F00"/>
                <w:sz w:val="18"/>
                <w:szCs w:val="18"/>
              </w:rPr>
              <w:t xml:space="preserve">41%</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5</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9</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8</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95-125</w:t>
            </w:r>
          </w:p>
        </w:tc>
        <w:tc>
          <w:tcPr>
            <w:tcW w:type="dxa" w:w="11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color w:val="BF8F00"/>
                <w:sz w:val="18"/>
                <w:szCs w:val="18"/>
              </w:rPr>
              <w:t xml:space="preserve">High</w:t>
            </w:r>
          </w:p>
        </w:tc>
      </w:tr>
      <w:tr>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b/>
                <w:bCs/>
                <w:sz w:val="18"/>
                <w:szCs w:val="18"/>
              </w:rPr>
              <w:t xml:space="preserve">FRD-20</w:t>
            </w:r>
          </w:p>
        </w:tc>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sz w:val="18"/>
                <w:szCs w:val="18"/>
              </w:rPr>
              <w:t xml:space="preserve">Multi-Site Website Builder / CMS</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bCs/>
                <w:color w:val="BF8F00"/>
                <w:sz w:val="18"/>
                <w:szCs w:val="18"/>
              </w:rPr>
              <w:t xml:space="preserve">46%</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5</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9</w:t>
            </w:r>
          </w:p>
        </w:tc>
        <w:tc>
          <w:tcPr>
            <w:tcW w:type="dxa" w:w="8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8</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sz w:val="18"/>
                <w:szCs w:val="18"/>
              </w:rPr>
              <w:t xml:space="preserve">145-185</w:t>
            </w:r>
          </w:p>
        </w:tc>
        <w:tc>
          <w:tcPr>
            <w:tcW w:type="dxa" w:w="1160"/>
            <w:tcBorders>
              <w:top w:val="single" w:color="BFBFBF" w:sz="2"/>
              <w:left w:val="single" w:color="BFBFBF" w:sz="2"/>
              <w:bottom w:val="single" w:color="BFBFBF" w:sz="2"/>
              <w:right w:val="single" w:color="BFBFBF" w:sz="2"/>
            </w:tcBorders>
            <w:tcMar>
              <w:top w:type="dxa" w:w="60"/>
              <w:left w:type="dxa" w:w="100"/>
              <w:bottom w:type="dxa" w:w="60"/>
              <w:right w:type="dxa" w:w="100"/>
            </w:tcMar>
          </w:tcPr>
          <w:p>
            <w:pPr>
              <w:jc w:val="center"/>
            </w:pPr>
            <w:r>
              <w:rPr>
                <w:b w:val="false"/>
                <w:bCs w:val="false"/>
                <w:color w:val="BF8F00"/>
                <w:sz w:val="18"/>
                <w:szCs w:val="18"/>
              </w:rPr>
              <w:t xml:space="preserve">High</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b/>
                <w:bCs/>
                <w:sz w:val="18"/>
                <w:szCs w:val="18"/>
              </w:rPr>
              <w:t xml:space="preserve">FRD-21</w:t>
            </w:r>
          </w:p>
        </w:tc>
        <w:tc>
          <w:tcPr>
            <w:tcW w:type="dxa" w:w="3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r>
              <w:rPr>
                <w:sz w:val="18"/>
                <w:szCs w:val="18"/>
              </w:rPr>
              <w:t xml:space="preserve">CBSE Academic Results, Toppers &amp; Achievements</w:t>
            </w:r>
          </w:p>
        </w:tc>
        <w:tc>
          <w:tcPr>
            <w:tcW w:type="dxa" w:w="11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bCs/>
                <w:color w:val="C00000"/>
                <w:sz w:val="18"/>
                <w:szCs w:val="18"/>
              </w:rPr>
              <w:t xml:space="preserve">12%</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color w:val="C00000"/>
                <w:sz w:val="18"/>
                <w:szCs w:val="18"/>
              </w:rPr>
              <w:t xml:space="preserve">9</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8</w:t>
            </w:r>
          </w:p>
        </w:tc>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5</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val="false"/>
                <w:bCs w:val="false"/>
                <w:sz w:val="18"/>
                <w:szCs w:val="18"/>
              </w:rPr>
              <w:t xml:space="preserve">90-110</w:t>
            </w:r>
          </w:p>
        </w:tc>
        <w:tc>
          <w:tcPr>
            <w:tcW w:type="dxa" w:w="11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tcPr>
          <w:p>
            <w:pPr>
              <w:jc w:val="center"/>
            </w:pPr>
            <w:r>
              <w:rPr>
                <w:b/>
                <w:bCs/>
                <w:color w:val="C00000"/>
                <w:sz w:val="18"/>
                <w:szCs w:val="18"/>
              </w:rPr>
              <w:t xml:space="preserve">Critical</w:t>
            </w:r>
          </w:p>
        </w:tc>
      </w:tr>
    </w:tbl>
    <w:p>
      <w:pPr>
        <w:spacing w:after="200"/>
      </w:pPr>
    </w:p>
    <w:p>
      <w:pPr>
        <w:spacing w:after="120"/>
      </w:pPr>
      <w:r/>
      <w:r/>
    </w:p>
    <w:p>
      <w:r>
        <w:br w:type="page"/>
      </w:r>
    </w:p>
    <w:p>
      <w:pPr>
        <w:pStyle w:val="Heading1"/>
      </w:pPr>
      <w:r>
        <w:t xml:space="preserve">5. Implementation Roadmap</w:t>
      </w:r>
    </w:p>
    <w:p>
      <w:pPr>
        <w:spacing w:after="120"/>
      </w:pPr>
      <w:r>
        <w:t xml:space="preserve">Five phases, sequenced so that later phases build on the shared engines and data-integrity fixes established earlier. Phase durations assume a 5-6 engineer team working in parallel across independent workstreams.</w:t>
      </w:r>
    </w:p>
    <w:p>
      <w:pPr>
        <w:pStyle w:val="Heading2"/>
      </w:pPr>
      <w:r>
        <w:t xml:space="preserve">Phase 1 — Critical Fixes  (4-6 weeks)</w:t>
      </w:r>
    </w:p>
    <w:p>
      <w:pPr>
        <w:pStyle w:val="ListParagraph"/>
        <w:numPr>
          <w:ilvl w:val="0"/>
          <w:numId w:val="2"/>
        </w:numPr>
        <w:spacing w:after="60"/>
      </w:pPr>
      <w:r>
        <w:t xml:space="preserve">Purge/stop writing the plain_password column; schedule ClearPlainPasswords; wire UserCredentialService::clearStoredPlainPassword() into the credential-issuance flow. (FRD-15)</w:t>
      </w:r>
    </w:p>
    <w:p>
      <w:pPr>
        <w:pStyle w:val="ListParagraph"/>
        <w:numPr>
          <w:ilvl w:val="0"/>
          <w:numId w:val="2"/>
        </w:numPr>
        <w:spacing w:after="60"/>
      </w:pPr>
      <w:r>
        <w:t xml:space="preserve">Close the State Admin tenant-isolation leak: add state/region scoping to PlatformUser and enforce it in an EnsureStateAdmin-equivalent middleware, matching the pattern already used for Sahodaya/School roles. (FRD-13)</w:t>
      </w:r>
    </w:p>
    <w:p>
      <w:pPr>
        <w:pStyle w:val="ListParagraph"/>
        <w:numPr>
          <w:ilvl w:val="0"/>
          <w:numId w:val="2"/>
        </w:numPr>
        <w:spacing w:after="60"/>
      </w:pPr>
      <w:r>
        <w:t xml:space="preserve">Enforce TenantSubscription.status in middleware so suspended tenants actually lose access. (FRD-13)</w:t>
      </w:r>
    </w:p>
    <w:p>
      <w:pPr>
        <w:pStyle w:val="ListParagraph"/>
        <w:numPr>
          <w:ilvl w:val="0"/>
          <w:numId w:val="2"/>
        </w:numPr>
        <w:spacing w:after="60"/>
      </w:pPr>
      <w:r>
        <w:t xml:space="preserve">Make FinancialYear tenant-scoped (currently a single global toggle affecting every Sahodaya). (FRD-06)</w:t>
      </w:r>
    </w:p>
    <w:p>
      <w:pPr>
        <w:pStyle w:val="ListParagraph"/>
        <w:numPr>
          <w:ilvl w:val="0"/>
          <w:numId w:val="2"/>
        </w:numPr>
        <w:spacing w:after="60"/>
      </w:pPr>
      <w:r>
        <w:t xml:space="preserve">Replace FeeWaiverService's destructive overwrite and LedgerTransaction forceRepost's hard-delete with proper reversing/adjustment entries that preserve history. (FRD-06)</w:t>
      </w:r>
    </w:p>
    <w:p>
      <w:pPr>
        <w:pStyle w:val="ListParagraph"/>
        <w:numPr>
          <w:ilvl w:val="0"/>
          <w:numId w:val="2"/>
        </w:numPr>
        <w:spacing w:after="60"/>
      </w:pPr>
      <w:r>
        <w:t xml:space="preserve">Add a results_published guard to MCQ mark editing and add Malpractice/Withheld attendance states. (FRD-07)</w:t>
      </w:r>
    </w:p>
    <w:p>
      <w:pPr>
        <w:pStyle w:val="ListParagraph"/>
        <w:numPr>
          <w:ilvl w:val="0"/>
          <w:numId w:val="2"/>
        </w:numPr>
        <w:spacing w:after="60"/>
      </w:pPr>
      <w:r>
        <w:t xml:space="preserve">Sanitize or replace the Website Builder's WYSIWYG field to close the confirmed stored-XSS risk in 21 public section templates. (FRD-20)</w:t>
      </w:r>
    </w:p>
    <w:p>
      <w:pPr>
        <w:pStyle w:val="ListParagraph"/>
        <w:numPr>
          <w:ilvl w:val="0"/>
          <w:numId w:val="2"/>
        </w:numPr>
        <w:spacing w:after="60"/>
      </w:pPr>
      <w:r>
        <w:t xml:space="preserve">Fix the export_jobs missing storage_disk column bug and the 1-hour Cache-Control header bug on the public live-results endpoint. (FRD-17 / FRD-19)</w:t>
      </w:r>
    </w:p>
    <w:p>
      <w:pPr>
        <w:pStyle w:val="ListParagraph"/>
        <w:numPr>
          <w:ilvl w:val="0"/>
          <w:numId w:val="2"/>
        </w:numPr>
        <w:spacing w:after="60"/>
      </w:pPr>
      <w:r>
        <w:t xml:space="preserve">Switch production configuration from QUEUE_CONNECTION=sync / CACHE_STORE=file to Redis-backed queue and cache (already configured, just unused). (FRD-17)</w:t>
      </w:r>
    </w:p>
    <w:p>
      <w:pPr>
        <w:spacing w:after="80"/>
      </w:pPr>
    </w:p>
    <w:p>
      <w:pPr>
        <w:pStyle w:val="Heading2"/>
      </w:pPr>
      <w:r>
        <w:t xml:space="preserve">Phase 2 — Architecture (Build the Missing Shared Engines)  (10-14 weeks)</w:t>
      </w:r>
    </w:p>
    <w:p>
      <w:pPr>
        <w:pStyle w:val="ListParagraph"/>
        <w:numPr>
          <w:ilvl w:val="0"/>
          <w:numId w:val="2"/>
        </w:numPr>
        <w:spacing w:after="60"/>
      </w:pPr>
      <w:r>
        <w:t xml:space="preserve">Build a real generic Workflow &amp; Approval Engine (state machine + approvals/workflow_transitions tables + service) and migrate membership, student/teacher verification, fest registration/appeals, and exam/training approval onto it, retiring the 8+ bespoke implementations. (FRD-10)</w:t>
      </w:r>
    </w:p>
    <w:p>
      <w:pPr>
        <w:pStyle w:val="ListParagraph"/>
        <w:numPr>
          <w:ilvl w:val="0"/>
          <w:numId w:val="2"/>
        </w:numPr>
        <w:spacing w:after="60"/>
      </w:pPr>
      <w:r>
        <w:t xml:space="preserve">Build a unified Document &amp; Template Engine consolidating the three parallel certificate systems (Fest/Training, MCQ, Membership), adding a shared numbering service, cryptographic signing, and a single public verification API that covers every document type including MCQ certificates/hall tickets (currently unreachable). (FRD-11)</w:t>
      </w:r>
    </w:p>
    <w:p>
      <w:pPr>
        <w:pStyle w:val="ListParagraph"/>
        <w:numPr>
          <w:ilvl w:val="0"/>
          <w:numId w:val="2"/>
        </w:numPr>
        <w:spacing w:after="60"/>
      </w:pPr>
      <w:r>
        <w:t xml:space="preserve">Rebuild the Notification Engine on a queued (ShouldQueue) foundation, add a real notification-center UI (bell icon) for every role, replace the dead legacy FCM push integration, and add an admin-configurable trigger engine. (FRD-12)</w:t>
      </w:r>
    </w:p>
    <w:p>
      <w:pPr>
        <w:pStyle w:val="ListParagraph"/>
        <w:numPr>
          <w:ilvl w:val="0"/>
          <w:numId w:val="2"/>
        </w:numPr>
        <w:spacing w:after="60"/>
      </w:pPr>
      <w:r>
        <w:t xml:space="preserve">Consolidate Shared Masters: resolve the MasterClass/ClassCategory/ClassCategoryOverride/SchoolClass overlap into one model, and build the missing Configuration Engine (feature flags, global/module settings). (FRD-16)</w:t>
      </w:r>
    </w:p>
    <w:p>
      <w:pPr>
        <w:pStyle w:val="ListParagraph"/>
        <w:numPr>
          <w:ilvl w:val="0"/>
          <w:numId w:val="2"/>
        </w:numPr>
        <w:spacing w:after="60"/>
      </w:pPr>
      <w:r>
        <w:t xml:space="preserve">Harden Platform Services: adopt the existing CsvExportDispatcher everywhere instead of the 21+ duplicated raw fputcsv blocks, add job-monitoring and system-health admin pages. (FRD-17)</w:t>
      </w:r>
    </w:p>
    <w:p>
      <w:pPr>
        <w:spacing w:after="80"/>
      </w:pPr>
    </w:p>
    <w:p>
      <w:pPr>
        <w:pStyle w:val="Heading2"/>
      </w:pPr>
      <w:r>
        <w:t xml:space="preserve">Phase 3 — Business Modules (Close Domain-Specific Gaps)  (10-14 weeks)</w:t>
      </w:r>
    </w:p>
    <w:p>
      <w:pPr>
        <w:pStyle w:val="ListParagraph"/>
        <w:numPr>
          <w:ilvl w:val="0"/>
          <w:numId w:val="2"/>
        </w:numPr>
        <w:spacing w:after="60"/>
      </w:pPr>
      <w:r>
        <w:t xml:space="preserve">Build the true low-code Custom Competition Builder (Competition/Area/Item/Eligibility builder UI backed by data, not code) — the platform's largest single-module gap. (FRD-08)</w:t>
      </w:r>
    </w:p>
    <w:p>
      <w:pPr>
        <w:pStyle w:val="ListParagraph"/>
        <w:numPr>
          <w:ilvl w:val="0"/>
          <w:numId w:val="2"/>
        </w:numPr>
        <w:spacing w:after="60"/>
      </w:pPr>
      <w:r>
        <w:t xml:space="preserve">Teacher Training full build-out: training categories, resource-person/trainer management, CPD-hour tracking, differentiated fee types, feedback module. (FRD-09)</w:t>
      </w:r>
    </w:p>
    <w:p>
      <w:pPr>
        <w:pStyle w:val="ListParagraph"/>
        <w:numPr>
          <w:ilvl w:val="0"/>
          <w:numId w:val="2"/>
        </w:numPr>
        <w:spacing w:after="60"/>
      </w:pPr>
      <w:r>
        <w:t xml:space="preserve">Academic Results/Toppers: replace the current CMS widget with a real verification/approval/publish workflow, ranking engine, and Sahodaya/State dashboards. (FRD-21)</w:t>
      </w:r>
    </w:p>
    <w:p>
      <w:pPr>
        <w:pStyle w:val="ListParagraph"/>
        <w:numPr>
          <w:ilvl w:val="0"/>
          <w:numId w:val="2"/>
        </w:numPr>
        <w:spacing w:after="60"/>
      </w:pPr>
      <w:r>
        <w:t xml:space="preserve">Kalotsav: build the two explicitly-named missing modules — Special Qualification Management and Court/Administrative Entry Management. (FRD-05)</w:t>
      </w:r>
    </w:p>
    <w:p>
      <w:pPr>
        <w:pStyle w:val="ListParagraph"/>
        <w:numPr>
          <w:ilvl w:val="0"/>
          <w:numId w:val="2"/>
        </w:numPr>
        <w:spacing w:after="60"/>
      </w:pPr>
      <w:r>
        <w:t xml:space="preserve">Sports: add a real Team/Squad entity with coach/manager assignment and wire the medal tally to the configurable FestRankPoint master. (FRD-04)</w:t>
      </w:r>
    </w:p>
    <w:p>
      <w:pPr>
        <w:pStyle w:val="ListParagraph"/>
        <w:numPr>
          <w:ilvl w:val="0"/>
          <w:numId w:val="2"/>
        </w:numPr>
        <w:spacing w:after="60"/>
      </w:pPr>
      <w:r>
        <w:t xml:space="preserve">Student/Teacher Registry: build the Transfer Certificate workflow (model exists, nothing else) and the academic-year promotion/rollover engine. (FRD-02)</w:t>
      </w:r>
    </w:p>
    <w:p>
      <w:pPr>
        <w:pStyle w:val="ListParagraph"/>
        <w:numPr>
          <w:ilvl w:val="0"/>
          <w:numId w:val="2"/>
        </w:numPr>
        <w:spacing w:after="60"/>
      </w:pPr>
      <w:r>
        <w:t xml:space="preserve">Finance: add an online payment gateway option, refund/credit-note capability, and a financial-year close/lock workflow. (FRD-06)</w:t>
      </w:r>
    </w:p>
    <w:p>
      <w:pPr>
        <w:spacing w:after="80"/>
      </w:pPr>
    </w:p>
    <w:p>
      <w:pPr>
        <w:pStyle w:val="Heading2"/>
      </w:pPr>
      <w:r>
        <w:t xml:space="preserve">Phase 4 — Performance  (6-8 weeks)</w:t>
      </w:r>
    </w:p>
    <w:p>
      <w:pPr>
        <w:pStyle w:val="ListParagraph"/>
        <w:numPr>
          <w:ilvl w:val="0"/>
          <w:numId w:val="2"/>
        </w:numPr>
        <w:spacing w:after="60"/>
      </w:pPr>
      <w:r>
        <w:t xml:space="preserve">Add Redis caching for expensive report/dashboard aggregate queries (currently computed live on every request with no caching layer despite Redis being available).</w:t>
      </w:r>
    </w:p>
    <w:p>
      <w:pPr>
        <w:pStyle w:val="ListParagraph"/>
        <w:numPr>
          <w:ilvl w:val="0"/>
          <w:numId w:val="2"/>
        </w:numPr>
        <w:spacing w:after="60"/>
      </w:pPr>
      <w:r>
        <w:t xml:space="preserve">Convert bulk certificate generation, bulk marks import, and bulk notification sends to queued jobs instead of synchronous request-thread execution.</w:t>
      </w:r>
    </w:p>
    <w:p>
      <w:pPr>
        <w:pStyle w:val="ListParagraph"/>
        <w:numPr>
          <w:ilvl w:val="0"/>
          <w:numId w:val="2"/>
        </w:numPr>
        <w:spacing w:after="60"/>
      </w:pPr>
      <w:r>
        <w:t xml:space="preserve">Fix N+1 query patterns identified in the reporting layer (ErpReportQueryService and related report methods missing eager-loading).</w:t>
      </w:r>
    </w:p>
    <w:p>
      <w:pPr>
        <w:pStyle w:val="ListParagraph"/>
        <w:numPr>
          <w:ilvl w:val="0"/>
          <w:numId w:val="2"/>
        </w:numPr>
        <w:spacing w:after="60"/>
      </w:pPr>
      <w:r>
        <w:t xml:space="preserve">Add the missing foreign keys and indexes identified across Fest tables, bank/financial tables, and the audit-log tables.</w:t>
      </w:r>
    </w:p>
    <w:p>
      <w:pPr>
        <w:spacing w:after="80"/>
      </w:pPr>
    </w:p>
    <w:p>
      <w:pPr>
        <w:pStyle w:val="Heading2"/>
      </w:pPr>
      <w:r>
        <w:t xml:space="preserve">Phase 5 — Optimization &amp; Enterprise/SaaS Hardening  (8-10 weeks)</w:t>
      </w:r>
    </w:p>
    <w:p>
      <w:pPr>
        <w:pStyle w:val="ListParagraph"/>
        <w:numPr>
          <w:ilvl w:val="0"/>
          <w:numId w:val="2"/>
        </w:numPr>
        <w:spacing w:after="60"/>
      </w:pPr>
      <w:r>
        <w:t xml:space="preserve">Stand up CI/CD (test + lint + deploy pipeline), automated database backups, and an APM/error-tracking integration (Sentry or equivalent), and a staging environment mirroring production.</w:t>
      </w:r>
    </w:p>
    <w:p>
      <w:pPr>
        <w:pStyle w:val="ListParagraph"/>
        <w:numPr>
          <w:ilvl w:val="0"/>
          <w:numId w:val="2"/>
        </w:numPr>
        <w:spacing w:after="60"/>
      </w:pPr>
      <w:r>
        <w:t xml:space="preserve">Add MFA/OTP, session/device management, and a stronger password policy to close the remaining FRD-15 security gaps.</w:t>
      </w:r>
    </w:p>
    <w:p>
      <w:pPr>
        <w:pStyle w:val="ListParagraph"/>
        <w:numPr>
          <w:ilvl w:val="0"/>
          <w:numId w:val="2"/>
        </w:numPr>
        <w:spacing w:after="60"/>
      </w:pPr>
      <w:r>
        <w:t xml:space="preserve">Add tenant feature flags, audited impersonation, and subscription/usage-limit enforcement to complete FRD-13's SaaS-readiness requirements.</w:t>
      </w:r>
    </w:p>
    <w:p>
      <w:pPr>
        <w:pStyle w:val="ListParagraph"/>
        <w:numPr>
          <w:ilvl w:val="0"/>
          <w:numId w:val="2"/>
        </w:numPr>
        <w:spacing w:after="60"/>
      </w:pPr>
      <w:r>
        <w:t xml:space="preserve">Expand automated test coverage meaningfully beyond the current ~64 PHP test files relative to 243 controllers, and wire tests into the new CI pipeline.</w:t>
      </w:r>
    </w:p>
    <w:p>
      <w:pPr>
        <w:pStyle w:val="ListParagraph"/>
        <w:numPr>
          <w:ilvl w:val="0"/>
          <w:numId w:val="2"/>
        </w:numPr>
        <w:spacing w:after="60"/>
      </w:pPr>
      <w:r>
        <w:t xml:space="preserve">Add a real charting/BI layer (report scheduling, saved/shared reports, drill-down) on top of the existing ReportRegistry/ReportRunner foundation, which is otherwise sound.</w:t>
      </w:r>
    </w:p>
    <w:p>
      <w:pPr>
        <w:spacing w:after="80"/>
      </w:pPr>
    </w:p>
    <w:p>
      <w:r>
        <w:br w:type="page"/>
      </w:r>
    </w:p>
    <w:p>
      <w:pPr>
        <w:pStyle w:val="Heading1"/>
      </w:pPr>
      <w:r>
        <w:t xml:space="preserve">6. Addendum — v2 FRD Amendments (Event Head Model &amp; QR Registration)</w:t>
      </w:r>
    </w:p>
    <w:p>
      <w:pPr>
        <w:spacing w:after="120"/>
      </w:pPr>
      <w:r>
        <w:t xml:space="preserve">After the initial 21-module audit above was delivered, three amendment documents were supplied that materially change the requirement for three already-audited modules: FRD-03 v2 ("Event Head Model"), FRD-04 v2 ("Updated Event Head Architecture"), and FRD-09 "QR Registration Update". Each was independently re-verified against the live codebase (not re-derived from the amendment text alone) and produced its own delta report. The scores in Section 4 above already reflect these revisions; this section explains what changed and why.</w:t>
      </w:r>
    </w:p>
    <w:p>
      <w:pPr>
        <w:pStyle w:val="Heading2"/>
      </w:pPr>
      <w:r>
        <w:t xml:space="preserve">FRD-03 / FRD-04 — Event Head as the fee/policy-owning entity</w:t>
      </w:r>
    </w:p>
    <w:p>
      <w:pPr>
        <w:spacing w:after="120"/>
      </w:pPr>
      <w:r>
        <w:t xml:space="preserve">Both amendments establish the same architectural rule: Competition Type (Sports/Kalotsav/Quiz/Talent Search/Custom) is just a classification on the generic Fest event, and every Event Head (e.g. Chess, Football, Athletics under a Sports Meet) should independently own its own Registration Window, Approval Policy, Verification Policy, School Fee, Student Fee, Team Fee, Free Quota, Registration Limits, and Waiting List — with Items inheriting from their Event Head rather than having their own fee configuration.</w:t>
      </w:r>
    </w:p>
    <w:p>
      <w:pPr>
        <w:spacing w:after="120"/>
      </w:pPr>
      <w:r>
        <w:t xml:space="preserve">Verified against the code: the hierarchy itself (Competition Type → Event Head → Item, via FestItemHead) is real, and Registration Window is genuinely owned at the Event Head level today (fest_item_heads.reg_start/reg_end). Everything else — School Fee, Student Fee, Free Quota, Approval Policy — is owned one level up at the Event level (FestEvent.fee_settings, FestSchoolEventFee keyed by event_id + school_id) and applied uniformly to every Event Head underneath that event. Team Fee, Verification Rule, and Registration Limits/Waiting List do not exist anywhere in the schema. This means, concretely, that Chess and Athletics under the same Sports Meet cannot today have different fees, quotas, or verification rules — exactly the scenario the amendments are written to require. A further finding specific to FRD-04: the one piece of head-level fee data that does exist (default_item_fee/extra_item_fee on FestItemHead) is actively hidden in the UI whenever the sports_composite fee model is active, meaning the standard billing model Sahodayas actually use has no working UI path to set even the fields the schema already supports.</w:t>
      </w:r>
    </w:p>
    <w:p>
      <w:pPr>
        <w:spacing w:after="120"/>
      </w:pPr>
      <w:r/>
      <w:r/>
    </w:p>
    <w:p>
      <w:pPr>
        <w:pStyle w:val="Heading2"/>
      </w:pPr>
      <w:r>
        <w:t xml:space="preserve">FRD-09 — QR Registration is a later, more mature build than the rest of the module</w:t>
      </w:r>
    </w:p>
    <w:p>
      <w:pPr>
        <w:spacing w:after="120"/>
      </w:pPr>
      <w:r>
        <w:t xml:space="preserve">The original FRD-09 text audited did not mention QR-based registration at all, so the original 38% score is silent on it — not a finding that it was missing. The new amendment describes a self-service QR registration and attendance system, and deep verification found it substantially built: token-based registration/attendance URLs with PNG/SVG/PDF QR export, a complete registration form matching every FRD-listed field, real duplicate detection (email → mobile → name+school), working existing-teacher-linking and new-teacher-creation-with-pending-verification, session-scoped attendance check-in on a distinct token from registration, and 4 of 5 required reports live in a dedicated dashboard. This is a materially more mature vertical slice — 78% coverage on its own — than the program/session/resource-person/CPD side of Teacher Training that the original audit scored at 38%.</w:t>
      </w:r>
    </w:p>
    <w:p>
      <w:pPr>
        <w:spacing w:after="120"/>
      </w:pPr>
      <w:r/>
      <w:r/>
    </w:p>
    <w:p>
      <w:pPr>
        <w:pStyle w:val="Heading2"/>
      </w:pPr>
      <w:r>
        <w:t xml:space="preserve">Net effect on platform-wide numbers</w:t>
      </w:r>
    </w:p>
    <w:p>
      <w:pPr>
        <w:spacing w:after="120"/>
      </w:pPr>
      <w:r>
        <w:t xml:space="preserve">Average coverage across all 21 modules moves from 43% to 41% once these three revisions are applied. Total issue count rises from 454 to 473 (net +19, reflecting real newly-identified gaps, not double-counting). Total estimated remediation effort rises to approximately 1,750-1,850 person-days. Full detail for all three amendments is in the three delta appendices listed below (FRD-03 v2, FRD-04 v2, FRD-09 v2) — read alongside, not instead of, the original FRD-03/04/09 appendices, which remain valid for everything other than the specific requirement each amendment changed.</w:t>
      </w:r>
    </w:p>
    <w:p>
      <w:r>
        <w:br w:type="page"/>
      </w:r>
    </w:p>
    <w:p>
      <w:pPr>
        <w:pStyle w:val="Heading1"/>
      </w:pPr>
      <w:r>
        <w:t xml:space="preserve">7. Appendices</w:t>
      </w:r>
    </w:p>
    <w:p>
      <w:pPr>
        <w:spacing w:after="120"/>
      </w:pPr>
      <w:r>
        <w:t xml:space="preserve">Each FRD has a companion Word document with the full per-page, per-table, per-workflow gap analysis (structure: Exec Summary, Module Coverage, Page-by-Page Analysis, Database Audit, Masters/Workflow/Report/Notification/Document Audits, Business Rules Audit, Code Quality/Performance/Security spot-check, and a prioritized Output Summary Table).</w:t>
      </w:r>
    </w:p>
    <w:p>
      <w:pPr>
        <w:pStyle w:val="ListParagraph"/>
        <w:numPr>
          <w:ilvl w:val="0"/>
          <w:numId w:val="2"/>
        </w:numPr>
        <w:spacing w:after="60"/>
      </w:pPr>
      <w:r>
        <w:rPr>
          <w:b/>
          <w:bCs/>
        </w:rPr>
        <w:t xml:space="preserve">FRD-01 — Sahodaya Setup &amp; School Membership</w:t>
      </w:r>
      <w:r>
        <w:t xml:space="preserve">  (see appendix: FRD-01_*_Gap_Analysis.docx)</w:t>
      </w:r>
    </w:p>
    <w:p>
      <w:pPr>
        <w:pStyle w:val="ListParagraph"/>
        <w:numPr>
          <w:ilvl w:val="0"/>
          <w:numId w:val="2"/>
        </w:numPr>
        <w:spacing w:after="60"/>
      </w:pPr>
      <w:r>
        <w:rPr>
          <w:b/>
          <w:bCs/>
        </w:rPr>
        <w:t xml:space="preserve">FRD-02 — Student &amp; Teacher Registry</w:t>
      </w:r>
      <w:r>
        <w:t xml:space="preserve">  (see appendix: FRD-02_*_Gap_Analysis.docx)</w:t>
      </w:r>
    </w:p>
    <w:p>
      <w:pPr>
        <w:pStyle w:val="ListParagraph"/>
        <w:numPr>
          <w:ilvl w:val="0"/>
          <w:numId w:val="2"/>
        </w:numPr>
        <w:spacing w:after="60"/>
      </w:pPr>
      <w:r>
        <w:rPr>
          <w:b/>
          <w:bCs/>
        </w:rPr>
        <w:t xml:space="preserve">FRD-03 — Competition Engine (Core Framework)</w:t>
      </w:r>
      <w:r>
        <w:t xml:space="preserve">  (see appendix: FRD-03_*_Gap_Analysis.docx)</w:t>
      </w:r>
    </w:p>
    <w:p>
      <w:pPr>
        <w:pStyle w:val="ListParagraph"/>
        <w:numPr>
          <w:ilvl w:val="0"/>
          <w:numId w:val="2"/>
        </w:numPr>
        <w:spacing w:after="60"/>
      </w:pPr>
      <w:r>
        <w:rPr>
          <w:b/>
          <w:bCs/>
        </w:rPr>
        <w:t xml:space="preserve">FRD-04 — Sports Management</w:t>
      </w:r>
      <w:r>
        <w:t xml:space="preserve">  (see appendix: FRD-04_*_Gap_Analysis.docx)</w:t>
      </w:r>
    </w:p>
    <w:p>
      <w:pPr>
        <w:pStyle w:val="ListParagraph"/>
        <w:numPr>
          <w:ilvl w:val="0"/>
          <w:numId w:val="2"/>
        </w:numPr>
        <w:spacing w:after="60"/>
      </w:pPr>
      <w:r>
        <w:rPr>
          <w:b/>
          <w:bCs/>
        </w:rPr>
        <w:t xml:space="preserve">FRD-05 — Kalotsav Management</w:t>
      </w:r>
      <w:r>
        <w:t xml:space="preserve">  (see appendix: FRD-05_*_Gap_Analysis.docx)</w:t>
      </w:r>
    </w:p>
    <w:p>
      <w:pPr>
        <w:pStyle w:val="ListParagraph"/>
        <w:numPr>
          <w:ilvl w:val="0"/>
          <w:numId w:val="2"/>
        </w:numPr>
        <w:spacing w:after="60"/>
      </w:pPr>
      <w:r>
        <w:rPr>
          <w:b/>
          <w:bCs/>
        </w:rPr>
        <w:t xml:space="preserve">FRD-06 — Finance &amp; Accounts</w:t>
      </w:r>
      <w:r>
        <w:t xml:space="preserve">  (see appendix: FRD-06_*_Gap_Analysis.docx)</w:t>
      </w:r>
    </w:p>
    <w:p>
      <w:pPr>
        <w:pStyle w:val="ListParagraph"/>
        <w:numPr>
          <w:ilvl w:val="0"/>
          <w:numId w:val="2"/>
        </w:numPr>
        <w:spacing w:after="60"/>
      </w:pPr>
      <w:r>
        <w:rPr>
          <w:b/>
          <w:bCs/>
        </w:rPr>
        <w:t xml:space="preserve">FRD-07 — Examination Management System</w:t>
      </w:r>
      <w:r>
        <w:t xml:space="preserve">  (see appendix: FRD-07_*_Gap_Analysis.docx)</w:t>
      </w:r>
    </w:p>
    <w:p>
      <w:pPr>
        <w:pStyle w:val="ListParagraph"/>
        <w:numPr>
          <w:ilvl w:val="0"/>
          <w:numId w:val="2"/>
        </w:numPr>
        <w:spacing w:after="60"/>
      </w:pPr>
      <w:r>
        <w:rPr>
          <w:b/>
          <w:bCs/>
        </w:rPr>
        <w:t xml:space="preserve">FRD-08 — Custom Competition Management</w:t>
      </w:r>
      <w:r>
        <w:t xml:space="preserve">  (see appendix: FRD-08_*_Gap_Analysis.docx)</w:t>
      </w:r>
    </w:p>
    <w:p>
      <w:pPr>
        <w:pStyle w:val="ListParagraph"/>
        <w:numPr>
          <w:ilvl w:val="0"/>
          <w:numId w:val="2"/>
        </w:numPr>
        <w:spacing w:after="60"/>
      </w:pPr>
      <w:r>
        <w:rPr>
          <w:b/>
          <w:bCs/>
        </w:rPr>
        <w:t xml:space="preserve">FRD-09 — Teacher Training &amp; Prof. Development</w:t>
      </w:r>
      <w:r>
        <w:t xml:space="preserve">  (see appendix: FRD-09_*_Gap_Analysis.docx)</w:t>
      </w:r>
    </w:p>
    <w:p>
      <w:pPr>
        <w:pStyle w:val="ListParagraph"/>
        <w:numPr>
          <w:ilvl w:val="0"/>
          <w:numId w:val="2"/>
        </w:numPr>
        <w:spacing w:after="60"/>
      </w:pPr>
      <w:r>
        <w:rPr>
          <w:b/>
          <w:bCs/>
        </w:rPr>
        <w:t xml:space="preserve">FRD-10 — Workflow &amp; Approval Engine</w:t>
      </w:r>
      <w:r>
        <w:t xml:space="preserve">  (see appendix: FRD-10_*_Gap_Analysis.docx)</w:t>
      </w:r>
    </w:p>
    <w:p>
      <w:pPr>
        <w:pStyle w:val="ListParagraph"/>
        <w:numPr>
          <w:ilvl w:val="0"/>
          <w:numId w:val="2"/>
        </w:numPr>
        <w:spacing w:after="60"/>
      </w:pPr>
      <w:r>
        <w:rPr>
          <w:b/>
          <w:bCs/>
        </w:rPr>
        <w:t xml:space="preserve">FRD-11 — Document &amp; Template Engine</w:t>
      </w:r>
      <w:r>
        <w:t xml:space="preserve">  (see appendix: FRD-11_*_Gap_Analysis.docx)</w:t>
      </w:r>
    </w:p>
    <w:p>
      <w:pPr>
        <w:pStyle w:val="ListParagraph"/>
        <w:numPr>
          <w:ilvl w:val="0"/>
          <w:numId w:val="2"/>
        </w:numPr>
        <w:spacing w:after="60"/>
      </w:pPr>
      <w:r>
        <w:rPr>
          <w:b/>
          <w:bCs/>
        </w:rPr>
        <w:t xml:space="preserve">FRD-12 — Notification &amp; Communication Engine</w:t>
      </w:r>
      <w:r>
        <w:t xml:space="preserve">  (see appendix: FRD-12_*_Gap_Analysis.docx)</w:t>
      </w:r>
    </w:p>
    <w:p>
      <w:pPr>
        <w:pStyle w:val="ListParagraph"/>
        <w:numPr>
          <w:ilvl w:val="0"/>
          <w:numId w:val="2"/>
        </w:numPr>
        <w:spacing w:after="60"/>
      </w:pPr>
      <w:r>
        <w:rPr>
          <w:b/>
          <w:bCs/>
        </w:rPr>
        <w:t xml:space="preserve">FRD-13 — Super Admin &amp; Multi-Tenant Platform</w:t>
      </w:r>
      <w:r>
        <w:t xml:space="preserve">  (see appendix: FRD-13_*_Gap_Analysis.docx)</w:t>
      </w:r>
    </w:p>
    <w:p>
      <w:pPr>
        <w:pStyle w:val="ListParagraph"/>
        <w:numPr>
          <w:ilvl w:val="0"/>
          <w:numId w:val="2"/>
        </w:numPr>
        <w:spacing w:after="60"/>
      </w:pPr>
      <w:r>
        <w:rPr>
          <w:b/>
          <w:bCs/>
        </w:rPr>
        <w:t xml:space="preserve">FRD-14 — Reporting, Analytics &amp; BI Engine</w:t>
      </w:r>
      <w:r>
        <w:t xml:space="preserve">  (see appendix: FRD-14_*_Gap_Analysis.docx)</w:t>
      </w:r>
    </w:p>
    <w:p>
      <w:pPr>
        <w:pStyle w:val="ListParagraph"/>
        <w:numPr>
          <w:ilvl w:val="0"/>
          <w:numId w:val="2"/>
        </w:numPr>
        <w:spacing w:after="60"/>
      </w:pPr>
      <w:r>
        <w:rPr>
          <w:b/>
          <w:bCs/>
        </w:rPr>
        <w:t xml:space="preserve">FRD-15 — Security, Audit &amp; Access Control</w:t>
      </w:r>
      <w:r>
        <w:t xml:space="preserve">  (see appendix: FRD-15_*_Gap_Analysis.docx)</w:t>
      </w:r>
    </w:p>
    <w:p>
      <w:pPr>
        <w:pStyle w:val="ListParagraph"/>
        <w:numPr>
          <w:ilvl w:val="0"/>
          <w:numId w:val="2"/>
        </w:numPr>
        <w:spacing w:after="60"/>
      </w:pPr>
      <w:r>
        <w:rPr>
          <w:b/>
          <w:bCs/>
        </w:rPr>
        <w:t xml:space="preserve">FRD-16 — Shared Masters &amp; Configuration Engine</w:t>
      </w:r>
      <w:r>
        <w:t xml:space="preserve">  (see appendix: FRD-16_*_Gap_Analysis.docx)</w:t>
      </w:r>
    </w:p>
    <w:p>
      <w:pPr>
        <w:pStyle w:val="ListParagraph"/>
        <w:numPr>
          <w:ilvl w:val="0"/>
          <w:numId w:val="2"/>
        </w:numPr>
        <w:spacing w:after="60"/>
      </w:pPr>
      <w:r>
        <w:rPr>
          <w:b/>
          <w:bCs/>
        </w:rPr>
        <w:t xml:space="preserve">FRD-17 — Platform Services &amp; Common Utilities</w:t>
      </w:r>
      <w:r>
        <w:t xml:space="preserve">  (see appendix: FRD-17_*_Gap_Analysis.docx)</w:t>
      </w:r>
    </w:p>
    <w:p>
      <w:pPr>
        <w:pStyle w:val="ListParagraph"/>
        <w:numPr>
          <w:ilvl w:val="0"/>
          <w:numId w:val="2"/>
        </w:numPr>
        <w:spacing w:after="60"/>
      </w:pPr>
      <w:r>
        <w:rPr>
          <w:b/>
          <w:bCs/>
        </w:rPr>
        <w:t xml:space="preserve">FRD-18 — Deployment, DevOps &amp; Infrastructure</w:t>
      </w:r>
      <w:r>
        <w:t xml:space="preserve">  (see appendix: FRD-18_*_Gap_Analysis.docx)</w:t>
      </w:r>
    </w:p>
    <w:p>
      <w:pPr>
        <w:pStyle w:val="ListParagraph"/>
        <w:numPr>
          <w:ilvl w:val="0"/>
          <w:numId w:val="2"/>
        </w:numPr>
        <w:spacing w:after="60"/>
      </w:pPr>
      <w:r>
        <w:rPr>
          <w:b/>
          <w:bCs/>
        </w:rPr>
        <w:t xml:space="preserve">FRD-19 — Public Portal, Live Results &amp; Public Info</w:t>
      </w:r>
      <w:r>
        <w:t xml:space="preserve">  (see appendix: FRD-19_*_Gap_Analysis.docx)</w:t>
      </w:r>
    </w:p>
    <w:p>
      <w:pPr>
        <w:pStyle w:val="ListParagraph"/>
        <w:numPr>
          <w:ilvl w:val="0"/>
          <w:numId w:val="2"/>
        </w:numPr>
        <w:spacing w:after="60"/>
      </w:pPr>
      <w:r>
        <w:rPr>
          <w:b/>
          <w:bCs/>
        </w:rPr>
        <w:t xml:space="preserve">FRD-20 — Multi-Site Website Builder / CMS</w:t>
      </w:r>
      <w:r>
        <w:t xml:space="preserve">  (see appendix: FRD-20_*_Gap_Analysis.docx)</w:t>
      </w:r>
    </w:p>
    <w:p>
      <w:pPr>
        <w:pStyle w:val="ListParagraph"/>
        <w:numPr>
          <w:ilvl w:val="0"/>
          <w:numId w:val="2"/>
        </w:numPr>
        <w:spacing w:after="60"/>
      </w:pPr>
      <w:r>
        <w:rPr>
          <w:b/>
          <w:bCs/>
        </w:rPr>
        <w:t xml:space="preserve">FRD-21 — CBSE Academic Results, Toppers &amp; Achievements</w:t>
      </w:r>
      <w:r>
        <w:t xml:space="preserve">  (see appendix: FRD-21_*_Gap_Analysis.docx)</w:t>
      </w:r>
    </w:p>
    <w:p>
      <w:pPr>
        <w:spacing w:after="120"/>
      </w:pPr>
    </w:p>
    <w:p>
      <w:pPr>
        <w:pStyle w:val="Heading2"/>
      </w:pPr>
      <w:r>
        <w:t xml:space="preserve">v2 Amendment Delta Appendices</w:t>
      </w:r>
    </w:p>
    <w:p>
      <w:pPr>
        <w:pStyle w:val="ListParagraph"/>
        <w:numPr>
          <w:ilvl w:val="0"/>
          <w:numId w:val="2"/>
        </w:numPr>
        <w:spacing w:after="60"/>
      </w:pPr>
      <w:r>
        <w:rPr>
          <w:b/>
          <w:bCs/>
        </w:rPr>
        <w:t xml:space="preserve">FRD-03 v2 — Event Head Model</w:t>
      </w:r>
      <w:r>
        <w:t xml:space="preserve">  (see appendix: FRD-03_v2_EventHead_Delta_Analysis.docx)</w:t>
      </w:r>
    </w:p>
    <w:p>
      <w:pPr>
        <w:pStyle w:val="ListParagraph"/>
        <w:numPr>
          <w:ilvl w:val="0"/>
          <w:numId w:val="2"/>
        </w:numPr>
        <w:spacing w:after="60"/>
      </w:pPr>
      <w:r>
        <w:rPr>
          <w:b/>
          <w:bCs/>
        </w:rPr>
        <w:t xml:space="preserve">FRD-04 v2 — Updated Event Head Architecture</w:t>
      </w:r>
      <w:r>
        <w:t xml:space="preserve">  (see appendix: FRD-04_v2_EventHead_Delta_Analysis.docx)</w:t>
      </w:r>
    </w:p>
    <w:p>
      <w:pPr>
        <w:pStyle w:val="ListParagraph"/>
        <w:numPr>
          <w:ilvl w:val="0"/>
          <w:numId w:val="2"/>
        </w:numPr>
        <w:spacing w:after="60"/>
      </w:pPr>
      <w:r>
        <w:rPr>
          <w:b/>
          <w:bCs/>
        </w:rPr>
        <w:t xml:space="preserve">FRD-09 v2 — QR Registration Update</w:t>
      </w:r>
      <w:r>
        <w:t xml:space="preserve">  (see appendix: FRD-09_v2_QRRegistration_Delta_Analysis.docx)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Sahodaya ERP — Master Product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09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2026-07-11T01:22:28.716Z</dcterms:created>
  <dcterms:modified xsi:type="dcterms:W3CDTF">2026-07-11T01:22:28.717Z</dcterms:modified>
</cp:coreProperties>
</file>

<file path=docProps/custom.xml><?xml version="1.0" encoding="utf-8"?>
<Properties xmlns="http://schemas.openxmlformats.org/officeDocument/2006/custom-properties" xmlns:vt="http://schemas.openxmlformats.org/officeDocument/2006/docPropsVTypes"/>
</file>