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Multi-Web Hardening Plan — FRD-06, FRD-13, FRD-15</w:t>
      </w:r>
    </w:p>
    <w:p>
      <w:pPr>
        <w:spacing w:after="120"/>
      </w:pPr>
      <w:r>
        <w:rPr>
          <w:i/>
          <w:iCs/>
          <w:color w:val="6b7280"/>
        </w:rPr>
        <w:t xml:space="preserve">CBSE Sahodaya Digital Platform · Generated 2026-07-12 · Re-audit of Finance &amp; Accounts, Multi-Tenant Platform, and Security/Audit against current code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The original product audit found FRD-06 (Finance &amp; Accounts), FRD-13 (Super Admin &amp; Multi-Tenant Platform), and FRD-15 (Security, Audit &amp; Access Control) in acceptable shape with no Critical gaps. That audit predates the Sports fee overhaul, Teacher/Student Registry work, Teacher Training CPD/invoices, Talent Search/MCQ printable documents, and the full Academic Results/Toppers/Achievements rebuild — a very large amount of new surface area that had not had a focused re-check. This re-audit (2026-07-12) is read-only: no code was changed, every finding below is backed by a specific file/method, and no Critical-severity issues were found in any of the three areas.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700"/>
      </w:tblGrid>
      <w:tr>
        <w:tc>
          <w:tcPr>
            <w:tcW w:type="dxa" w:w="3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Health</w:t>
            </w:r>
          </w:p>
        </w:tc>
        <w:tc>
          <w:tcPr>
            <w:tcW w:type="dxa" w:w="20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2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FRD-06 Finance &amp; Accounts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Good, not perfect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High, 2 Medium, 2 Low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~9-9.5d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FRD-15 Security, Audit &amp; Access Control</w:t>
            </w:r>
          </w:p>
        </w:tc>
        <w:tc>
          <w:tcPr>
            <w:tcW w:type="dxa" w:w="2000"/>
            <w:shd w:fill="DCFCE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(1 gap)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Medium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~0.5d</w:t>
            </w:r>
          </w:p>
        </w:tc>
      </w:tr>
      <w:tr>
        <w:tc>
          <w:tcPr>
            <w:tcW w:type="dxa" w:w="3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FRD-13 Super Admin &amp; Multi-Tenant Platform</w:t>
            </w:r>
          </w:p>
        </w:tc>
        <w:tc>
          <w:tcPr>
            <w:tcW w:type="dxa" w:w="20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(1 real leak)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Medium, 2 Low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~2-2.5d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effort: roughly 11.5-12.5 person-days across all three areas. No item requires schema-level rework of an already-shipped feature — every fix is additive (new reversal path, new report, new scoping guard) or a small targeted correction (one unscoped query, missing throttle middleware, one missing audit-log call).</w:t>
      </w:r>
    </w:p>
    <w:p>
      <w:pPr>
        <w:pStyle w:val="Heading1"/>
        <w:spacing w:after="150" w:before="300"/>
      </w:pPr>
      <w:r>
        <w:t xml:space="preserve">FRD-06 — Finance &amp; Accounts</w:t>
      </w:r>
    </w:p>
    <w:p>
      <w:pPr>
        <w:spacing w:after="120"/>
      </w:pPr>
      <w:r>
        <w:rPr>
          <w:i/>
          <w:iCs/>
          <w:color w:val="15803d"/>
        </w:rPr>
        <w:t xml:space="preserve">Verdict: Good, not perfect — one High item (refund/reversal), rest is coverage and hygiene.</w:t>
      </w:r>
    </w:p>
    <w:p>
      <w:pPr>
        <w:spacing w:after="120"/>
      </w:pPr>
      <w:r>
        <w:t xml:space="preserve">Core ledger posting is sound: idempotent (checked by reference_type+reference_id before creating a transaction), transactional, and every module (Sports, Teacher Training, MCQ, membership) routes through the same FeeReceiptLedgerDispatcher — no module bypasses it. The real gap is structural: there is no way to reverse money once it's posted.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900"/>
        <w:gridCol w:w="15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9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 &amp; fix</w:t>
            </w:r>
          </w:p>
        </w:tc>
        <w:tc>
          <w:tcPr>
            <w:tcW w:type="dxa" w:w="15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E2E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Refund / reversal mechanism
No code path exists to reverse an approved, ledger-posted FeeReceipt (chargeback, cancellation, correction). Add a "reversed" FeeReceipt status; a reversal action reachable from an approved receipt; and a postReversal() method in each per-module ledger service (LedgerService, FestFeeLedgerService, TrainingFeeLedgerService, McqFeeLedgerService) that posts a compensating LedgerTransaction rather than mutating the original. Gate the action behind the same approval-level role that approves receipts.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5-6d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FeeReceipt-vs-Ledger reconciliation report
No report catches drift between FeeReceipt totals and LedgerTransaction totals, so an orphaned "approved but never posted" receipt (e.g. from the silent resolveTenantId() no-op below) would go unnoticed indefinitely. Add a reconciliation report/export under app/Services/Reports listing approved receipts with no matching ledger transaction, and vice versa.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MCQ fee-approval audit logging
McqSchoolFeeService::approve() has no PlatformAuditLogger call, while its reject() path does — an asymmetric trail where money-in approvals are unlogged but rejections are. Add the matching audit-log call to approve().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Row locking on ledger posting
LedgerPostingService::postJournal() checks for an existing transaction before creating one, but without a row lock a true concurrent double-approve (two requests hitting approve() at once) could still race. Add lockForUpdate() on the FeeReceipt/feeable row inside the posting transaction.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Surface silent tenant-resolution failures
If a FeeReceipt's feeable's tenant can't be resolved during posting, resolveTenantId() silently returns and the receipt stays "approved" with zero ledger rows and no alert. Log a warning (or raise a Sahodaya-admin notification) instead of a silent no-op.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FRD-15 — Security, Audit &amp; Access Control</w:t>
      </w:r>
    </w:p>
    <w:p>
      <w:pPr>
        <w:spacing w:after="120"/>
      </w:pPr>
      <w:r>
        <w:rPr>
          <w:i/>
          <w:iCs/>
          <w:color w:val="15803d"/>
        </w:rPr>
        <w:t xml:space="preserve">Verdict: Clean — 5 of 6 risk areas had zero findings; one Medium gap.</w:t>
      </w:r>
    </w:p>
    <w:p>
      <w:pPr>
        <w:spacing w:after="120"/>
      </w:pPr>
      <w:r>
        <w:t xml:space="preserve">Authorization, mass-assignment protection, file-upload validation, and audit-log coverage on all newer controllers (BoardResultVerificationController, TrainingResourcePersonController, TeacherMcqRegistrationController, the public portal/certificate controllers) checked clean. The one gap is missing rate limiting on public, unauthenticated endpoints that are enumerable by UUID.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900"/>
        <w:gridCol w:w="15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9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 &amp; fix</w:t>
            </w:r>
          </w:p>
        </w:tc>
        <w:tc>
          <w:tcPr>
            <w:tcW w:type="dxa" w:w="15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Rate limiting on public verification/portal endpoints
/verify/{uuid}, /certificates/verify/{uuid}, /certificates/print/{uuid}, and the academic-results public portal routes carry no throttle middleware, unlike sibling public endpoints in the same route files (school-register.store, Training QR endpoints). This allows unlimited-rate UUID enumeration/scraping. Add throttle:60,1 (or similar) to all of these routes.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FRD-13 — Super Admin &amp; Multi-Tenant Platform</w:t>
      </w:r>
    </w:p>
    <w:p>
      <w:pPr>
        <w:spacing w:after="120"/>
      </w:pPr>
      <w:r>
        <w:rPr>
          <w:i/>
          <w:iCs/>
          <w:color w:val="15803d"/>
        </w:rPr>
        <w:t xml:space="preserve">Verdict: Clean except one real cross-tenant leak in an award-computation query.</w:t>
      </w:r>
    </w:p>
    <w:p>
      <w:pPr>
        <w:spacing w:after="120"/>
      </w:pPr>
      <w:r>
        <w:t xml:space="preserve">Tenant scoping across newer Academic Results and Training tables is enforced consistently at the service layer (no model uses a global scope, matching the existing BoardResult/Topper convention, but every read/write path checked passes the tenant filter explicitly) — except one query. StateAdmin cross-tenant reads are correctly gated behind a genuinely separate state.admin role and return aggregate-only data.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5900"/>
        <w:gridCol w:w="1500"/>
      </w:tblGrid>
      <w:tr>
        <w:tc>
          <w:tcPr>
            <w:tcW w:type="dxa" w:w="7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3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59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Finding &amp; fix</w:t>
            </w:r>
          </w:p>
        </w:tc>
        <w:tc>
          <w:tcPr>
            <w:tcW w:type="dxa" w:w="1500"/>
            <w:shd w:fill="0f3d7a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EF3C7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ExamStream lookup not sahodaya-scoped in Awards Engine
AwardsEngine::awardBestStreamSchool() (app/Services/BoardResults/AwardsEngine.php:331) queries ExamStream::query()-&gt;whereIn('code', ...) with no sahodaya_id filter. If two Sahodayas each define a stream with the same code, one Sahodaya's "Best Stream School" award can pull data from the other's stream row. Switch to the existing ExamStream::forSahodaya() scope, which was built for exactly this and just isn't used at this call site.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Defense-in-depth tenant scoping on 6 newer models
AcademicAward, AcademicPerformanceScore, ApiConfig, BoardResultRanking, TopperCountConfig, and ExamStream have no global scope or trait enforcing tenant filtering — every current read/write path correctly passes sahodaya_id/tenant_id explicitly, but there's no structural guard against a future query forgetting to. Add a shared tenant-scoping trait/global scope consistent with (or improving on) the existing BoardResult/Topper convention.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1-1.5d</w:t>
            </w:r>
          </w:p>
        </w:tc>
      </w:tr>
      <w:tr>
        <w:tc>
          <w:tcPr>
            <w:tcW w:type="dxa" w:w="7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DBEAFE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TopperSubjectMark has no tenant column
Scoped only indirectly via topper_id → Topper.tenant_id. No current leak (RankingEngine::rankBySubject filters by tenant-scoped topper IDs first), but any future direct query against topper_subject_marks would be unscoped. Document the invariant in the model, or add a denormalized tenant_id column for a structural guard.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0.5d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Suggested Order</w:t>
      </w:r>
    </w:p>
    <w:p>
      <w:pPr>
        <w:spacing w:after="120"/>
      </w:pPr>
      <w:r>
        <w:t xml:space="preserve">Priority is risk-weighted, not by module — fix the real leak and the money-reversal gap first, then the smaller hygiene items in any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FRD-13 #1 — ExamStream sahodaya-scoping fix (0.5d): the only confirmed cross-tenant data leak found across all three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FRD-06 #1 — Refund/reversal mechanism (5-6d): the only High-severity item and the largest effort; blocks any real-world chargeback/cancellation handling today.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FRD-15 #1 — Rate limiting on public endpoints (0.5d): quick, closes an enumeration/scraping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FRD-06 #3 — MCQ approval audit logging (0.5d): quick, closes an audit-trail asymmetry.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FRD-06 #2 — Reconciliation report (2d): safety net for the reversal work above and for catching future drift.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FRD-13 #2, #3 and FRD-06 #4, #5 — remaining Low-severity hygiene items (~2.5-3d total), any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2026-07-11T22:16:24.769Z</dcterms:created>
  <dcterms:modified xsi:type="dcterms:W3CDTF">2026-07-11T22:16:24.769Z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