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3d7a"/>
          <w:sz w:val="44"/>
          <w:szCs w:val="44"/>
        </w:rPr>
        <w:t xml:space="preserve">Sports Event Head Flow</w:t>
      </w:r>
    </w:p>
    <w:p>
      <w:pPr>
        <w:spacing w:after="40"/>
      </w:pPr>
      <w:r>
        <w:rPr>
          <w:color w:val="6b7280"/>
          <w:sz w:val="28"/>
          <w:szCs w:val="28"/>
        </w:rPr>
        <w:t xml:space="preserve">Findings &amp; Redesign Plan</w:t>
      </w:r>
    </w:p>
    <w:p>
      <w:pPr>
        <w:spacing w:after="300"/>
      </w:pPr>
      <w:r>
        <w:rPr>
          <w:i/>
          <w:iCs/>
          <w:color w:val="6b7280"/>
          <w:sz w:val="20"/>
          <w:szCs w:val="20"/>
        </w:rPr>
        <w:t xml:space="preserve">Multi-Web CBSE Sahodaya Platform — Sports (FRD-04, Event Head architecture)</w:t>
      </w:r>
    </w:p>
    <w:p>
      <w:pPr>
        <w:pStyle w:val="Heading1"/>
        <w:spacing w:after="160" w:before="320"/>
      </w:pPr>
      <w:r>
        <w:t xml:space="preserve">1. Purpose &amp; Scope</w:t>
      </w:r>
    </w:p>
    <w:p>
      <w:pPr>
        <w:spacing w:after="120"/>
      </w:pPr>
      <w:r>
        <w:t xml:space="preserve">This document audits the current Sports admin flow end-to-end — from event creation through results publish — against the agreed FRD-04 architecture ("Competition Type → Sports → Event Head → Items", Event Head owns all registration/fee settings, Sports itself has no independent configuration). It records exactly what was checked, what was found wrong, and a phased plan to make Event Head the single, consistent unit of configuration throughout the flow — one nav, one checklist, one fee layout, whether a head is being created or edited.</w:t>
      </w:r>
    </w:p>
    <w:p>
      <w:pPr>
        <w:spacing w:after="120"/>
      </w:pPr>
      <w:r>
        <w:t xml:space="preserve">Two fixes already shipped before this document (commits b1d4702 and 063628e): fees/policy can now be set at head-creation time, and the duplicate nav bar on the Settings page was removed. The findings below are what remains.</w:t>
      </w:r>
    </w:p>
    <w:p>
      <w:pPr>
        <w:pStyle w:val="Heading1"/>
        <w:spacing w:after="160" w:before="320"/>
      </w:pPr>
      <w:r>
        <w:t xml:space="preserve">2. Current-State Findings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50"/>
        <w:gridCol w:w="3550"/>
        <w:gridCol w:w="3600"/>
        <w:gridCol w:w="2600"/>
      </w:tblGrid>
      <w:tr>
        <w:trPr>
          <w:tblHeader/>
        </w:trPr>
        <w:tc>
          <w:tcPr>
            <w:tcW w:type="dxa" w:w="450"/>
            <w:shd w:fill="0f3d7a" w:val="clear"/>
            <w:tcMar>
              <w:top w:type="dxa" w:w="80"/>
              <w:left w:type="dxa" w:w="100"/>
              <w:bottom w:type="dxa" w:w="80"/>
              <w:right w:type="dxa" w:w="100"/>
            </w:tcMar>
          </w:tcPr>
          <w:p>
            <w:pPr>
              <w:jc w:val="left"/>
            </w:pPr>
            <w:r>
              <w:rPr>
                <w:b/>
                <w:bCs/>
                <w:color w:val="FFFFFF"/>
                <w:sz w:val="19"/>
                <w:szCs w:val="19"/>
              </w:rPr>
              <w:t xml:space="preserve">#</w:t>
            </w:r>
          </w:p>
        </w:tc>
        <w:tc>
          <w:tcPr>
            <w:tcW w:type="dxa" w:w="3550"/>
            <w:shd w:fill="0f3d7a" w:val="clear"/>
            <w:tcMar>
              <w:top w:type="dxa" w:w="80"/>
              <w:left w:type="dxa" w:w="100"/>
              <w:bottom w:type="dxa" w:w="80"/>
              <w:right w:type="dxa" w:w="100"/>
            </w:tcMar>
          </w:tcPr>
          <w:p>
            <w:pPr>
              <w:jc w:val="left"/>
            </w:pPr>
            <w:r>
              <w:rPr>
                <w:b/>
                <w:bCs/>
                <w:color w:val="FFFFFF"/>
                <w:sz w:val="19"/>
                <w:szCs w:val="19"/>
              </w:rPr>
              <w:t xml:space="preserve">Finding</w:t>
            </w:r>
          </w:p>
        </w:tc>
        <w:tc>
          <w:tcPr>
            <w:tcW w:type="dxa" w:w="3600"/>
            <w:shd w:fill="0f3d7a" w:val="clear"/>
            <w:tcMar>
              <w:top w:type="dxa" w:w="80"/>
              <w:left w:type="dxa" w:w="100"/>
              <w:bottom w:type="dxa" w:w="80"/>
              <w:right w:type="dxa" w:w="100"/>
            </w:tcMar>
          </w:tcPr>
          <w:p>
            <w:pPr>
              <w:jc w:val="left"/>
            </w:pPr>
            <w:r>
              <w:rPr>
                <w:b/>
                <w:bCs/>
                <w:color w:val="FFFFFF"/>
                <w:sz w:val="19"/>
                <w:szCs w:val="19"/>
              </w:rPr>
              <w:t xml:space="preserve">Evidence (file / logic)</w:t>
            </w:r>
          </w:p>
        </w:tc>
        <w:tc>
          <w:tcPr>
            <w:tcW w:type="dxa" w:w="2600"/>
            <w:shd w:fill="0f3d7a" w:val="clear"/>
            <w:tcMar>
              <w:top w:type="dxa" w:w="80"/>
              <w:left w:type="dxa" w:w="100"/>
              <w:bottom w:type="dxa" w:w="80"/>
              <w:right w:type="dxa" w:w="100"/>
            </w:tcMar>
          </w:tcPr>
          <w:p>
            <w:pPr>
              <w:jc w:val="left"/>
            </w:pPr>
            <w:r>
              <w:rPr>
                <w:b/>
                <w:bCs/>
                <w:color w:val="FFFFFF"/>
                <w:sz w:val="19"/>
                <w:szCs w:val="19"/>
              </w:rPr>
              <w:t xml:space="preserve">Impact</w:t>
            </w:r>
          </w:p>
        </w:tc>
      </w:tr>
      <w:tr>
        <w:tc>
          <w:tcPr>
            <w:tcW w:type="dxa" w:w="450"/>
            <w:tcMar>
              <w:top w:type="dxa" w:w="80"/>
              <w:left w:type="dxa" w:w="100"/>
              <w:bottom w:type="dxa" w:w="80"/>
              <w:right w:type="dxa" w:w="100"/>
            </w:tcMar>
          </w:tcPr>
          <w:p>
            <w:pPr>
              <w:jc w:val="left"/>
            </w:pPr>
            <w:r>
              <w:rPr>
                <w:b w:val="false"/>
                <w:bCs w:val="false"/>
                <w:sz w:val="19"/>
                <w:szCs w:val="19"/>
              </w:rPr>
              <w:t xml:space="preserve">1</w:t>
            </w:r>
          </w:p>
        </w:tc>
        <w:tc>
          <w:tcPr>
            <w:tcW w:type="dxa" w:w="3550"/>
            <w:tcMar>
              <w:top w:type="dxa" w:w="80"/>
              <w:left w:type="dxa" w:w="100"/>
              <w:bottom w:type="dxa" w:w="80"/>
              <w:right w:type="dxa" w:w="100"/>
            </w:tcMar>
          </w:tcPr>
          <w:p>
            <w:pPr>
              <w:jc w:val="left"/>
            </w:pPr>
            <w:r>
              <w:rPr>
                <w:b w:val="false"/>
                <w:bCs w:val="false"/>
                <w:sz w:val="19"/>
                <w:szCs w:val="19"/>
              </w:rPr>
              <w:t xml:space="preserve">Competition hub duplicates its own subnav twice on one page</w:t>
            </w:r>
          </w:p>
        </w:tc>
        <w:tc>
          <w:tcPr>
            <w:tcW w:type="dxa" w:w="3600"/>
            <w:tcMar>
              <w:top w:type="dxa" w:w="80"/>
              <w:left w:type="dxa" w:w="100"/>
              <w:bottom w:type="dxa" w:w="80"/>
              <w:right w:type="dxa" w:w="100"/>
            </w:tcMar>
          </w:tcPr>
          <w:p>
            <w:pPr>
              <w:jc w:val="left"/>
            </w:pPr>
            <w:r>
              <w:rPr>
                <w:b w:val="false"/>
                <w:bCs w:val="false"/>
                <w:sz w:val="19"/>
                <w:szCs w:val="19"/>
              </w:rPr>
              <w:t xml:space="preserve">ItemHeadOps.vue lines 6-10 (PageHeader action buttons: Items under heads / Item listing / Setup hub) sit directly above SportsSetupSubNav (lines 13-14) rendering the same 3 links again</w:t>
            </w:r>
          </w:p>
        </w:tc>
        <w:tc>
          <w:tcPr>
            <w:tcW w:type="dxa" w:w="2600"/>
            <w:tcMar>
              <w:top w:type="dxa" w:w="80"/>
              <w:left w:type="dxa" w:w="100"/>
              <w:bottom w:type="dxa" w:w="80"/>
              <w:right w:type="dxa" w:w="100"/>
            </w:tcMar>
          </w:tcPr>
          <w:p>
            <w:pPr>
              <w:jc w:val="left"/>
            </w:pPr>
            <w:r>
              <w:rPr>
                <w:b w:val="false"/>
                <w:bCs w:val="false"/>
                <w:sz w:val="19"/>
                <w:szCs w:val="19"/>
              </w:rPr>
              <w:t xml:space="preserve">Same page shows the same links twice in two different visual styles</w:t>
            </w:r>
          </w:p>
        </w:tc>
      </w:tr>
      <w:tr>
        <w:tc>
          <w:tcPr>
            <w:tcW w:type="dxa" w:w="450"/>
            <w:tcMar>
              <w:top w:type="dxa" w:w="80"/>
              <w:left w:type="dxa" w:w="100"/>
              <w:bottom w:type="dxa" w:w="80"/>
              <w:right w:type="dxa" w:w="100"/>
            </w:tcMar>
          </w:tcPr>
          <w:p>
            <w:pPr>
              <w:jc w:val="left"/>
            </w:pPr>
            <w:r>
              <w:rPr>
                <w:b w:val="false"/>
                <w:bCs w:val="false"/>
                <w:sz w:val="19"/>
                <w:szCs w:val="19"/>
              </w:rPr>
              <w:t xml:space="preserve">2</w:t>
            </w:r>
          </w:p>
        </w:tc>
        <w:tc>
          <w:tcPr>
            <w:tcW w:type="dxa" w:w="3550"/>
            <w:tcMar>
              <w:top w:type="dxa" w:w="80"/>
              <w:left w:type="dxa" w:w="100"/>
              <w:bottom w:type="dxa" w:w="80"/>
              <w:right w:type="dxa" w:w="100"/>
            </w:tcMar>
          </w:tcPr>
          <w:p>
            <w:pPr>
              <w:jc w:val="left"/>
            </w:pPr>
            <w:r>
              <w:rPr>
                <w:b w:val="false"/>
                <w:bCs w:val="false"/>
                <w:sz w:val="19"/>
                <w:szCs w:val="19"/>
              </w:rPr>
              <w:t xml:space="preserve">Two separate, differently-worded checklists exist for one event</w:t>
            </w:r>
          </w:p>
        </w:tc>
        <w:tc>
          <w:tcPr>
            <w:tcW w:type="dxa" w:w="3600"/>
            <w:tcMar>
              <w:top w:type="dxa" w:w="80"/>
              <w:left w:type="dxa" w:w="100"/>
              <w:bottom w:type="dxa" w:w="80"/>
              <w:right w:type="dxa" w:w="100"/>
            </w:tcMar>
          </w:tcPr>
          <w:p>
            <w:pPr>
              <w:jc w:val="left"/>
            </w:pPr>
            <w:r>
              <w:rPr>
                <w:b w:val="false"/>
                <w:bCs w:val="false"/>
                <w:sz w:val="19"/>
                <w:szCs w:val="19"/>
              </w:rPr>
              <w:t xml:space="preserve">Setup Hub: FestSportsSetupController::index() (9 items). Overview: FestLifecycleService::checklist() (9 different items). Neither links to or reconciles with the other.</w:t>
            </w:r>
          </w:p>
        </w:tc>
        <w:tc>
          <w:tcPr>
            <w:tcW w:type="dxa" w:w="2600"/>
            <w:tcMar>
              <w:top w:type="dxa" w:w="80"/>
              <w:left w:type="dxa" w:w="100"/>
              <w:bottom w:type="dxa" w:w="80"/>
              <w:right w:type="dxa" w:w="100"/>
            </w:tcMar>
          </w:tcPr>
          <w:p>
            <w:pPr>
              <w:jc w:val="left"/>
            </w:pPr>
            <w:r>
              <w:rPr>
                <w:b w:val="false"/>
                <w:bCs w:val="false"/>
                <w:sz w:val="19"/>
                <w:szCs w:val="19"/>
              </w:rPr>
              <w:t xml:space="preserve">No single source of truth for "is this event ready" - user sees two different progress reports depending which page they land on</w:t>
            </w:r>
          </w:p>
        </w:tc>
      </w:tr>
      <w:tr>
        <w:tc>
          <w:tcPr>
            <w:tcW w:type="dxa" w:w="450"/>
            <w:tcMar>
              <w:top w:type="dxa" w:w="80"/>
              <w:left w:type="dxa" w:w="100"/>
              <w:bottom w:type="dxa" w:w="80"/>
              <w:right w:type="dxa" w:w="100"/>
            </w:tcMar>
          </w:tcPr>
          <w:p>
            <w:pPr>
              <w:jc w:val="left"/>
            </w:pPr>
            <w:r>
              <w:rPr>
                <w:b w:val="false"/>
                <w:bCs w:val="false"/>
                <w:sz w:val="19"/>
                <w:szCs w:val="19"/>
              </w:rPr>
              <w:t xml:space="preserve">3</w:t>
            </w:r>
          </w:p>
        </w:tc>
        <w:tc>
          <w:tcPr>
            <w:tcW w:type="dxa" w:w="3550"/>
            <w:tcMar>
              <w:top w:type="dxa" w:w="80"/>
              <w:left w:type="dxa" w:w="100"/>
              <w:bottom w:type="dxa" w:w="80"/>
              <w:right w:type="dxa" w:w="100"/>
            </w:tcMar>
          </w:tcPr>
          <w:p>
            <w:pPr>
              <w:jc w:val="left"/>
            </w:pPr>
            <w:r>
              <w:rPr>
                <w:b w:val="false"/>
                <w:bCs w:val="false"/>
                <w:sz w:val="19"/>
                <w:szCs w:val="19"/>
              </w:rPr>
              <w:t xml:space="preserve">"State remittance submitted &amp; verified" can show done on a brand-new empty event</w:t>
            </w:r>
          </w:p>
        </w:tc>
        <w:tc>
          <w:tcPr>
            <w:tcW w:type="dxa" w:w="3600"/>
            <w:tcMar>
              <w:top w:type="dxa" w:w="80"/>
              <w:left w:type="dxa" w:w="100"/>
              <w:bottom w:type="dxa" w:w="80"/>
              <w:right w:type="dxa" w:w="100"/>
            </w:tcMar>
          </w:tcPr>
          <w:p>
            <w:pPr>
              <w:jc w:val="left"/>
            </w:pPr>
            <w:r>
              <w:rPr>
                <w:b w:val="false"/>
                <w:bCs w:val="false"/>
                <w:sz w:val="19"/>
                <w:szCs w:val="19"/>
              </w:rPr>
              <w:t xml:space="preserve">FestLifecycleService::checklist() checks StateRemittance scoped to Sahodaya + academic year, not to this event</w:t>
            </w:r>
          </w:p>
        </w:tc>
        <w:tc>
          <w:tcPr>
            <w:tcW w:type="dxa" w:w="2600"/>
            <w:tcMar>
              <w:top w:type="dxa" w:w="80"/>
              <w:left w:type="dxa" w:w="100"/>
              <w:bottom w:type="dxa" w:w="80"/>
              <w:right w:type="dxa" w:w="100"/>
            </w:tcMar>
          </w:tcPr>
          <w:p>
            <w:pPr>
              <w:jc w:val="left"/>
            </w:pPr>
            <w:r>
              <w:rPr>
                <w:b w:val="false"/>
                <w:bCs w:val="false"/>
                <w:sz w:val="19"/>
                <w:szCs w:val="19"/>
              </w:rPr>
              <w:t xml:space="preserve">Reads as stale/unrelated data leaking into a fresh event’s checklist</w:t>
            </w:r>
          </w:p>
        </w:tc>
      </w:tr>
      <w:tr>
        <w:tc>
          <w:tcPr>
            <w:tcW w:type="dxa" w:w="450"/>
            <w:tcMar>
              <w:top w:type="dxa" w:w="80"/>
              <w:left w:type="dxa" w:w="100"/>
              <w:bottom w:type="dxa" w:w="80"/>
              <w:right w:type="dxa" w:w="100"/>
            </w:tcMar>
          </w:tcPr>
          <w:p>
            <w:pPr>
              <w:jc w:val="left"/>
            </w:pPr>
            <w:r>
              <w:rPr>
                <w:b w:val="false"/>
                <w:bCs w:val="false"/>
                <w:sz w:val="19"/>
                <w:szCs w:val="19"/>
              </w:rPr>
              <w:t xml:space="preserve">4</w:t>
            </w:r>
          </w:p>
        </w:tc>
        <w:tc>
          <w:tcPr>
            <w:tcW w:type="dxa" w:w="3550"/>
            <w:tcMar>
              <w:top w:type="dxa" w:w="80"/>
              <w:left w:type="dxa" w:w="100"/>
              <w:bottom w:type="dxa" w:w="80"/>
              <w:right w:type="dxa" w:w="100"/>
            </w:tcMar>
          </w:tcPr>
          <w:p>
            <w:pPr>
              <w:jc w:val="left"/>
            </w:pPr>
            <w:r>
              <w:rPr>
                <w:b w:val="false"/>
                <w:bCs w:val="false"/>
                <w:sz w:val="19"/>
                <w:szCs w:val="19"/>
              </w:rPr>
              <w:t xml:space="preserve">Setup Hub "heads" step marks done from head count alone</w:t>
            </w:r>
          </w:p>
        </w:tc>
        <w:tc>
          <w:tcPr>
            <w:tcW w:type="dxa" w:w="3600"/>
            <w:tcMar>
              <w:top w:type="dxa" w:w="80"/>
              <w:left w:type="dxa" w:w="100"/>
              <w:bottom w:type="dxa" w:w="80"/>
              <w:right w:type="dxa" w:w="100"/>
            </w:tcMar>
          </w:tcPr>
          <w:p>
            <w:pPr>
              <w:jc w:val="left"/>
            </w:pPr>
            <w:r>
              <w:rPr>
                <w:b w:val="false"/>
                <w:bCs w:val="false"/>
                <w:sz w:val="19"/>
                <w:szCs w:val="19"/>
              </w:rPr>
              <w:t xml:space="preserve">FestSportsSetupController line 60: 'done' =&gt; $headCount &gt; 0 - no fee/policy check</w:t>
            </w:r>
          </w:p>
        </w:tc>
        <w:tc>
          <w:tcPr>
            <w:tcW w:type="dxa" w:w="2600"/>
            <w:tcMar>
              <w:top w:type="dxa" w:w="80"/>
              <w:left w:type="dxa" w:w="100"/>
              <w:bottom w:type="dxa" w:w="80"/>
              <w:right w:type="dxa" w:w="100"/>
            </w:tcMar>
          </w:tcPr>
          <w:p>
            <w:pPr>
              <w:jc w:val="left"/>
            </w:pPr>
            <w:r>
              <w:rPr>
                <w:b w:val="false"/>
                <w:bCs w:val="false"/>
                <w:sz w:val="19"/>
                <w:szCs w:val="19"/>
              </w:rPr>
              <w:t xml:space="preserve">A head with zero fees configured still shows the step complete</w:t>
            </w:r>
          </w:p>
        </w:tc>
      </w:tr>
      <w:tr>
        <w:tc>
          <w:tcPr>
            <w:tcW w:type="dxa" w:w="450"/>
            <w:tcMar>
              <w:top w:type="dxa" w:w="80"/>
              <w:left w:type="dxa" w:w="100"/>
              <w:bottom w:type="dxa" w:w="80"/>
              <w:right w:type="dxa" w:w="100"/>
            </w:tcMar>
          </w:tcPr>
          <w:p>
            <w:pPr>
              <w:jc w:val="left"/>
            </w:pPr>
            <w:r>
              <w:rPr>
                <w:b w:val="false"/>
                <w:bCs w:val="false"/>
                <w:sz w:val="19"/>
                <w:szCs w:val="19"/>
              </w:rPr>
              <w:t xml:space="preserve">5</w:t>
            </w:r>
          </w:p>
        </w:tc>
        <w:tc>
          <w:tcPr>
            <w:tcW w:type="dxa" w:w="3550"/>
            <w:tcMar>
              <w:top w:type="dxa" w:w="80"/>
              <w:left w:type="dxa" w:w="100"/>
              <w:bottom w:type="dxa" w:w="80"/>
              <w:right w:type="dxa" w:w="100"/>
            </w:tcMar>
          </w:tcPr>
          <w:p>
            <w:pPr>
              <w:jc w:val="left"/>
            </w:pPr>
            <w:r>
              <w:rPr>
                <w:b w:val="false"/>
                <w:bCs w:val="false"/>
                <w:sz w:val="19"/>
                <w:szCs w:val="19"/>
              </w:rPr>
              <w:t xml:space="preserve">Fee-completeness detection does not recognize the new per-head fee columns</w:t>
            </w:r>
          </w:p>
        </w:tc>
        <w:tc>
          <w:tcPr>
            <w:tcW w:type="dxa" w:w="3600"/>
            <w:tcMar>
              <w:top w:type="dxa" w:w="80"/>
              <w:left w:type="dxa" w:w="100"/>
              <w:bottom w:type="dxa" w:w="80"/>
              <w:right w:type="dxa" w:w="100"/>
            </w:tcMar>
          </w:tcPr>
          <w:p>
            <w:pPr>
              <w:jc w:val="left"/>
            </w:pPr>
            <w:r>
              <w:rPr>
                <w:b w:val="false"/>
                <w:bCs w:val="false"/>
                <w:sz w:val="19"/>
                <w:szCs w:val="19"/>
              </w:rPr>
              <w:t xml:space="preserve">$headsWithFees (lines 32-36) only checks legacy default_item_fee / extra_item_fee - never checks school_registration_fee / student_registration_fee / team_registration_fee added for composite billing</w:t>
            </w:r>
          </w:p>
        </w:tc>
        <w:tc>
          <w:tcPr>
            <w:tcW w:type="dxa" w:w="2600"/>
            <w:tcMar>
              <w:top w:type="dxa" w:w="80"/>
              <w:left w:type="dxa" w:w="100"/>
              <w:bottom w:type="dxa" w:w="80"/>
              <w:right w:type="dxa" w:w="100"/>
            </w:tcMar>
          </w:tcPr>
          <w:p>
            <w:pPr>
              <w:jc w:val="left"/>
            </w:pPr>
            <w:r>
              <w:rPr>
                <w:b w:val="false"/>
                <w:bCs w:val="false"/>
                <w:sz w:val="19"/>
                <w:szCs w:val="19"/>
              </w:rPr>
              <w:t xml:space="preserve">A head fully configured through the new Add-Head fee fields still shows as "no fees" on "Head dates &amp; head fees" and "Item-wise fee overrides"</w:t>
            </w:r>
          </w:p>
        </w:tc>
      </w:tr>
      <w:tr>
        <w:tc>
          <w:tcPr>
            <w:tcW w:type="dxa" w:w="450"/>
            <w:tcMar>
              <w:top w:type="dxa" w:w="80"/>
              <w:left w:type="dxa" w:w="100"/>
              <w:bottom w:type="dxa" w:w="80"/>
              <w:right w:type="dxa" w:w="100"/>
            </w:tcMar>
          </w:tcPr>
          <w:p>
            <w:pPr>
              <w:jc w:val="left"/>
            </w:pPr>
            <w:r>
              <w:rPr>
                <w:b w:val="false"/>
                <w:bCs w:val="false"/>
                <w:sz w:val="19"/>
                <w:szCs w:val="19"/>
              </w:rPr>
              <w:t xml:space="preserve">6</w:t>
            </w:r>
          </w:p>
        </w:tc>
        <w:tc>
          <w:tcPr>
            <w:tcW w:type="dxa" w:w="3550"/>
            <w:tcMar>
              <w:top w:type="dxa" w:w="80"/>
              <w:left w:type="dxa" w:w="100"/>
              <w:bottom w:type="dxa" w:w="80"/>
              <w:right w:type="dxa" w:w="100"/>
            </w:tcMar>
          </w:tcPr>
          <w:p>
            <w:pPr>
              <w:jc w:val="left"/>
            </w:pPr>
            <w:r>
              <w:rPr>
                <w:b w:val="false"/>
                <w:bCs w:val="false"/>
                <w:sz w:val="19"/>
                <w:szCs w:val="19"/>
              </w:rPr>
              <w:t xml:space="preserve">Add-Head fee layout and Fee-Settings per-head fee layout are two different designs for the same 9 fields</w:t>
            </w:r>
          </w:p>
        </w:tc>
        <w:tc>
          <w:tcPr>
            <w:tcW w:type="dxa" w:w="3600"/>
            <w:tcMar>
              <w:top w:type="dxa" w:w="80"/>
              <w:left w:type="dxa" w:w="100"/>
              <w:bottom w:type="dxa" w:w="80"/>
              <w:right w:type="dxa" w:w="100"/>
            </w:tcMar>
          </w:tcPr>
          <w:p>
            <w:pPr>
              <w:jc w:val="left"/>
            </w:pPr>
            <w:r>
              <w:rPr>
                <w:b w:val="false"/>
                <w:bCs w:val="false"/>
                <w:sz w:val="19"/>
                <w:szCs w:val="19"/>
              </w:rPr>
              <w:t xml:space="preserve">FestCompetitionSetupBar.vue / ItemHeads.vue (flat grid, no help panel) vs FeesTab.vue "Event Head billing" section (grouped card + "How billing works" panel, one fieldset per existing head)</w:t>
            </w:r>
          </w:p>
        </w:tc>
        <w:tc>
          <w:tcPr>
            <w:tcW w:type="dxa" w:w="2600"/>
            <w:tcMar>
              <w:top w:type="dxa" w:w="80"/>
              <w:left w:type="dxa" w:w="100"/>
              <w:bottom w:type="dxa" w:w="80"/>
              <w:right w:type="dxa" w:w="100"/>
            </w:tcMar>
          </w:tcPr>
          <w:p>
            <w:pPr>
              <w:jc w:val="left"/>
            </w:pPr>
            <w:r>
              <w:rPr>
                <w:b w:val="false"/>
                <w:bCs w:val="false"/>
                <w:sz w:val="19"/>
                <w:szCs w:val="19"/>
              </w:rPr>
              <w:t xml:space="preserve">Creating a head and later editing its fees feel like two unrelated features</w:t>
            </w:r>
          </w:p>
        </w:tc>
      </w:tr>
      <w:tr>
        <w:tc>
          <w:tcPr>
            <w:tcW w:type="dxa" w:w="450"/>
            <w:tcMar>
              <w:top w:type="dxa" w:w="80"/>
              <w:left w:type="dxa" w:w="100"/>
              <w:bottom w:type="dxa" w:w="80"/>
              <w:right w:type="dxa" w:w="100"/>
            </w:tcMar>
          </w:tcPr>
          <w:p>
            <w:pPr>
              <w:jc w:val="left"/>
            </w:pPr>
            <w:r>
              <w:rPr>
                <w:b w:val="false"/>
                <w:bCs w:val="false"/>
                <w:sz w:val="19"/>
                <w:szCs w:val="19"/>
              </w:rPr>
              <w:t xml:space="preserve">7</w:t>
            </w:r>
          </w:p>
        </w:tc>
        <w:tc>
          <w:tcPr>
            <w:tcW w:type="dxa" w:w="3550"/>
            <w:tcMar>
              <w:top w:type="dxa" w:w="80"/>
              <w:left w:type="dxa" w:w="100"/>
              <w:bottom w:type="dxa" w:w="80"/>
              <w:right w:type="dxa" w:w="100"/>
            </w:tcMar>
          </w:tcPr>
          <w:p>
            <w:pPr>
              <w:jc w:val="left"/>
            </w:pPr>
            <w:r>
              <w:rPr>
                <w:b w:val="false"/>
                <w:bCs w:val="false"/>
                <w:sz w:val="19"/>
                <w:szCs w:val="19"/>
              </w:rPr>
              <w:t xml:space="preserve">No dedicated "edit this head’s fees" surface</w:t>
            </w:r>
          </w:p>
        </w:tc>
        <w:tc>
          <w:tcPr>
            <w:tcW w:type="dxa" w:w="3600"/>
            <w:tcMar>
              <w:top w:type="dxa" w:w="80"/>
              <w:left w:type="dxa" w:w="100"/>
              <w:bottom w:type="dxa" w:w="80"/>
              <w:right w:type="dxa" w:w="100"/>
            </w:tcMar>
          </w:tcPr>
          <w:p>
            <w:pPr>
              <w:jc w:val="left"/>
            </w:pPr>
            <w:r>
              <w:rPr>
                <w:b w:val="false"/>
                <w:bCs w:val="false"/>
                <w:sz w:val="19"/>
                <w:szCs w:val="19"/>
              </w:rPr>
              <w:t xml:space="preserve">Add-Head modal only fires on creation; the only place to change an existing head’s fees afterward is Settings &gt; Fee settings, a different screen entirely</w:t>
            </w:r>
          </w:p>
        </w:tc>
        <w:tc>
          <w:tcPr>
            <w:tcW w:type="dxa" w:w="2600"/>
            <w:tcMar>
              <w:top w:type="dxa" w:w="80"/>
              <w:left w:type="dxa" w:w="100"/>
              <w:bottom w:type="dxa" w:w="80"/>
              <w:right w:type="dxa" w:w="100"/>
            </w:tcMar>
          </w:tcPr>
          <w:p>
            <w:pPr>
              <w:jc w:val="left"/>
            </w:pPr>
            <w:r>
              <w:rPr>
                <w:b w:val="false"/>
                <w:bCs w:val="false"/>
                <w:sz w:val="19"/>
                <w:szCs w:val="19"/>
              </w:rPr>
              <w:t xml:space="preserve">Extra hops for a routine edit; reinforces finding 6</w:t>
            </w:r>
          </w:p>
        </w:tc>
      </w:tr>
    </w:tbl>
    <w:p>
      <w:pPr>
        <w:pStyle w:val="Heading1"/>
        <w:spacing w:after="160" w:before="320"/>
      </w:pPr>
      <w:r>
        <w:t xml:space="preserve">3. Root Cause</w:t>
      </w:r>
    </w:p>
    <w:p>
      <w:pPr>
        <w:spacing w:after="120"/>
      </w:pPr>
      <w:r>
        <w:t xml:space="preserve">Sports launched on the same generic engine used by Kalotsav and the other fest programs — one flat item list, one event-level fee_settings JSON blob, one lifecycle checklist. The Event Head model (per-head fees, quotas, policy) was layered on top in a later build without fully retiring the original screens, checklist, and fee-detection logic underneath it. The result is two coexisting mental models running in parallel — "generic fest event" and "Event-Head-owned sports event" — each with its own checklist, its own fee surface, and overlapping navigation, never fully merged into one.</w:t>
      </w:r>
    </w:p>
    <w:p>
      <w:pPr>
        <w:pStyle w:val="Heading1"/>
        <w:spacing w:after="160" w:before="320"/>
      </w:pPr>
      <w:r>
        <w:t xml:space="preserve">4. Target Principle</w:t>
      </w:r>
    </w:p>
    <w:p>
      <w:pPr>
        <w:pStyle w:val="ListParagraph"/>
        <w:numPr>
          <w:ilvl w:val="0"/>
          <w:numId w:val="2"/>
        </w:numPr>
        <w:spacing w:after="60"/>
      </w:pPr>
      <w:r>
        <w:t xml:space="preserve">Event Head is the unit of configuration for Sports — full stop. Sports itself carries no independent fee or policy configuration of its own beyond an explicitly optional, clearly-labelled fallback.</w:t>
      </w:r>
    </w:p>
    <w:p>
      <w:pPr>
        <w:pStyle w:val="ListParagraph"/>
        <w:numPr>
          <w:ilvl w:val="0"/>
          <w:numId w:val="2"/>
        </w:numPr>
        <w:spacing w:after="60"/>
      </w:pPr>
      <w:r>
        <w:t xml:space="preserve">An Event Head has one shape: name, discipline, schedule window, fees (school / student / team + quotas), verification policy, approval policy, participant/team caps — captured once at creation, and edited later through the exact same layout, not a different screen.</w:t>
      </w:r>
    </w:p>
    <w:p>
      <w:pPr>
        <w:pStyle w:val="ListParagraph"/>
        <w:numPr>
          <w:ilvl w:val="0"/>
          <w:numId w:val="2"/>
        </w:numPr>
        <w:spacing w:after="60"/>
      </w:pPr>
      <w:r>
        <w:t xml:space="preserve">One page owns "is this event ready" — not two competing checklists with different wording.</w:t>
      </w:r>
    </w:p>
    <w:p>
      <w:pPr>
        <w:pStyle w:val="Heading1"/>
        <w:spacing w:after="160" w:before="320"/>
      </w:pPr>
      <w:r>
        <w:t xml:space="preserve">5. Target User Flow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5200"/>
      </w:tblGrid>
      <w:tr>
        <w:trPr>
          <w:tblHeader/>
        </w:trPr>
        <w:tc>
          <w:tcPr>
            <w:tcW w:type="dxa" w:w="1400"/>
            <w:shd w:fill="0f3d7a" w:val="clear"/>
            <w:tcMar>
              <w:top w:type="dxa" w:w="80"/>
              <w:left w:type="dxa" w:w="100"/>
              <w:bottom w:type="dxa" w:w="80"/>
              <w:right w:type="dxa" w:w="100"/>
            </w:tcMar>
          </w:tcPr>
          <w:p>
            <w:pPr>
              <w:jc w:val="left"/>
            </w:pPr>
            <w:r>
              <w:rPr>
                <w:b/>
                <w:bCs/>
                <w:color w:val="FFFFFF"/>
                <w:sz w:val="19"/>
                <w:szCs w:val="19"/>
              </w:rPr>
              <w:t xml:space="preserve">Step</w:t>
            </w:r>
          </w:p>
        </w:tc>
        <w:tc>
          <w:tcPr>
            <w:tcW w:type="dxa" w:w="3600"/>
            <w:shd w:fill="0f3d7a" w:val="clear"/>
            <w:tcMar>
              <w:top w:type="dxa" w:w="80"/>
              <w:left w:type="dxa" w:w="100"/>
              <w:bottom w:type="dxa" w:w="80"/>
              <w:right w:type="dxa" w:w="100"/>
            </w:tcMar>
          </w:tcPr>
          <w:p>
            <w:pPr>
              <w:jc w:val="left"/>
            </w:pPr>
            <w:r>
              <w:rPr>
                <w:b/>
                <w:bCs/>
                <w:color w:val="FFFFFF"/>
                <w:sz w:val="19"/>
                <w:szCs w:val="19"/>
              </w:rPr>
              <w:t xml:space="preserve">Page</w:t>
            </w:r>
          </w:p>
        </w:tc>
        <w:tc>
          <w:tcPr>
            <w:tcW w:type="dxa" w:w="5200"/>
            <w:shd w:fill="0f3d7a" w:val="clear"/>
            <w:tcMar>
              <w:top w:type="dxa" w:w="80"/>
              <w:left w:type="dxa" w:w="100"/>
              <w:bottom w:type="dxa" w:w="80"/>
              <w:right w:type="dxa" w:w="100"/>
            </w:tcMar>
          </w:tcPr>
          <w:p>
            <w:pPr>
              <w:jc w:val="left"/>
            </w:pPr>
            <w:r>
              <w:rPr>
                <w:b/>
                <w:bCs/>
                <w:color w:val="FFFFFF"/>
                <w:sz w:val="19"/>
                <w:szCs w:val="19"/>
              </w:rPr>
              <w:t xml:space="preserve">What happens</w:t>
            </w:r>
          </w:p>
        </w:tc>
      </w:tr>
      <w:tr>
        <w:tc>
          <w:tcPr>
            <w:tcW w:type="dxa" w:w="1400"/>
            <w:tcMar>
              <w:top w:type="dxa" w:w="80"/>
              <w:left w:type="dxa" w:w="100"/>
              <w:bottom w:type="dxa" w:w="80"/>
              <w:right w:type="dxa" w:w="100"/>
            </w:tcMar>
          </w:tcPr>
          <w:p>
            <w:pPr>
              <w:jc w:val="left"/>
            </w:pPr>
            <w:r>
              <w:rPr>
                <w:b w:val="false"/>
                <w:bCs w:val="false"/>
                <w:sz w:val="19"/>
                <w:szCs w:val="19"/>
              </w:rPr>
              <w:t xml:space="preserve">1. Create event</w:t>
            </w:r>
          </w:p>
        </w:tc>
        <w:tc>
          <w:tcPr>
            <w:tcW w:type="dxa" w:w="3600"/>
            <w:tcMar>
              <w:top w:type="dxa" w:w="80"/>
              <w:left w:type="dxa" w:w="100"/>
              <w:bottom w:type="dxa" w:w="80"/>
              <w:right w:type="dxa" w:w="100"/>
            </w:tcMar>
          </w:tcPr>
          <w:p>
            <w:pPr>
              <w:jc w:val="left"/>
            </w:pPr>
            <w:r>
              <w:rPr>
                <w:b w:val="false"/>
                <w:bCs w:val="false"/>
                <w:sz w:val="19"/>
                <w:szCs w:val="19"/>
              </w:rPr>
              <w:t xml:space="preserve">Overview</w:t>
            </w:r>
          </w:p>
        </w:tc>
        <w:tc>
          <w:tcPr>
            <w:tcW w:type="dxa" w:w="5200"/>
            <w:tcMar>
              <w:top w:type="dxa" w:w="80"/>
              <w:left w:type="dxa" w:w="100"/>
              <w:bottom w:type="dxa" w:w="80"/>
              <w:right w:type="dxa" w:w="100"/>
            </w:tcMar>
          </w:tcPr>
          <w:p>
            <w:pPr>
              <w:jc w:val="left"/>
            </w:pPr>
            <w:r>
              <w:rPr>
                <w:b w:val="false"/>
                <w:bCs w:val="false"/>
                <w:sz w:val="19"/>
                <w:szCs w:val="19"/>
              </w:rPr>
              <w:t xml:space="preserve">Title, fest dates, status = Draft. Nothing else required here.</w:t>
            </w:r>
          </w:p>
        </w:tc>
      </w:tr>
      <w:tr>
        <w:tc>
          <w:tcPr>
            <w:tcW w:type="dxa" w:w="1400"/>
            <w:tcMar>
              <w:top w:type="dxa" w:w="80"/>
              <w:left w:type="dxa" w:w="100"/>
              <w:bottom w:type="dxa" w:w="80"/>
              <w:right w:type="dxa" w:w="100"/>
            </w:tcMar>
          </w:tcPr>
          <w:p>
            <w:pPr>
              <w:jc w:val="left"/>
            </w:pPr>
            <w:r>
              <w:rPr>
                <w:b w:val="false"/>
                <w:bCs w:val="false"/>
                <w:sz w:val="19"/>
                <w:szCs w:val="19"/>
              </w:rPr>
              <w:t xml:space="preserve">2. Configure heads</w:t>
            </w:r>
          </w:p>
        </w:tc>
        <w:tc>
          <w:tcPr>
            <w:tcW w:type="dxa" w:w="3600"/>
            <w:tcMar>
              <w:top w:type="dxa" w:w="80"/>
              <w:left w:type="dxa" w:w="100"/>
              <w:bottom w:type="dxa" w:w="80"/>
              <w:right w:type="dxa" w:w="100"/>
            </w:tcMar>
          </w:tcPr>
          <w:p>
            <w:pPr>
              <w:jc w:val="left"/>
            </w:pPr>
            <w:r>
              <w:rPr>
                <w:b w:val="false"/>
                <w:bCs w:val="false"/>
                <w:sz w:val="19"/>
                <w:szCs w:val="19"/>
              </w:rPr>
              <w:t xml:space="preserve">Item Heads (single hub - replaces Setup hub + Competition hub as two names for near-identical territory)</w:t>
            </w:r>
          </w:p>
        </w:tc>
        <w:tc>
          <w:tcPr>
            <w:tcW w:type="dxa" w:w="5200"/>
            <w:tcMar>
              <w:top w:type="dxa" w:w="80"/>
              <w:left w:type="dxa" w:w="100"/>
              <w:bottom w:type="dxa" w:w="80"/>
              <w:right w:type="dxa" w:w="100"/>
            </w:tcMar>
          </w:tcPr>
          <w:p>
            <w:pPr>
              <w:jc w:val="left"/>
            </w:pPr>
            <w:r>
              <w:rPr>
                <w:b w:val="false"/>
                <w:bCs w:val="false"/>
                <w:sz w:val="19"/>
                <w:szCs w:val="19"/>
              </w:rPr>
              <w:t xml:space="preserve">Add Head opens one form: name, discipline, schedule window, and the full fee/policy set (school/student/team fee, quotas, verification policy, approval policy, caps). Editing an existing head’s fees later opens the same form, pre-filled - not a different screen.</w:t>
            </w:r>
          </w:p>
        </w:tc>
      </w:tr>
      <w:tr>
        <w:tc>
          <w:tcPr>
            <w:tcW w:type="dxa" w:w="1400"/>
            <w:tcMar>
              <w:top w:type="dxa" w:w="80"/>
              <w:left w:type="dxa" w:w="100"/>
              <w:bottom w:type="dxa" w:w="80"/>
              <w:right w:type="dxa" w:w="100"/>
            </w:tcMar>
          </w:tcPr>
          <w:p>
            <w:pPr>
              <w:jc w:val="left"/>
            </w:pPr>
            <w:r>
              <w:rPr>
                <w:b w:val="false"/>
                <w:bCs w:val="false"/>
                <w:sz w:val="19"/>
                <w:szCs w:val="19"/>
              </w:rPr>
              <w:t xml:space="preserve">3. Add items</w:t>
            </w:r>
          </w:p>
        </w:tc>
        <w:tc>
          <w:tcPr>
            <w:tcW w:type="dxa" w:w="3600"/>
            <w:tcMar>
              <w:top w:type="dxa" w:w="80"/>
              <w:left w:type="dxa" w:w="100"/>
              <w:bottom w:type="dxa" w:w="80"/>
              <w:right w:type="dxa" w:w="100"/>
            </w:tcMar>
          </w:tcPr>
          <w:p>
            <w:pPr>
              <w:jc w:val="left"/>
            </w:pPr>
            <w:r>
              <w:rPr>
                <w:b w:val="false"/>
                <w:bCs w:val="false"/>
                <w:sz w:val="19"/>
                <w:szCs w:val="19"/>
              </w:rPr>
              <w:t xml:space="preserve">Items under heads</w:t>
            </w:r>
          </w:p>
        </w:tc>
        <w:tc>
          <w:tcPr>
            <w:tcW w:type="dxa" w:w="5200"/>
            <w:tcMar>
              <w:top w:type="dxa" w:w="80"/>
              <w:left w:type="dxa" w:w="100"/>
              <w:bottom w:type="dxa" w:w="80"/>
              <w:right w:type="dxa" w:w="100"/>
            </w:tcMar>
          </w:tcPr>
          <w:p>
            <w:pPr>
              <w:jc w:val="left"/>
            </w:pPr>
            <w:r>
              <w:rPr>
                <w:b w:val="false"/>
                <w:bCs w:val="false"/>
                <w:sz w:val="19"/>
                <w:szCs w:val="19"/>
              </w:rPr>
              <w:t xml:space="preserve">Items inherit the parent head’s policy; no fee fields on the item itself (already the intended architecture).</w:t>
            </w:r>
          </w:p>
        </w:tc>
      </w:tr>
      <w:tr>
        <w:tc>
          <w:tcPr>
            <w:tcW w:type="dxa" w:w="1400"/>
            <w:tcMar>
              <w:top w:type="dxa" w:w="80"/>
              <w:left w:type="dxa" w:w="100"/>
              <w:bottom w:type="dxa" w:w="80"/>
              <w:right w:type="dxa" w:w="100"/>
            </w:tcMar>
          </w:tcPr>
          <w:p>
            <w:pPr>
              <w:jc w:val="left"/>
            </w:pPr>
            <w:r>
              <w:rPr>
                <w:b w:val="false"/>
                <w:bCs w:val="false"/>
                <w:sz w:val="19"/>
                <w:szCs w:val="19"/>
              </w:rPr>
              <w:t xml:space="preserve">4. (Optional) event-wide overrides</w:t>
            </w:r>
          </w:p>
        </w:tc>
        <w:tc>
          <w:tcPr>
            <w:tcW w:type="dxa" w:w="3600"/>
            <w:tcMar>
              <w:top w:type="dxa" w:w="80"/>
              <w:left w:type="dxa" w:w="100"/>
              <w:bottom w:type="dxa" w:w="80"/>
              <w:right w:type="dxa" w:w="100"/>
            </w:tcMar>
          </w:tcPr>
          <w:p>
            <w:pPr>
              <w:jc w:val="left"/>
            </w:pPr>
            <w:r>
              <w:rPr>
                <w:b w:val="false"/>
                <w:bCs w:val="false"/>
                <w:sz w:val="19"/>
                <w:szCs w:val="19"/>
              </w:rPr>
              <w:t xml:space="preserve">Settings &gt; Fee settings</w:t>
            </w:r>
          </w:p>
        </w:tc>
        <w:tc>
          <w:tcPr>
            <w:tcW w:type="dxa" w:w="5200"/>
            <w:tcMar>
              <w:top w:type="dxa" w:w="80"/>
              <w:left w:type="dxa" w:w="100"/>
              <w:bottom w:type="dxa" w:w="80"/>
              <w:right w:type="dxa" w:w="100"/>
            </w:tcMar>
          </w:tcPr>
          <w:p>
            <w:pPr>
              <w:jc w:val="left"/>
            </w:pPr>
            <w:r>
              <w:rPr>
                <w:b w:val="false"/>
                <w:bCs w:val="false"/>
                <w:sz w:val="19"/>
                <w:szCs w:val="19"/>
              </w:rPr>
              <w:t xml:space="preserve">Clearly labelled optional. Only for a fallback amount or a fee cap across all heads. Not a numbered required step.</w:t>
            </w:r>
          </w:p>
        </w:tc>
      </w:tr>
      <w:tr>
        <w:tc>
          <w:tcPr>
            <w:tcW w:type="dxa" w:w="1400"/>
            <w:tcMar>
              <w:top w:type="dxa" w:w="80"/>
              <w:left w:type="dxa" w:w="100"/>
              <w:bottom w:type="dxa" w:w="80"/>
              <w:right w:type="dxa" w:w="100"/>
            </w:tcMar>
          </w:tcPr>
          <w:p>
            <w:pPr>
              <w:jc w:val="left"/>
            </w:pPr>
            <w:r>
              <w:rPr>
                <w:b w:val="false"/>
                <w:bCs w:val="false"/>
                <w:sz w:val="19"/>
                <w:szCs w:val="19"/>
              </w:rPr>
              <w:t xml:space="preserve">5. Remaining settings</w:t>
            </w:r>
          </w:p>
        </w:tc>
        <w:tc>
          <w:tcPr>
            <w:tcW w:type="dxa" w:w="3600"/>
            <w:tcMar>
              <w:top w:type="dxa" w:w="80"/>
              <w:left w:type="dxa" w:w="100"/>
              <w:bottom w:type="dxa" w:w="80"/>
              <w:right w:type="dxa" w:w="100"/>
            </w:tcMar>
          </w:tcPr>
          <w:p>
            <w:pPr>
              <w:jc w:val="left"/>
            </w:pPr>
            <w:r>
              <w:rPr>
                <w:b w:val="false"/>
                <w:bCs w:val="false"/>
                <w:sz w:val="19"/>
                <w:szCs w:val="19"/>
              </w:rPr>
              <w:t xml:space="preserve">Settings (single page, tabbed)</w:t>
            </w:r>
          </w:p>
        </w:tc>
        <w:tc>
          <w:tcPr>
            <w:tcW w:type="dxa" w:w="5200"/>
            <w:tcMar>
              <w:top w:type="dxa" w:w="80"/>
              <w:left w:type="dxa" w:w="100"/>
              <w:bottom w:type="dxa" w:w="80"/>
              <w:right w:type="dxa" w:w="100"/>
            </w:tcMar>
          </w:tcPr>
          <w:p>
            <w:pPr>
              <w:jc w:val="left"/>
            </w:pPr>
            <w:r>
              <w:rPr>
                <w:b w:val="false"/>
                <w:bCs w:val="false"/>
                <w:sz w:val="19"/>
                <w:szCs w:val="19"/>
              </w:rPr>
              <w:t xml:space="preserve">Rank points, registration windows, chest numbering, lifecycle, venues, etc.</w:t>
            </w:r>
          </w:p>
        </w:tc>
      </w:tr>
      <w:tr>
        <w:tc>
          <w:tcPr>
            <w:tcW w:type="dxa" w:w="1400"/>
            <w:tcMar>
              <w:top w:type="dxa" w:w="80"/>
              <w:left w:type="dxa" w:w="100"/>
              <w:bottom w:type="dxa" w:w="80"/>
              <w:right w:type="dxa" w:w="100"/>
            </w:tcMar>
          </w:tcPr>
          <w:p>
            <w:pPr>
              <w:jc w:val="left"/>
            </w:pPr>
            <w:r>
              <w:rPr>
                <w:b w:val="false"/>
                <w:bCs w:val="false"/>
                <w:sz w:val="19"/>
                <w:szCs w:val="19"/>
              </w:rPr>
              <w:t xml:space="preserve">6. Open registration</w:t>
            </w:r>
          </w:p>
        </w:tc>
        <w:tc>
          <w:tcPr>
            <w:tcW w:type="dxa" w:w="3600"/>
            <w:tcMar>
              <w:top w:type="dxa" w:w="80"/>
              <w:left w:type="dxa" w:w="100"/>
              <w:bottom w:type="dxa" w:w="80"/>
              <w:right w:type="dxa" w:w="100"/>
            </w:tcMar>
          </w:tcPr>
          <w:p>
            <w:pPr>
              <w:jc w:val="left"/>
            </w:pPr>
            <w:r>
              <w:rPr>
                <w:b w:val="false"/>
                <w:bCs w:val="false"/>
                <w:sz w:val="19"/>
                <w:szCs w:val="19"/>
              </w:rPr>
              <w:t xml:space="preserve">Overview (status control)</w:t>
            </w:r>
          </w:p>
        </w:tc>
        <w:tc>
          <w:tcPr>
            <w:tcW w:type="dxa" w:w="5200"/>
            <w:tcMar>
              <w:top w:type="dxa" w:w="80"/>
              <w:left w:type="dxa" w:w="100"/>
              <w:bottom w:type="dxa" w:w="80"/>
              <w:right w:type="dxa" w:w="100"/>
            </w:tcMar>
          </w:tcPr>
          <w:p>
            <w:pPr>
              <w:jc w:val="left"/>
            </w:pPr>
            <w:r>
              <w:rPr>
                <w:b w:val="false"/>
                <w:bCs w:val="false"/>
                <w:sz w:val="19"/>
                <w:szCs w:val="19"/>
              </w:rPr>
              <w:t xml:space="preserve">Status -&gt; Registration open. Schools can now see the event.</w:t>
            </w:r>
          </w:p>
        </w:tc>
      </w:tr>
      <w:tr>
        <w:tc>
          <w:tcPr>
            <w:tcW w:type="dxa" w:w="1400"/>
            <w:tcMar>
              <w:top w:type="dxa" w:w="80"/>
              <w:left w:type="dxa" w:w="100"/>
              <w:bottom w:type="dxa" w:w="80"/>
              <w:right w:type="dxa" w:w="100"/>
            </w:tcMar>
          </w:tcPr>
          <w:p>
            <w:pPr>
              <w:jc w:val="left"/>
            </w:pPr>
            <w:r>
              <w:rPr>
                <w:b w:val="false"/>
                <w:bCs w:val="false"/>
                <w:sz w:val="19"/>
                <w:szCs w:val="19"/>
              </w:rPr>
              <w:t xml:space="preserve">7. Ongoing / marks</w:t>
            </w:r>
          </w:p>
        </w:tc>
        <w:tc>
          <w:tcPr>
            <w:tcW w:type="dxa" w:w="3600"/>
            <w:tcMar>
              <w:top w:type="dxa" w:w="80"/>
              <w:left w:type="dxa" w:w="100"/>
              <w:bottom w:type="dxa" w:w="80"/>
              <w:right w:type="dxa" w:w="100"/>
            </w:tcMar>
          </w:tcPr>
          <w:p>
            <w:pPr>
              <w:jc w:val="left"/>
            </w:pPr>
            <w:r>
              <w:rPr>
                <w:b w:val="false"/>
                <w:bCs w:val="false"/>
                <w:sz w:val="19"/>
                <w:szCs w:val="19"/>
              </w:rPr>
              <w:t xml:space="preserve">Mark entry</w:t>
            </w:r>
          </w:p>
        </w:tc>
        <w:tc>
          <w:tcPr>
            <w:tcW w:type="dxa" w:w="5200"/>
            <w:tcMar>
              <w:top w:type="dxa" w:w="80"/>
              <w:left w:type="dxa" w:w="100"/>
              <w:bottom w:type="dxa" w:w="80"/>
              <w:right w:type="dxa" w:w="100"/>
            </w:tcMar>
          </w:tcPr>
          <w:p>
            <w:pPr>
              <w:jc w:val="left"/>
            </w:pPr>
            <w:r>
              <w:rPr>
                <w:b w:val="false"/>
                <w:bCs w:val="false"/>
                <w:sz w:val="19"/>
                <w:szCs w:val="19"/>
              </w:rPr>
              <w:t xml:space="preserve">Attendance + scoring per item head.</w:t>
            </w:r>
          </w:p>
        </w:tc>
      </w:tr>
      <w:tr>
        <w:tc>
          <w:tcPr>
            <w:tcW w:type="dxa" w:w="1400"/>
            <w:tcMar>
              <w:top w:type="dxa" w:w="80"/>
              <w:left w:type="dxa" w:w="100"/>
              <w:bottom w:type="dxa" w:w="80"/>
              <w:right w:type="dxa" w:w="100"/>
            </w:tcMar>
          </w:tcPr>
          <w:p>
            <w:pPr>
              <w:jc w:val="left"/>
            </w:pPr>
            <w:r>
              <w:rPr>
                <w:b w:val="false"/>
                <w:bCs w:val="false"/>
                <w:sz w:val="19"/>
                <w:szCs w:val="19"/>
              </w:rPr>
              <w:t xml:space="preserve">8. Publish results</w:t>
            </w:r>
          </w:p>
        </w:tc>
        <w:tc>
          <w:tcPr>
            <w:tcW w:type="dxa" w:w="3600"/>
            <w:tcMar>
              <w:top w:type="dxa" w:w="80"/>
              <w:left w:type="dxa" w:w="100"/>
              <w:bottom w:type="dxa" w:w="80"/>
              <w:right w:type="dxa" w:w="100"/>
            </w:tcMar>
          </w:tcPr>
          <w:p>
            <w:pPr>
              <w:jc w:val="left"/>
            </w:pPr>
            <w:r>
              <w:rPr>
                <w:b w:val="false"/>
                <w:bCs w:val="false"/>
                <w:sz w:val="19"/>
                <w:szCs w:val="19"/>
              </w:rPr>
              <w:t xml:space="preserve">Results &amp; publish</w:t>
            </w:r>
          </w:p>
        </w:tc>
        <w:tc>
          <w:tcPr>
            <w:tcW w:type="dxa" w:w="5200"/>
            <w:tcMar>
              <w:top w:type="dxa" w:w="80"/>
              <w:left w:type="dxa" w:w="100"/>
              <w:bottom w:type="dxa" w:w="80"/>
              <w:right w:type="dxa" w:w="100"/>
            </w:tcMar>
          </w:tcPr>
          <w:p>
            <w:pPr>
              <w:jc w:val="left"/>
            </w:pPr>
            <w:r>
              <w:rPr>
                <w:b w:val="false"/>
                <w:bCs w:val="false"/>
                <w:sz w:val="19"/>
                <w:szCs w:val="19"/>
              </w:rPr>
              <w:t xml:space="preserve">Per item, then event-wide.</w:t>
            </w:r>
          </w:p>
        </w:tc>
      </w:tr>
    </w:tbl>
    <w:p>
      <w:pPr>
        <w:pStyle w:val="Heading1"/>
        <w:spacing w:after="160" w:before="320"/>
      </w:pPr>
      <w:r>
        <w:t xml:space="preserve">6. Unified Checklist Proposal</w:t>
      </w:r>
    </w:p>
    <w:p>
      <w:pPr>
        <w:spacing w:after="120"/>
      </w:pPr>
      <w:r>
        <w:t xml:space="preserve">Merge Setup Hub’s configuration checklist and the Overview page’s lifecycle checklist into one list, shown identically in both places: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rPr>
          <w:tblHeader/>
        </w:trPr>
        <w:tc>
          <w:tcPr>
            <w:tcW w:type="dxa" w:w="3400"/>
            <w:shd w:fill="0f3d7a" w:val="clear"/>
            <w:tcMar>
              <w:top w:type="dxa" w:w="80"/>
              <w:left w:type="dxa" w:w="100"/>
              <w:bottom w:type="dxa" w:w="80"/>
              <w:right w:type="dxa" w:w="100"/>
            </w:tcMar>
          </w:tcPr>
          <w:p>
            <w:pPr>
              <w:jc w:val="left"/>
            </w:pPr>
            <w:r>
              <w:rPr>
                <w:b/>
                <w:bCs/>
                <w:color w:val="FFFFFF"/>
                <w:sz w:val="19"/>
                <w:szCs w:val="19"/>
              </w:rPr>
              <w:t xml:space="preserve">Old Setup Hub item</w:t>
            </w:r>
          </w:p>
        </w:tc>
        <w:tc>
          <w:tcPr>
            <w:tcW w:type="dxa" w:w="3400"/>
            <w:shd w:fill="0f3d7a" w:val="clear"/>
            <w:tcMar>
              <w:top w:type="dxa" w:w="80"/>
              <w:left w:type="dxa" w:w="100"/>
              <w:bottom w:type="dxa" w:w="80"/>
              <w:right w:type="dxa" w:w="100"/>
            </w:tcMar>
          </w:tcPr>
          <w:p>
            <w:pPr>
              <w:jc w:val="left"/>
            </w:pPr>
            <w:r>
              <w:rPr>
                <w:b/>
                <w:bCs/>
                <w:color w:val="FFFFFF"/>
                <w:sz w:val="19"/>
                <w:szCs w:val="19"/>
              </w:rPr>
              <w:t xml:space="preserve">Old Lifecycle item</w:t>
            </w:r>
          </w:p>
        </w:tc>
        <w:tc>
          <w:tcPr>
            <w:tcW w:type="dxa" w:w="3400"/>
            <w:shd w:fill="0f3d7a" w:val="clear"/>
            <w:tcMar>
              <w:top w:type="dxa" w:w="80"/>
              <w:left w:type="dxa" w:w="100"/>
              <w:bottom w:type="dxa" w:w="80"/>
              <w:right w:type="dxa" w:w="100"/>
            </w:tcMar>
          </w:tcPr>
          <w:p>
            <w:pPr>
              <w:jc w:val="left"/>
            </w:pPr>
            <w:r>
              <w:rPr>
                <w:b/>
                <w:bCs/>
                <w:color w:val="FFFFFF"/>
                <w:sz w:val="19"/>
                <w:szCs w:val="19"/>
              </w:rPr>
              <w:t xml:space="preserve">New unified item + corrected done-condition</w:t>
            </w:r>
          </w:p>
        </w:tc>
      </w:tr>
      <w:tr>
        <w:tc>
          <w:tcPr>
            <w:tcW w:type="dxa" w:w="3400"/>
            <w:tcMar>
              <w:top w:type="dxa" w:w="80"/>
              <w:left w:type="dxa" w:w="100"/>
              <w:bottom w:type="dxa" w:w="80"/>
              <w:right w:type="dxa" w:w="100"/>
            </w:tcMar>
          </w:tcPr>
          <w:p>
            <w:pPr>
              <w:jc w:val="left"/>
            </w:pPr>
            <w:r>
              <w:rPr>
                <w:b w:val="false"/>
                <w:bCs w:val="false"/>
                <w:sz w:val="19"/>
                <w:szCs w:val="19"/>
              </w:rPr>
              <w:t xml:space="preserve">Event details &amp; dates</w:t>
            </w:r>
          </w:p>
        </w:tc>
        <w:tc>
          <w:tcPr>
            <w:tcW w:type="dxa" w:w="3400"/>
            <w:tcMar>
              <w:top w:type="dxa" w:w="80"/>
              <w:left w:type="dxa" w:w="100"/>
              <w:bottom w:type="dxa" w:w="80"/>
              <w:right w:type="dxa" w:w="100"/>
            </w:tcMar>
          </w:tcPr>
          <w:p>
            <w:pPr>
              <w:jc w:val="left"/>
            </w:pPr>
            <w:r>
              <w:rPr>
                <w:b w:val="false"/>
                <w:bCs w:val="false"/>
                <w:sz w:val="19"/>
                <w:szCs w:val="19"/>
              </w:rPr>
              <w:t xml:space="preserve">(none - implicit)</w:t>
            </w:r>
          </w:p>
        </w:tc>
        <w:tc>
          <w:tcPr>
            <w:tcW w:type="dxa" w:w="3400"/>
            <w:tcMar>
              <w:top w:type="dxa" w:w="80"/>
              <w:left w:type="dxa" w:w="100"/>
              <w:bottom w:type="dxa" w:w="80"/>
              <w:right w:type="dxa" w:w="100"/>
            </w:tcMar>
          </w:tcPr>
          <w:p>
            <w:pPr>
              <w:jc w:val="left"/>
            </w:pPr>
            <w:r>
              <w:rPr>
                <w:b w:val="false"/>
                <w:bCs w:val="false"/>
                <w:sz w:val="19"/>
                <w:szCs w:val="19"/>
              </w:rPr>
              <w:t xml:space="preserve">Event details &amp; dates - title + status set</w:t>
            </w:r>
          </w:p>
        </w:tc>
      </w:tr>
      <w:tr>
        <w:tc>
          <w:tcPr>
            <w:tcW w:type="dxa" w:w="3400"/>
            <w:tcMar>
              <w:top w:type="dxa" w:w="80"/>
              <w:left w:type="dxa" w:w="100"/>
              <w:bottom w:type="dxa" w:w="80"/>
              <w:right w:type="dxa" w:w="100"/>
            </w:tcMar>
          </w:tcPr>
          <w:p>
            <w:pPr>
              <w:jc w:val="left"/>
            </w:pPr>
            <w:r>
              <w:rPr>
                <w:b w:val="false"/>
                <w:bCs w:val="false"/>
                <w:sz w:val="19"/>
                <w:szCs w:val="19"/>
              </w:rPr>
              <w:t xml:space="preserve">Item heads &amp; head scheduling</w:t>
            </w:r>
          </w:p>
        </w:tc>
        <w:tc>
          <w:tcPr>
            <w:tcW w:type="dxa" w:w="3400"/>
            <w:tcMar>
              <w:top w:type="dxa" w:w="80"/>
              <w:left w:type="dxa" w:w="100"/>
              <w:bottom w:type="dxa" w:w="80"/>
              <w:right w:type="dxa" w:w="100"/>
            </w:tcMar>
          </w:tcPr>
          <w:p>
            <w:pPr>
              <w:jc w:val="left"/>
            </w:pPr>
            <w:r>
              <w:rPr>
                <w:b w:val="false"/>
                <w:bCs w:val="false"/>
                <w:sz w:val="19"/>
                <w:szCs w:val="19"/>
              </w:rPr>
              <w:t xml:space="preserve">Setup: items &amp; heads configured</w:t>
            </w:r>
          </w:p>
        </w:tc>
        <w:tc>
          <w:tcPr>
            <w:tcW w:type="dxa" w:w="3400"/>
            <w:tcMar>
              <w:top w:type="dxa" w:w="80"/>
              <w:left w:type="dxa" w:w="100"/>
              <w:bottom w:type="dxa" w:w="80"/>
              <w:right w:type="dxa" w:w="100"/>
            </w:tcMar>
          </w:tcPr>
          <w:p>
            <w:pPr>
              <w:jc w:val="left"/>
            </w:pPr>
            <w:r>
              <w:rPr>
                <w:b w:val="false"/>
                <w:bCs w:val="false"/>
                <w:sz w:val="19"/>
                <w:szCs w:val="19"/>
              </w:rPr>
              <w:t xml:space="preserve">Item Heads configured - heads exist AND every head has fees/policy set (not just count &gt; 0)</w:t>
            </w:r>
          </w:p>
        </w:tc>
      </w:tr>
      <w:tr>
        <w:tc>
          <w:tcPr>
            <w:tcW w:type="dxa" w:w="3400"/>
            <w:tcMar>
              <w:top w:type="dxa" w:w="80"/>
              <w:left w:type="dxa" w:w="100"/>
              <w:bottom w:type="dxa" w:w="80"/>
              <w:right w:type="dxa" w:w="100"/>
            </w:tcMar>
          </w:tcPr>
          <w:p>
            <w:pPr>
              <w:jc w:val="left"/>
            </w:pPr>
            <w:r>
              <w:rPr>
                <w:b w:val="false"/>
                <w:bCs w:val="false"/>
                <w:sz w:val="19"/>
                <w:szCs w:val="19"/>
              </w:rPr>
              <w:t xml:space="preserve">Head dates &amp; head fees</w:t>
            </w:r>
          </w:p>
        </w:tc>
        <w:tc>
          <w:tcPr>
            <w:tcW w:type="dxa" w:w="3400"/>
            <w:tcMar>
              <w:top w:type="dxa" w:w="80"/>
              <w:left w:type="dxa" w:w="100"/>
              <w:bottom w:type="dxa" w:w="80"/>
              <w:right w:type="dxa" w:w="100"/>
            </w:tcMar>
          </w:tcPr>
          <w:p>
            <w:pPr>
              <w:jc w:val="left"/>
            </w:pPr>
            <w:r>
              <w:rPr>
                <w:b w:val="false"/>
                <w:bCs w:val="false"/>
                <w:sz w:val="19"/>
                <w:szCs w:val="19"/>
              </w:rPr>
              <w:t xml:space="preserve">(merged above)</w:t>
            </w:r>
          </w:p>
        </w:tc>
        <w:tc>
          <w:tcPr>
            <w:tcW w:type="dxa" w:w="3400"/>
            <w:tcMar>
              <w:top w:type="dxa" w:w="80"/>
              <w:left w:type="dxa" w:w="100"/>
              <w:bottom w:type="dxa" w:w="80"/>
              <w:right w:type="dxa" w:w="100"/>
            </w:tcMar>
          </w:tcPr>
          <w:p>
            <w:pPr>
              <w:jc w:val="left"/>
            </w:pPr>
            <w:r>
              <w:rPr>
                <w:b w:val="false"/>
                <w:bCs w:val="false"/>
                <w:sz w:val="19"/>
                <w:szCs w:val="19"/>
              </w:rPr>
              <w:t xml:space="preserve">Head schedule windows set - reg/competition dates on each head</w:t>
            </w:r>
          </w:p>
        </w:tc>
      </w:tr>
      <w:tr>
        <w:tc>
          <w:tcPr>
            <w:tcW w:type="dxa" w:w="3400"/>
            <w:tcMar>
              <w:top w:type="dxa" w:w="80"/>
              <w:left w:type="dxa" w:w="100"/>
              <w:bottom w:type="dxa" w:w="80"/>
              <w:right w:type="dxa" w:w="100"/>
            </w:tcMar>
          </w:tcPr>
          <w:p>
            <w:pPr>
              <w:jc w:val="left"/>
            </w:pPr>
            <w:r>
              <w:rPr>
                <w:b w:val="false"/>
                <w:bCs w:val="false"/>
                <w:sz w:val="19"/>
                <w:szCs w:val="19"/>
              </w:rPr>
              <w:t xml:space="preserve">Items under heads</w:t>
            </w:r>
          </w:p>
        </w:tc>
        <w:tc>
          <w:tcPr>
            <w:tcW w:type="dxa" w:w="3400"/>
            <w:tcMar>
              <w:top w:type="dxa" w:w="80"/>
              <w:left w:type="dxa" w:w="100"/>
              <w:bottom w:type="dxa" w:w="80"/>
              <w:right w:type="dxa" w:w="100"/>
            </w:tcMar>
          </w:tcPr>
          <w:p>
            <w:pPr>
              <w:jc w:val="left"/>
            </w:pPr>
            <w:r>
              <w:rPr>
                <w:b w:val="false"/>
                <w:bCs w:val="false"/>
                <w:sz w:val="19"/>
                <w:szCs w:val="19"/>
              </w:rPr>
              <w:t xml:space="preserve">(merged above)</w:t>
            </w:r>
          </w:p>
        </w:tc>
        <w:tc>
          <w:tcPr>
            <w:tcW w:type="dxa" w:w="3400"/>
            <w:tcMar>
              <w:top w:type="dxa" w:w="80"/>
              <w:left w:type="dxa" w:w="100"/>
              <w:bottom w:type="dxa" w:w="80"/>
              <w:right w:type="dxa" w:w="100"/>
            </w:tcMar>
          </w:tcPr>
          <w:p>
            <w:pPr>
              <w:jc w:val="left"/>
            </w:pPr>
            <w:r>
              <w:rPr>
                <w:b w:val="false"/>
                <w:bCs w:val="false"/>
                <w:sz w:val="19"/>
                <w:szCs w:val="19"/>
              </w:rPr>
              <w:t xml:space="preserve">Items added - each enabled item linked to a head</w:t>
            </w:r>
          </w:p>
        </w:tc>
      </w:tr>
      <w:tr>
        <w:tc>
          <w:tcPr>
            <w:tcW w:type="dxa" w:w="3400"/>
            <w:tcMar>
              <w:top w:type="dxa" w:w="80"/>
              <w:left w:type="dxa" w:w="100"/>
              <w:bottom w:type="dxa" w:w="80"/>
              <w:right w:type="dxa" w:w="100"/>
            </w:tcMar>
          </w:tcPr>
          <w:p>
            <w:pPr>
              <w:jc w:val="left"/>
            </w:pPr>
            <w:r>
              <w:rPr>
                <w:b w:val="false"/>
                <w:bCs w:val="false"/>
                <w:sz w:val="19"/>
                <w:szCs w:val="19"/>
              </w:rPr>
              <w:t xml:space="preserve">Item-wise fee overrides</w:t>
            </w:r>
          </w:p>
        </w:tc>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Item overrides (optional) - informational only, never blocks progress</w:t>
            </w:r>
          </w:p>
        </w:tc>
      </w:tr>
      <w:tr>
        <w:tc>
          <w:tcPr>
            <w:tcW w:type="dxa" w:w="3400"/>
            <w:tcMar>
              <w:top w:type="dxa" w:w="80"/>
              <w:left w:type="dxa" w:w="100"/>
              <w:bottom w:type="dxa" w:w="80"/>
              <w:right w:type="dxa" w:w="100"/>
            </w:tcMar>
          </w:tcPr>
          <w:p>
            <w:pPr>
              <w:jc w:val="left"/>
            </w:pPr>
            <w:r>
              <w:rPr>
                <w:b w:val="false"/>
                <w:bCs w:val="false"/>
                <w:sz w:val="19"/>
                <w:szCs w:val="19"/>
              </w:rPr>
              <w:t xml:space="preserve">Event fee settings</w:t>
            </w:r>
          </w:p>
        </w:tc>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Event-wide fee override (optional) - informational only</w:t>
            </w:r>
          </w:p>
        </w:tc>
      </w:tr>
      <w:tr>
        <w:tc>
          <w:tcPr>
            <w:tcW w:type="dxa" w:w="3400"/>
            <w:tcMar>
              <w:top w:type="dxa" w:w="80"/>
              <w:left w:type="dxa" w:w="100"/>
              <w:bottom w:type="dxa" w:w="80"/>
              <w:right w:type="dxa" w:w="100"/>
            </w:tcMar>
          </w:tcPr>
          <w:p>
            <w:pPr>
              <w:jc w:val="left"/>
            </w:pPr>
            <w:r>
              <w:rPr>
                <w:b w:val="false"/>
                <w:bCs w:val="false"/>
                <w:sz w:val="19"/>
                <w:szCs w:val="19"/>
              </w:rPr>
              <w:t xml:space="preserve">Rank points master</w:t>
            </w:r>
          </w:p>
        </w:tc>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Rank points set</w:t>
            </w:r>
          </w:p>
        </w:tc>
      </w:tr>
      <w:tr>
        <w:tc>
          <w:tcPr>
            <w:tcW w:type="dxa" w:w="3400"/>
            <w:tcMar>
              <w:top w:type="dxa" w:w="80"/>
              <w:left w:type="dxa" w:w="100"/>
              <w:bottom w:type="dxa" w:w="80"/>
              <w:right w:type="dxa" w:w="100"/>
            </w:tcMar>
          </w:tcPr>
          <w:p>
            <w:pPr>
              <w:jc w:val="left"/>
            </w:pPr>
            <w:r>
              <w:rPr>
                <w:b w:val="false"/>
                <w:bCs w:val="false"/>
                <w:sz w:val="19"/>
                <w:szCs w:val="19"/>
              </w:rPr>
              <w:t xml:space="preserve">Registration windows</w:t>
            </w:r>
          </w:p>
        </w:tc>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Registration window set</w:t>
            </w:r>
          </w:p>
        </w:tc>
      </w:tr>
      <w:tr>
        <w:tc>
          <w:tcPr>
            <w:tcW w:type="dxa" w:w="3400"/>
            <w:tcMar>
              <w:top w:type="dxa" w:w="80"/>
              <w:left w:type="dxa" w:w="100"/>
              <w:bottom w:type="dxa" w:w="80"/>
              <w:right w:type="dxa" w:w="100"/>
            </w:tcMar>
          </w:tcPr>
          <w:p>
            <w:pPr>
              <w:jc w:val="left"/>
            </w:pPr>
            <w:r>
              <w:rPr>
                <w:b w:val="false"/>
                <w:bCs w:val="false"/>
                <w:sz w:val="19"/>
                <w:szCs w:val="19"/>
              </w:rPr>
              <w:t xml:space="preserve">Chest &amp; item numbering</w:t>
            </w:r>
          </w:p>
        </w:tc>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Numbering configured</w:t>
            </w:r>
          </w:p>
        </w:tc>
      </w:tr>
      <w:tr>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Open registration &amp; review entries</w:t>
            </w:r>
          </w:p>
        </w:tc>
        <w:tc>
          <w:tcPr>
            <w:tcW w:type="dxa" w:w="3400"/>
            <w:tcMar>
              <w:top w:type="dxa" w:w="80"/>
              <w:left w:type="dxa" w:w="100"/>
              <w:bottom w:type="dxa" w:w="80"/>
              <w:right w:type="dxa" w:w="100"/>
            </w:tcMar>
          </w:tcPr>
          <w:p>
            <w:pPr>
              <w:jc w:val="left"/>
            </w:pPr>
            <w:r>
              <w:rPr>
                <w:b w:val="false"/>
                <w:bCs w:val="false"/>
                <w:sz w:val="19"/>
                <w:szCs w:val="19"/>
              </w:rPr>
              <w:t xml:space="preserve">Registration opened &amp; entries reviewed</w:t>
            </w:r>
          </w:p>
        </w:tc>
      </w:tr>
      <w:tr>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School fest fees verified</w:t>
            </w:r>
          </w:p>
        </w:tc>
        <w:tc>
          <w:tcPr>
            <w:tcW w:type="dxa" w:w="3400"/>
            <w:tcMar>
              <w:top w:type="dxa" w:w="80"/>
              <w:left w:type="dxa" w:w="100"/>
              <w:bottom w:type="dxa" w:w="80"/>
              <w:right w:type="dxa" w:w="100"/>
            </w:tcMar>
          </w:tcPr>
          <w:p>
            <w:pPr>
              <w:jc w:val="left"/>
            </w:pPr>
            <w:r>
              <w:rPr>
                <w:b w:val="false"/>
                <w:bCs w:val="false"/>
                <w:sz w:val="19"/>
                <w:szCs w:val="19"/>
              </w:rPr>
              <w:t xml:space="preserve">School fest fees verified</w:t>
            </w:r>
          </w:p>
        </w:tc>
      </w:tr>
      <w:tr>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State remittance submitted &amp; verified</w:t>
            </w:r>
          </w:p>
        </w:tc>
        <w:tc>
          <w:tcPr>
            <w:tcW w:type="dxa" w:w="3400"/>
            <w:tcMar>
              <w:top w:type="dxa" w:w="80"/>
              <w:left w:type="dxa" w:w="100"/>
              <w:bottom w:type="dxa" w:w="80"/>
              <w:right w:type="dxa" w:w="100"/>
            </w:tcMar>
          </w:tcPr>
          <w:p>
            <w:pPr>
              <w:jc w:val="left"/>
            </w:pPr>
            <w:r>
              <w:rPr>
                <w:b w:val="false"/>
                <w:bCs w:val="false"/>
                <w:sz w:val="19"/>
                <w:szCs w:val="19"/>
              </w:rPr>
              <w:t xml:space="preserve">REMOVED from this event’s checklist - it is a Sahodaya+year fact, not a per-event fact. Shown instead as a banner note, not a numbered step.</w:t>
            </w:r>
          </w:p>
        </w:tc>
      </w:tr>
      <w:tr>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Performance schedule built / published</w:t>
            </w:r>
          </w:p>
        </w:tc>
        <w:tc>
          <w:tcPr>
            <w:tcW w:type="dxa" w:w="3400"/>
            <w:tcMar>
              <w:top w:type="dxa" w:w="80"/>
              <w:left w:type="dxa" w:w="100"/>
              <w:bottom w:type="dxa" w:w="80"/>
              <w:right w:type="dxa" w:w="100"/>
            </w:tcMar>
          </w:tcPr>
          <w:p>
            <w:pPr>
              <w:jc w:val="left"/>
            </w:pPr>
            <w:r>
              <w:rPr>
                <w:b w:val="false"/>
                <w:bCs w:val="false"/>
                <w:sz w:val="19"/>
                <w:szCs w:val="19"/>
              </w:rPr>
              <w:t xml:space="preserve">Schedule built &amp; published</w:t>
            </w:r>
          </w:p>
        </w:tc>
      </w:tr>
      <w:tr>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Ongoing: competition / marks</w:t>
            </w:r>
          </w:p>
        </w:tc>
        <w:tc>
          <w:tcPr>
            <w:tcW w:type="dxa" w:w="3400"/>
            <w:tcMar>
              <w:top w:type="dxa" w:w="80"/>
              <w:left w:type="dxa" w:w="100"/>
              <w:bottom w:type="dxa" w:w="80"/>
              <w:right w:type="dxa" w:w="100"/>
            </w:tcMar>
          </w:tcPr>
          <w:p>
            <w:pPr>
              <w:jc w:val="left"/>
            </w:pPr>
            <w:r>
              <w:rPr>
                <w:b w:val="false"/>
                <w:bCs w:val="false"/>
                <w:sz w:val="19"/>
                <w:szCs w:val="19"/>
              </w:rPr>
              <w:t xml:space="preserve">Marks entry complete</w:t>
            </w:r>
          </w:p>
        </w:tc>
      </w:tr>
      <w:tr>
        <w:tc>
          <w:tcPr>
            <w:tcW w:type="dxa" w:w="3400"/>
            <w:tcMar>
              <w:top w:type="dxa" w:w="80"/>
              <w:left w:type="dxa" w:w="100"/>
              <w:bottom w:type="dxa" w:w="80"/>
              <w:right w:type="dxa" w:w="100"/>
            </w:tcMar>
          </w:tcPr>
          <w:p>
            <w:pPr>
              <w:jc w:val="left"/>
            </w:pPr>
            <w:r>
              <w:rPr>
                <w:b w:val="false"/>
                <w:bCs w:val="false"/>
                <w:sz w:val="19"/>
                <w:szCs w:val="19"/>
              </w:rPr>
              <w:t xml:space="preserve">(none)</w:t>
            </w:r>
          </w:p>
        </w:tc>
        <w:tc>
          <w:tcPr>
            <w:tcW w:type="dxa" w:w="3400"/>
            <w:tcMar>
              <w:top w:type="dxa" w:w="80"/>
              <w:left w:type="dxa" w:w="100"/>
              <w:bottom w:type="dxa" w:w="80"/>
              <w:right w:type="dxa" w:w="100"/>
            </w:tcMar>
          </w:tcPr>
          <w:p>
            <w:pPr>
              <w:jc w:val="left"/>
            </w:pPr>
            <w:r>
              <w:rPr>
                <w:b w:val="false"/>
                <w:bCs w:val="false"/>
                <w:sz w:val="19"/>
                <w:szCs w:val="19"/>
              </w:rPr>
              <w:t xml:space="preserve">Publish results</w:t>
            </w:r>
          </w:p>
        </w:tc>
        <w:tc>
          <w:tcPr>
            <w:tcW w:type="dxa" w:w="3400"/>
            <w:tcMar>
              <w:top w:type="dxa" w:w="80"/>
              <w:left w:type="dxa" w:w="100"/>
              <w:bottom w:type="dxa" w:w="80"/>
              <w:right w:type="dxa" w:w="100"/>
            </w:tcMar>
          </w:tcPr>
          <w:p>
            <w:pPr>
              <w:jc w:val="left"/>
            </w:pPr>
            <w:r>
              <w:rPr>
                <w:b w:val="false"/>
                <w:bCs w:val="false"/>
                <w:sz w:val="19"/>
                <w:szCs w:val="19"/>
              </w:rPr>
              <w:t xml:space="preserve">Results published</w:t>
            </w:r>
          </w:p>
        </w:tc>
      </w:tr>
    </w:tbl>
    <w:p>
      <w:pPr>
        <w:pStyle w:val="Heading1"/>
        <w:spacing w:after="160" w:before="320"/>
      </w:pPr>
      <w:r>
        <w:t xml:space="preserve">7. Implementation Plan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50"/>
        <w:gridCol w:w="2050"/>
        <w:gridCol w:w="5200"/>
        <w:gridCol w:w="2300"/>
      </w:tblGrid>
      <w:tr>
        <w:trPr>
          <w:tblHeader/>
        </w:trPr>
        <w:tc>
          <w:tcPr>
            <w:tcW w:type="dxa" w:w="650"/>
            <w:shd w:fill="0f3d7a" w:val="clear"/>
            <w:tcMar>
              <w:top w:type="dxa" w:w="80"/>
              <w:left w:type="dxa" w:w="100"/>
              <w:bottom w:type="dxa" w:w="80"/>
              <w:right w:type="dxa" w:w="100"/>
            </w:tcMar>
          </w:tcPr>
          <w:p>
            <w:pPr>
              <w:jc w:val="left"/>
            </w:pPr>
            <w:r>
              <w:rPr>
                <w:b/>
                <w:bCs/>
                <w:color w:val="FFFFFF"/>
                <w:sz w:val="19"/>
                <w:szCs w:val="19"/>
              </w:rPr>
              <w:t xml:space="preserve">Phase</w:t>
            </w:r>
          </w:p>
        </w:tc>
        <w:tc>
          <w:tcPr>
            <w:tcW w:type="dxa" w:w="2050"/>
            <w:shd w:fill="0f3d7a" w:val="clear"/>
            <w:tcMar>
              <w:top w:type="dxa" w:w="80"/>
              <w:left w:type="dxa" w:w="100"/>
              <w:bottom w:type="dxa" w:w="80"/>
              <w:right w:type="dxa" w:w="100"/>
            </w:tcMar>
          </w:tcPr>
          <w:p>
            <w:pPr>
              <w:jc w:val="left"/>
            </w:pPr>
            <w:r>
              <w:rPr>
                <w:b/>
                <w:bCs/>
                <w:color w:val="FFFFFF"/>
                <w:sz w:val="19"/>
                <w:szCs w:val="19"/>
              </w:rPr>
              <w:t xml:space="preserve">Goal</w:t>
            </w:r>
          </w:p>
        </w:tc>
        <w:tc>
          <w:tcPr>
            <w:tcW w:type="dxa" w:w="5200"/>
            <w:shd w:fill="0f3d7a" w:val="clear"/>
            <w:tcMar>
              <w:top w:type="dxa" w:w="80"/>
              <w:left w:type="dxa" w:w="100"/>
              <w:bottom w:type="dxa" w:w="80"/>
              <w:right w:type="dxa" w:w="100"/>
            </w:tcMar>
          </w:tcPr>
          <w:p>
            <w:pPr>
              <w:jc w:val="left"/>
            </w:pPr>
            <w:r>
              <w:rPr>
                <w:b/>
                <w:bCs/>
                <w:color w:val="FFFFFF"/>
                <w:sz w:val="19"/>
                <w:szCs w:val="19"/>
              </w:rPr>
              <w:t xml:space="preserve">Concrete changes</w:t>
            </w:r>
          </w:p>
        </w:tc>
        <w:tc>
          <w:tcPr>
            <w:tcW w:type="dxa" w:w="2300"/>
            <w:shd w:fill="0f3d7a" w:val="clear"/>
            <w:tcMar>
              <w:top w:type="dxa" w:w="80"/>
              <w:left w:type="dxa" w:w="100"/>
              <w:bottom w:type="dxa" w:w="80"/>
              <w:right w:type="dxa" w:w="100"/>
            </w:tcMar>
          </w:tcPr>
          <w:p>
            <w:pPr>
              <w:jc w:val="left"/>
            </w:pPr>
            <w:r>
              <w:rPr>
                <w:b/>
                <w:bCs/>
                <w:color w:val="FFFFFF"/>
                <w:sz w:val="19"/>
                <w:szCs w:val="19"/>
              </w:rPr>
              <w:t xml:space="preserve">Risk</w:t>
            </w:r>
          </w:p>
        </w:tc>
      </w:tr>
      <w:tr>
        <w:tc>
          <w:tcPr>
            <w:tcW w:type="dxa" w:w="650"/>
            <w:tcMar>
              <w:top w:type="dxa" w:w="80"/>
              <w:left w:type="dxa" w:w="100"/>
              <w:bottom w:type="dxa" w:w="80"/>
              <w:right w:type="dxa" w:w="100"/>
            </w:tcMar>
          </w:tcPr>
          <w:p>
            <w:pPr>
              <w:jc w:val="left"/>
            </w:pPr>
            <w:r>
              <w:rPr>
                <w:b w:val="false"/>
                <w:bCs w:val="false"/>
                <w:sz w:val="19"/>
                <w:szCs w:val="19"/>
              </w:rPr>
              <w:t xml:space="preserve">1</w:t>
            </w:r>
          </w:p>
        </w:tc>
        <w:tc>
          <w:tcPr>
            <w:tcW w:type="dxa" w:w="2050"/>
            <w:tcMar>
              <w:top w:type="dxa" w:w="80"/>
              <w:left w:type="dxa" w:w="100"/>
              <w:bottom w:type="dxa" w:w="80"/>
              <w:right w:type="dxa" w:w="100"/>
            </w:tcMar>
          </w:tcPr>
          <w:p>
            <w:pPr>
              <w:jc w:val="left"/>
            </w:pPr>
            <w:r>
              <w:rPr>
                <w:b w:val="false"/>
                <w:bCs w:val="false"/>
                <w:sz w:val="19"/>
                <w:szCs w:val="19"/>
              </w:rPr>
              <w:t xml:space="preserve">Fix fee-detection bugs</w:t>
            </w:r>
          </w:p>
        </w:tc>
        <w:tc>
          <w:tcPr>
            <w:tcW w:type="dxa" w:w="5200"/>
            <w:tcMar>
              <w:top w:type="dxa" w:w="80"/>
              <w:left w:type="dxa" w:w="100"/>
              <w:bottom w:type="dxa" w:w="80"/>
              <w:right w:type="dxa" w:w="100"/>
            </w:tcMar>
          </w:tcPr>
          <w:p>
            <w:pPr>
              <w:jc w:val="left"/>
            </w:pPr>
            <w:r>
              <w:rPr>
                <w:b w:val="false"/>
                <w:bCs w:val="false"/>
                <w:sz w:val="19"/>
                <w:szCs w:val="19"/>
              </w:rPr>
              <w:t xml:space="preserve">FestSportsSetupController: $headsWithFees also counts school_registration_fee / student_registration_fee / team_registration_fee. "heads" checklist item requires fees set, not just count &gt; 0.</w:t>
            </w:r>
          </w:p>
        </w:tc>
        <w:tc>
          <w:tcPr>
            <w:tcW w:type="dxa" w:w="2300"/>
            <w:tcMar>
              <w:top w:type="dxa" w:w="80"/>
              <w:left w:type="dxa" w:w="100"/>
              <w:bottom w:type="dxa" w:w="80"/>
              <w:right w:type="dxa" w:w="100"/>
            </w:tcMar>
          </w:tcPr>
          <w:p>
            <w:pPr>
              <w:jc w:val="left"/>
            </w:pPr>
            <w:r>
              <w:rPr>
                <w:b w:val="false"/>
                <w:bCs w:val="false"/>
                <w:sz w:val="19"/>
                <w:szCs w:val="19"/>
              </w:rPr>
              <w:t xml:space="preserve">Low - read-only detection logic</w:t>
            </w:r>
          </w:p>
        </w:tc>
      </w:tr>
      <w:tr>
        <w:tc>
          <w:tcPr>
            <w:tcW w:type="dxa" w:w="650"/>
            <w:tcMar>
              <w:top w:type="dxa" w:w="80"/>
              <w:left w:type="dxa" w:w="100"/>
              <w:bottom w:type="dxa" w:w="80"/>
              <w:right w:type="dxa" w:w="100"/>
            </w:tcMar>
          </w:tcPr>
          <w:p>
            <w:pPr>
              <w:jc w:val="left"/>
            </w:pPr>
            <w:r>
              <w:rPr>
                <w:b w:val="false"/>
                <w:bCs w:val="false"/>
                <w:sz w:val="19"/>
                <w:szCs w:val="19"/>
              </w:rPr>
              <w:t xml:space="preserve">2</w:t>
            </w:r>
          </w:p>
        </w:tc>
        <w:tc>
          <w:tcPr>
            <w:tcW w:type="dxa" w:w="2050"/>
            <w:tcMar>
              <w:top w:type="dxa" w:w="80"/>
              <w:left w:type="dxa" w:w="100"/>
              <w:bottom w:type="dxa" w:w="80"/>
              <w:right w:type="dxa" w:w="100"/>
            </w:tcMar>
          </w:tcPr>
          <w:p>
            <w:pPr>
              <w:jc w:val="left"/>
            </w:pPr>
            <w:r>
              <w:rPr>
                <w:b w:val="false"/>
                <w:bCs w:val="false"/>
                <w:sz w:val="19"/>
                <w:szCs w:val="19"/>
              </w:rPr>
              <w:t xml:space="preserve">Remove duplicate nav on Competition hub</w:t>
            </w:r>
          </w:p>
        </w:tc>
        <w:tc>
          <w:tcPr>
            <w:tcW w:type="dxa" w:w="5200"/>
            <w:tcMar>
              <w:top w:type="dxa" w:w="80"/>
              <w:left w:type="dxa" w:w="100"/>
              <w:bottom w:type="dxa" w:w="80"/>
              <w:right w:type="dxa" w:w="100"/>
            </w:tcMar>
          </w:tcPr>
          <w:p>
            <w:pPr>
              <w:jc w:val="left"/>
            </w:pPr>
            <w:r>
              <w:rPr>
                <w:b w:val="false"/>
                <w:bCs w:val="false"/>
                <w:sz w:val="19"/>
                <w:szCs w:val="19"/>
              </w:rPr>
              <w:t xml:space="preserve">ItemHeadOps.vue: delete the 3 PageHeader action-button duplicates of SportsSetupSubNav</w:t>
            </w:r>
          </w:p>
        </w:tc>
        <w:tc>
          <w:tcPr>
            <w:tcW w:type="dxa" w:w="2300"/>
            <w:tcMar>
              <w:top w:type="dxa" w:w="80"/>
              <w:left w:type="dxa" w:w="100"/>
              <w:bottom w:type="dxa" w:w="80"/>
              <w:right w:type="dxa" w:w="100"/>
            </w:tcMar>
          </w:tcPr>
          <w:p>
            <w:pPr>
              <w:jc w:val="left"/>
            </w:pPr>
            <w:r>
              <w:rPr>
                <w:b w:val="false"/>
                <w:bCs w:val="false"/>
                <w:sz w:val="19"/>
                <w:szCs w:val="19"/>
              </w:rPr>
              <w:t xml:space="preserve">Low - deletion only</w:t>
            </w:r>
          </w:p>
        </w:tc>
      </w:tr>
      <w:tr>
        <w:tc>
          <w:tcPr>
            <w:tcW w:type="dxa" w:w="650"/>
            <w:tcMar>
              <w:top w:type="dxa" w:w="80"/>
              <w:left w:type="dxa" w:w="100"/>
              <w:bottom w:type="dxa" w:w="80"/>
              <w:right w:type="dxa" w:w="100"/>
            </w:tcMar>
          </w:tcPr>
          <w:p>
            <w:pPr>
              <w:jc w:val="left"/>
            </w:pPr>
            <w:r>
              <w:rPr>
                <w:b w:val="false"/>
                <w:bCs w:val="false"/>
                <w:sz w:val="19"/>
                <w:szCs w:val="19"/>
              </w:rPr>
              <w:t xml:space="preserve">3</w:t>
            </w:r>
          </w:p>
        </w:tc>
        <w:tc>
          <w:tcPr>
            <w:tcW w:type="dxa" w:w="2050"/>
            <w:tcMar>
              <w:top w:type="dxa" w:w="80"/>
              <w:left w:type="dxa" w:w="100"/>
              <w:bottom w:type="dxa" w:w="80"/>
              <w:right w:type="dxa" w:w="100"/>
            </w:tcMar>
          </w:tcPr>
          <w:p>
            <w:pPr>
              <w:jc w:val="left"/>
            </w:pPr>
            <w:r>
              <w:rPr>
                <w:b w:val="false"/>
                <w:bCs w:val="false"/>
                <w:sz w:val="19"/>
                <w:szCs w:val="19"/>
              </w:rPr>
              <w:t xml:space="preserve">One fee UI for create and edit</w:t>
            </w:r>
          </w:p>
        </w:tc>
        <w:tc>
          <w:tcPr>
            <w:tcW w:type="dxa" w:w="5200"/>
            <w:tcMar>
              <w:top w:type="dxa" w:w="80"/>
              <w:left w:type="dxa" w:w="100"/>
              <w:bottom w:type="dxa" w:w="80"/>
              <w:right w:type="dxa" w:w="100"/>
            </w:tcMar>
          </w:tcPr>
          <w:p>
            <w:pPr>
              <w:jc w:val="left"/>
            </w:pPr>
            <w:r>
              <w:rPr>
                <w:b w:val="false"/>
                <w:bCs w:val="false"/>
                <w:sz w:val="19"/>
                <w:szCs w:val="19"/>
              </w:rPr>
              <w:t xml:space="preserve">Extract shared FestHeadFeeFields.vue used by both the Add-Head modal and a new "Edit fees" action per head card on the Competition hub; Fee-Settings tab’s per-head table either reuses the same component or is removed in favor of the Competition-hub editor</w:t>
            </w:r>
          </w:p>
        </w:tc>
        <w:tc>
          <w:tcPr>
            <w:tcW w:type="dxa" w:w="2300"/>
            <w:tcMar>
              <w:top w:type="dxa" w:w="80"/>
              <w:left w:type="dxa" w:w="100"/>
              <w:bottom w:type="dxa" w:w="80"/>
              <w:right w:type="dxa" w:w="100"/>
            </w:tcMar>
          </w:tcPr>
          <w:p>
            <w:pPr>
              <w:jc w:val="left"/>
            </w:pPr>
            <w:r>
              <w:rPr>
                <w:b w:val="false"/>
                <w:bCs w:val="false"/>
                <w:sz w:val="19"/>
                <w:szCs w:val="19"/>
              </w:rPr>
              <w:t xml:space="preserve">Medium - touches 3 Vue files + needs a small edit route</w:t>
            </w:r>
          </w:p>
        </w:tc>
      </w:tr>
      <w:tr>
        <w:tc>
          <w:tcPr>
            <w:tcW w:type="dxa" w:w="650"/>
            <w:tcMar>
              <w:top w:type="dxa" w:w="80"/>
              <w:left w:type="dxa" w:w="100"/>
              <w:bottom w:type="dxa" w:w="80"/>
              <w:right w:type="dxa" w:w="100"/>
            </w:tcMar>
          </w:tcPr>
          <w:p>
            <w:pPr>
              <w:jc w:val="left"/>
            </w:pPr>
            <w:r>
              <w:rPr>
                <w:b w:val="false"/>
                <w:bCs w:val="false"/>
                <w:sz w:val="19"/>
                <w:szCs w:val="19"/>
              </w:rPr>
              <w:t xml:space="preserve">4</w:t>
            </w:r>
          </w:p>
        </w:tc>
        <w:tc>
          <w:tcPr>
            <w:tcW w:type="dxa" w:w="2050"/>
            <w:tcMar>
              <w:top w:type="dxa" w:w="80"/>
              <w:left w:type="dxa" w:w="100"/>
              <w:bottom w:type="dxa" w:w="80"/>
              <w:right w:type="dxa" w:w="100"/>
            </w:tcMar>
          </w:tcPr>
          <w:p>
            <w:pPr>
              <w:jc w:val="left"/>
            </w:pPr>
            <w:r>
              <w:rPr>
                <w:b w:val="false"/>
                <w:bCs w:val="false"/>
                <w:sz w:val="19"/>
                <w:szCs w:val="19"/>
              </w:rPr>
              <w:t xml:space="preserve">Merge the two checklists into one</w:t>
            </w:r>
          </w:p>
        </w:tc>
        <w:tc>
          <w:tcPr>
            <w:tcW w:type="dxa" w:w="5200"/>
            <w:tcMar>
              <w:top w:type="dxa" w:w="80"/>
              <w:left w:type="dxa" w:w="100"/>
              <w:bottom w:type="dxa" w:w="80"/>
              <w:right w:type="dxa" w:w="100"/>
            </w:tcMar>
          </w:tcPr>
          <w:p>
            <w:pPr>
              <w:jc w:val="left"/>
            </w:pPr>
            <w:r>
              <w:rPr>
                <w:b w:val="false"/>
                <w:bCs w:val="false"/>
                <w:sz w:val="19"/>
                <w:szCs w:val="19"/>
              </w:rPr>
              <w:t xml:space="preserve">Retire FestLifecycleService::checklist() duplication with Setup Hub; single checklist definition consumed by both Overview and Setup hub</w:t>
            </w:r>
          </w:p>
        </w:tc>
        <w:tc>
          <w:tcPr>
            <w:tcW w:type="dxa" w:w="2300"/>
            <w:tcMar>
              <w:top w:type="dxa" w:w="80"/>
              <w:left w:type="dxa" w:w="100"/>
              <w:bottom w:type="dxa" w:w="80"/>
              <w:right w:type="dxa" w:w="100"/>
            </w:tcMar>
          </w:tcPr>
          <w:p>
            <w:pPr>
              <w:jc w:val="left"/>
            </w:pPr>
            <w:r>
              <w:rPr>
                <w:b w:val="false"/>
                <w:bCs w:val="false"/>
                <w:sz w:val="19"/>
                <w:szCs w:val="19"/>
              </w:rPr>
              <w:t xml:space="preserve">Medium - shared data shape, two render sites</w:t>
            </w:r>
          </w:p>
        </w:tc>
      </w:tr>
      <w:tr>
        <w:tc>
          <w:tcPr>
            <w:tcW w:type="dxa" w:w="650"/>
            <w:tcMar>
              <w:top w:type="dxa" w:w="80"/>
              <w:left w:type="dxa" w:w="100"/>
              <w:bottom w:type="dxa" w:w="80"/>
              <w:right w:type="dxa" w:w="100"/>
            </w:tcMar>
          </w:tcPr>
          <w:p>
            <w:pPr>
              <w:jc w:val="left"/>
            </w:pPr>
            <w:r>
              <w:rPr>
                <w:b w:val="false"/>
                <w:bCs w:val="false"/>
                <w:sz w:val="19"/>
                <w:szCs w:val="19"/>
              </w:rPr>
              <w:t xml:space="preserve">5</w:t>
            </w:r>
          </w:p>
        </w:tc>
        <w:tc>
          <w:tcPr>
            <w:tcW w:type="dxa" w:w="2050"/>
            <w:tcMar>
              <w:top w:type="dxa" w:w="80"/>
              <w:left w:type="dxa" w:w="100"/>
              <w:bottom w:type="dxa" w:w="80"/>
              <w:right w:type="dxa" w:w="100"/>
            </w:tcMar>
          </w:tcPr>
          <w:p>
            <w:pPr>
              <w:jc w:val="left"/>
            </w:pPr>
            <w:r>
              <w:rPr>
                <w:b w:val="false"/>
                <w:bCs w:val="false"/>
                <w:sz w:val="19"/>
                <w:szCs w:val="19"/>
              </w:rPr>
              <w:t xml:space="preserve">Move state remittance out of per-event checklist</w:t>
            </w:r>
          </w:p>
        </w:tc>
        <w:tc>
          <w:tcPr>
            <w:tcW w:type="dxa" w:w="5200"/>
            <w:tcMar>
              <w:top w:type="dxa" w:w="80"/>
              <w:left w:type="dxa" w:w="100"/>
              <w:bottom w:type="dxa" w:w="80"/>
              <w:right w:type="dxa" w:w="100"/>
            </w:tcMar>
          </w:tcPr>
          <w:p>
            <w:pPr>
              <w:jc w:val="left"/>
            </w:pPr>
            <w:r>
              <w:rPr>
                <w:b w:val="false"/>
                <w:bCs w:val="false"/>
                <w:sz w:val="19"/>
                <w:szCs w:val="19"/>
              </w:rPr>
              <w:t xml:space="preserve">Show as a Sahodaya-level banner (e.g. on the Sports program hub), not a step on any single event’s checklist</w:t>
            </w:r>
          </w:p>
        </w:tc>
        <w:tc>
          <w:tcPr>
            <w:tcW w:type="dxa" w:w="2300"/>
            <w:tcMar>
              <w:top w:type="dxa" w:w="80"/>
              <w:left w:type="dxa" w:w="100"/>
              <w:bottom w:type="dxa" w:w="80"/>
              <w:right w:type="dxa" w:w="100"/>
            </w:tcMar>
          </w:tcPr>
          <w:p>
            <w:pPr>
              <w:jc w:val="left"/>
            </w:pPr>
            <w:r>
              <w:rPr>
                <w:b w:val="false"/>
                <w:bCs w:val="false"/>
                <w:sz w:val="19"/>
                <w:szCs w:val="19"/>
              </w:rPr>
              <w:t xml:space="preserve">Low</w:t>
            </w:r>
          </w:p>
        </w:tc>
      </w:tr>
    </w:tbl>
    <w:p>
      <w:pPr>
        <w:pStyle w:val="Heading1"/>
        <w:spacing w:after="160" w:before="320"/>
      </w:pPr>
      <w:r>
        <w:t xml:space="preserve">8. Open Question Before Implementation</w:t>
      </w:r>
    </w:p>
    <w:p>
      <w:pPr>
        <w:spacing w:after="120"/>
      </w:pPr>
      <w:r>
        <w:t xml:space="preserve">Phase 3 needs one decision from you: should editing an existing head’s fees happen inline on the Competition hub (an "Edit fees" action on each head card, opening the same form used by Add Head), or should the Fee Settings tab’s per-head table stay as the edit surface but get rebuilt to visually match the Add-Head form? Either works — the inline option removes one more screen from the flow; the Fee Settings option keeps all heads editable side-by-side in one table. Let me know which you prefer and I’ll build Phase 3 against that.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2026-07-13T09:19:53.476Z</dcterms:created>
  <dcterms:modified xsi:type="dcterms:W3CDTF">2026-07-13T09:19:53.476Z</dcterms:modified>
</cp:coreProperties>
</file>

<file path=docProps/custom.xml><?xml version="1.0" encoding="utf-8"?>
<Properties xmlns="http://schemas.openxmlformats.org/officeDocument/2006/custom-properties" xmlns:vt="http://schemas.openxmlformats.org/officeDocument/2006/docPropsVTypes"/>
</file>