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FRD-13 – Super Admin &amp; Multi-Tenant Platform</w:t>
      </w:r>
    </w:p>
    <w:p>
      <w:r>
        <w:t>CBSE Sahodaya Digital Platform</w:t>
        <w:br/>
        <w:t>Version: MVP 1.0</w:t>
      </w:r>
    </w:p>
    <w:p>
      <w:pPr>
        <w:pStyle w:val="Heading2"/>
      </w:pPr>
      <w:r>
        <w:t>1. Module Purpose</w:t>
      </w:r>
    </w:p>
    <w:p>
      <w:pPr>
        <w:pStyle w:val="ListBullet"/>
      </w:pPr>
      <w:r>
        <w:rPr>
          <w:sz w:val="21"/>
        </w:rPr>
        <w:t>Manage the complete SaaS platform.</w:t>
      </w:r>
    </w:p>
    <w:p>
      <w:pPr>
        <w:pStyle w:val="ListBullet"/>
      </w:pPr>
      <w:r>
        <w:rPr>
          <w:sz w:val="21"/>
        </w:rPr>
        <w:t>Provision and administer States, Sahodayas and platform-wide settings.</w:t>
      </w:r>
    </w:p>
    <w:p>
      <w:pPr>
        <w:pStyle w:val="ListBullet"/>
      </w:pPr>
      <w:r>
        <w:rPr>
          <w:sz w:val="21"/>
        </w:rPr>
        <w:t>Provide centralized monitoring, licensing and governance.</w:t>
      </w:r>
    </w:p>
    <w:p>
      <w:pPr>
        <w:pStyle w:val="Heading2"/>
      </w:pPr>
      <w:r>
        <w:t>2. Super Admin Dashboard</w:t>
      </w:r>
    </w:p>
    <w:p>
      <w:pPr>
        <w:pStyle w:val="ListBullet"/>
      </w:pPr>
      <w:r>
        <w:rPr>
          <w:sz w:val="21"/>
        </w:rPr>
        <w:t>Platform KPIs</w:t>
      </w:r>
    </w:p>
    <w:p>
      <w:pPr>
        <w:pStyle w:val="ListBullet"/>
      </w:pPr>
      <w:r>
        <w:rPr>
          <w:sz w:val="21"/>
        </w:rPr>
        <w:t>Active States</w:t>
      </w:r>
    </w:p>
    <w:p>
      <w:pPr>
        <w:pStyle w:val="ListBullet"/>
      </w:pPr>
      <w:r>
        <w:rPr>
          <w:sz w:val="21"/>
        </w:rPr>
        <w:t>Active Sahodayas</w:t>
      </w:r>
    </w:p>
    <w:p>
      <w:pPr>
        <w:pStyle w:val="ListBullet"/>
      </w:pPr>
      <w:r>
        <w:rPr>
          <w:sz w:val="21"/>
        </w:rPr>
        <w:t>Schools</w:t>
      </w:r>
    </w:p>
    <w:p>
      <w:pPr>
        <w:pStyle w:val="ListBullet"/>
      </w:pPr>
      <w:r>
        <w:rPr>
          <w:sz w:val="21"/>
        </w:rPr>
        <w:t>Students</w:t>
      </w:r>
    </w:p>
    <w:p>
      <w:pPr>
        <w:pStyle w:val="ListBullet"/>
      </w:pPr>
      <w:r>
        <w:rPr>
          <w:sz w:val="21"/>
        </w:rPr>
        <w:t>Teachers</w:t>
      </w:r>
    </w:p>
    <w:p>
      <w:pPr>
        <w:pStyle w:val="ListBullet"/>
      </w:pPr>
      <w:r>
        <w:rPr>
          <w:sz w:val="21"/>
        </w:rPr>
        <w:t>Revenue Summary</w:t>
      </w:r>
    </w:p>
    <w:p>
      <w:pPr>
        <w:pStyle w:val="ListBullet"/>
      </w:pPr>
      <w:r>
        <w:rPr>
          <w:sz w:val="21"/>
        </w:rPr>
        <w:t>System Health</w:t>
      </w:r>
    </w:p>
    <w:p>
      <w:pPr>
        <w:pStyle w:val="ListBullet"/>
      </w:pPr>
      <w:r>
        <w:rPr>
          <w:sz w:val="21"/>
        </w:rPr>
        <w:t>Pending Tasks</w:t>
      </w:r>
    </w:p>
    <w:p>
      <w:pPr>
        <w:pStyle w:val="ListBullet"/>
      </w:pPr>
      <w:r>
        <w:rPr>
          <w:sz w:val="21"/>
        </w:rPr>
        <w:t>License Alerts</w:t>
      </w:r>
    </w:p>
    <w:p>
      <w:pPr>
        <w:pStyle w:val="Heading2"/>
      </w:pPr>
      <w:r>
        <w:t>3. State Management</w:t>
      </w:r>
    </w:p>
    <w:p>
      <w:pPr>
        <w:pStyle w:val="ListBullet"/>
      </w:pPr>
      <w:r>
        <w:rPr>
          <w:sz w:val="21"/>
        </w:rPr>
        <w:t>State Code</w:t>
      </w:r>
    </w:p>
    <w:p>
      <w:pPr>
        <w:pStyle w:val="ListBullet"/>
      </w:pPr>
      <w:r>
        <w:rPr>
          <w:sz w:val="21"/>
        </w:rPr>
        <w:t>State Name</w:t>
      </w:r>
    </w:p>
    <w:p>
      <w:pPr>
        <w:pStyle w:val="ListBullet"/>
      </w:pPr>
      <w:r>
        <w:rPr>
          <w:sz w:val="21"/>
        </w:rPr>
        <w:t>Branding</w:t>
      </w:r>
    </w:p>
    <w:p>
      <w:pPr>
        <w:pStyle w:val="ListBullet"/>
      </w:pPr>
      <w:r>
        <w:rPr>
          <w:sz w:val="21"/>
        </w:rPr>
        <w:t>Administrators</w:t>
      </w:r>
    </w:p>
    <w:p>
      <w:pPr>
        <w:pStyle w:val="ListBullet"/>
      </w:pPr>
      <w:r>
        <w:rPr>
          <w:sz w:val="21"/>
        </w:rPr>
        <w:t>Contact Details</w:t>
      </w:r>
    </w:p>
    <w:p>
      <w:pPr>
        <w:pStyle w:val="ListBullet"/>
      </w:pPr>
      <w:r>
        <w:rPr>
          <w:sz w:val="21"/>
        </w:rPr>
        <w:t>Academic Year Defaults</w:t>
      </w:r>
    </w:p>
    <w:p>
      <w:pPr>
        <w:pStyle w:val="ListBullet"/>
      </w:pPr>
      <w:r>
        <w:rPr>
          <w:sz w:val="21"/>
        </w:rPr>
        <w:t>Financial Year Defaults</w:t>
      </w:r>
    </w:p>
    <w:p>
      <w:pPr>
        <w:pStyle w:val="Heading2"/>
      </w:pPr>
      <w:r>
        <w:t>4. Sahodaya / Tenant Management</w:t>
      </w:r>
    </w:p>
    <w:p>
      <w:pPr>
        <w:pStyle w:val="ListBullet"/>
      </w:pPr>
      <w:r>
        <w:rPr>
          <w:sz w:val="21"/>
        </w:rPr>
        <w:t>Sahodaya Code</w:t>
      </w:r>
    </w:p>
    <w:p>
      <w:pPr>
        <w:pStyle w:val="ListBullet"/>
      </w:pPr>
      <w:r>
        <w:rPr>
          <w:sz w:val="21"/>
        </w:rPr>
        <w:t>Sahodaya Name</w:t>
      </w:r>
    </w:p>
    <w:p>
      <w:pPr>
        <w:pStyle w:val="ListBullet"/>
      </w:pPr>
      <w:r>
        <w:rPr>
          <w:sz w:val="21"/>
        </w:rPr>
        <w:t>State Mapping</w:t>
      </w:r>
    </w:p>
    <w:p>
      <w:pPr>
        <w:pStyle w:val="ListBullet"/>
      </w:pPr>
      <w:r>
        <w:rPr>
          <w:sz w:val="21"/>
        </w:rPr>
        <w:t>Region Enable/Disable</w:t>
      </w:r>
    </w:p>
    <w:p>
      <w:pPr>
        <w:pStyle w:val="ListBullet"/>
      </w:pPr>
      <w:r>
        <w:rPr>
          <w:sz w:val="21"/>
        </w:rPr>
        <w:t>Branding</w:t>
      </w:r>
    </w:p>
    <w:p>
      <w:pPr>
        <w:pStyle w:val="ListBullet"/>
      </w:pPr>
      <w:r>
        <w:rPr>
          <w:sz w:val="21"/>
        </w:rPr>
        <w:t>Bank Details</w:t>
      </w:r>
    </w:p>
    <w:p>
      <w:pPr>
        <w:pStyle w:val="ListBullet"/>
      </w:pPr>
      <w:r>
        <w:rPr>
          <w:sz w:val="21"/>
        </w:rPr>
        <w:t>Email Settings</w:t>
      </w:r>
    </w:p>
    <w:p>
      <w:pPr>
        <w:pStyle w:val="ListBullet"/>
      </w:pPr>
      <w:r>
        <w:rPr>
          <w:sz w:val="21"/>
        </w:rPr>
        <w:t>Payment Gateway Settings</w:t>
      </w:r>
    </w:p>
    <w:p>
      <w:pPr>
        <w:pStyle w:val="ListBullet"/>
      </w:pPr>
      <w:r>
        <w:rPr>
          <w:sz w:val="21"/>
        </w:rPr>
        <w:t>Status (Active/Suspended/Archived)</w:t>
      </w:r>
    </w:p>
    <w:p>
      <w:pPr>
        <w:pStyle w:val="Heading2"/>
      </w:pPr>
      <w:r>
        <w:t>5. Tenant Setup Wizard</w:t>
      </w:r>
    </w:p>
    <w:p>
      <w:pPr>
        <w:pStyle w:val="ListBullet"/>
      </w:pPr>
      <w:r>
        <w:rPr>
          <w:sz w:val="21"/>
        </w:rPr>
        <w:t>Create Tenant</w:t>
      </w:r>
    </w:p>
    <w:p>
      <w:pPr>
        <w:pStyle w:val="ListBullet"/>
      </w:pPr>
      <w:r>
        <w:rPr>
          <w:sz w:val="21"/>
        </w:rPr>
        <w:t>Assign State</w:t>
      </w:r>
    </w:p>
    <w:p>
      <w:pPr>
        <w:pStyle w:val="ListBullet"/>
      </w:pPr>
      <w:r>
        <w:rPr>
          <w:sz w:val="21"/>
        </w:rPr>
        <w:t>Academic &amp; Financial Year Setup</w:t>
      </w:r>
    </w:p>
    <w:p>
      <w:pPr>
        <w:pStyle w:val="ListBullet"/>
      </w:pPr>
      <w:r>
        <w:rPr>
          <w:sz w:val="21"/>
        </w:rPr>
        <w:t>Configure Number Formats</w:t>
      </w:r>
    </w:p>
    <w:p>
      <w:pPr>
        <w:pStyle w:val="ListBullet"/>
      </w:pPr>
      <w:r>
        <w:rPr>
          <w:sz w:val="21"/>
        </w:rPr>
        <w:t>Branding</w:t>
      </w:r>
    </w:p>
    <w:p>
      <w:pPr>
        <w:pStyle w:val="ListBullet"/>
      </w:pPr>
      <w:r>
        <w:rPr>
          <w:sz w:val="21"/>
        </w:rPr>
        <w:t>Finance</w:t>
      </w:r>
    </w:p>
    <w:p>
      <w:pPr>
        <w:pStyle w:val="ListBullet"/>
      </w:pPr>
      <w:r>
        <w:rPr>
          <w:sz w:val="21"/>
        </w:rPr>
        <w:t>Email</w:t>
      </w:r>
    </w:p>
    <w:p>
      <w:pPr>
        <w:pStyle w:val="ListBullet"/>
      </w:pPr>
      <w:r>
        <w:rPr>
          <w:sz w:val="21"/>
        </w:rPr>
        <w:t>Features</w:t>
      </w:r>
    </w:p>
    <w:p>
      <w:pPr>
        <w:pStyle w:val="ListBullet"/>
      </w:pPr>
      <w:r>
        <w:rPr>
          <w:sz w:val="21"/>
        </w:rPr>
        <w:t>Create Default Admin Users</w:t>
      </w:r>
    </w:p>
    <w:p>
      <w:pPr>
        <w:pStyle w:val="ListBullet"/>
      </w:pPr>
      <w:r>
        <w:rPr>
          <w:sz w:val="21"/>
        </w:rPr>
        <w:t>Completion Checklist</w:t>
      </w:r>
    </w:p>
    <w:p>
      <w:pPr>
        <w:pStyle w:val="Heading2"/>
      </w:pPr>
      <w:r>
        <w:t>6. Academic &amp; Financial Year</w:t>
      </w:r>
    </w:p>
    <w:p>
      <w:pPr>
        <w:pStyle w:val="ListBullet"/>
      </w:pPr>
      <w:r>
        <w:rPr>
          <w:sz w:val="21"/>
        </w:rPr>
        <w:t>Create/Clone Academic Year</w:t>
      </w:r>
    </w:p>
    <w:p>
      <w:pPr>
        <w:pStyle w:val="ListBullet"/>
      </w:pPr>
      <w:r>
        <w:rPr>
          <w:sz w:val="21"/>
        </w:rPr>
        <w:t>Archive Previous Year</w:t>
      </w:r>
    </w:p>
    <w:p>
      <w:pPr>
        <w:pStyle w:val="ListBullet"/>
      </w:pPr>
      <w:r>
        <w:rPr>
          <w:sz w:val="21"/>
        </w:rPr>
        <w:t>Activate New Year</w:t>
      </w:r>
    </w:p>
    <w:p>
      <w:pPr>
        <w:pStyle w:val="ListBullet"/>
      </w:pPr>
      <w:r>
        <w:rPr>
          <w:sz w:val="21"/>
        </w:rPr>
        <w:t>Lock Academic Year</w:t>
      </w:r>
    </w:p>
    <w:p>
      <w:pPr>
        <w:pStyle w:val="ListBullet"/>
      </w:pPr>
      <w:r>
        <w:rPr>
          <w:sz w:val="21"/>
        </w:rPr>
        <w:t>Open/Close Financial Year</w:t>
      </w:r>
    </w:p>
    <w:p>
      <w:pPr>
        <w:pStyle w:val="ListBullet"/>
      </w:pPr>
      <w:r>
        <w:rPr>
          <w:sz w:val="21"/>
        </w:rPr>
        <w:t>Carry Forward Configurations</w:t>
      </w:r>
    </w:p>
    <w:p>
      <w:pPr>
        <w:pStyle w:val="Heading2"/>
      </w:pPr>
      <w:r>
        <w:t>7. Global Configuration</w:t>
      </w:r>
    </w:p>
    <w:p>
      <w:pPr>
        <w:pStyle w:val="ListBullet"/>
      </w:pPr>
      <w:r>
        <w:rPr>
          <w:sz w:val="21"/>
        </w:rPr>
        <w:t>Default Masters</w:t>
      </w:r>
    </w:p>
    <w:p>
      <w:pPr>
        <w:pStyle w:val="ListBullet"/>
      </w:pPr>
      <w:r>
        <w:rPr>
          <w:sz w:val="21"/>
        </w:rPr>
        <w:t>Role Templates</w:t>
      </w:r>
    </w:p>
    <w:p>
      <w:pPr>
        <w:pStyle w:val="ListBullet"/>
      </w:pPr>
      <w:r>
        <w:rPr>
          <w:sz w:val="21"/>
        </w:rPr>
        <w:t>Permission Templates</w:t>
      </w:r>
    </w:p>
    <w:p>
      <w:pPr>
        <w:pStyle w:val="ListBullet"/>
      </w:pPr>
      <w:r>
        <w:rPr>
          <w:sz w:val="21"/>
        </w:rPr>
        <w:t>Numbering Rules</w:t>
      </w:r>
    </w:p>
    <w:p>
      <w:pPr>
        <w:pStyle w:val="ListBullet"/>
      </w:pPr>
      <w:r>
        <w:rPr>
          <w:sz w:val="21"/>
        </w:rPr>
        <w:t>Verification Code Rules</w:t>
      </w:r>
    </w:p>
    <w:p>
      <w:pPr>
        <w:pStyle w:val="ListBullet"/>
      </w:pPr>
      <w:r>
        <w:rPr>
          <w:sz w:val="21"/>
        </w:rPr>
        <w:t>Default Notification Templates</w:t>
      </w:r>
    </w:p>
    <w:p>
      <w:pPr>
        <w:pStyle w:val="ListBullet"/>
      </w:pPr>
      <w:r>
        <w:rPr>
          <w:sz w:val="21"/>
        </w:rPr>
        <w:t>Default Document Templates</w:t>
      </w:r>
    </w:p>
    <w:p>
      <w:pPr>
        <w:pStyle w:val="Heading2"/>
      </w:pPr>
      <w:r>
        <w:t>8. Branding &amp; Themes</w:t>
      </w:r>
    </w:p>
    <w:p>
      <w:pPr>
        <w:pStyle w:val="ListBullet"/>
      </w:pPr>
      <w:r>
        <w:rPr>
          <w:sz w:val="21"/>
        </w:rPr>
        <w:t>Logo</w:t>
      </w:r>
    </w:p>
    <w:p>
      <w:pPr>
        <w:pStyle w:val="ListBullet"/>
      </w:pPr>
      <w:r>
        <w:rPr>
          <w:sz w:val="21"/>
        </w:rPr>
        <w:t>Portal Theme</w:t>
      </w:r>
    </w:p>
    <w:p>
      <w:pPr>
        <w:pStyle w:val="ListBullet"/>
      </w:pPr>
      <w:r>
        <w:rPr>
          <w:sz w:val="21"/>
        </w:rPr>
        <w:t>Login Background</w:t>
      </w:r>
    </w:p>
    <w:p>
      <w:pPr>
        <w:pStyle w:val="ListBullet"/>
      </w:pPr>
      <w:r>
        <w:rPr>
          <w:sz w:val="21"/>
        </w:rPr>
        <w:t>Letterhead</w:t>
      </w:r>
    </w:p>
    <w:p>
      <w:pPr>
        <w:pStyle w:val="ListBullet"/>
      </w:pPr>
      <w:r>
        <w:rPr>
          <w:sz w:val="21"/>
        </w:rPr>
        <w:t>Certificate Branding</w:t>
      </w:r>
    </w:p>
    <w:p>
      <w:pPr>
        <w:pStyle w:val="ListBullet"/>
      </w:pPr>
      <w:r>
        <w:rPr>
          <w:sz w:val="21"/>
        </w:rPr>
        <w:t>Hall Ticket Branding</w:t>
      </w:r>
    </w:p>
    <w:p>
      <w:pPr>
        <w:pStyle w:val="ListBullet"/>
      </w:pPr>
      <w:r>
        <w:rPr>
          <w:sz w:val="21"/>
        </w:rPr>
        <w:t>Receipt Branding</w:t>
      </w:r>
    </w:p>
    <w:p>
      <w:pPr>
        <w:pStyle w:val="ListBullet"/>
      </w:pPr>
      <w:r>
        <w:rPr>
          <w:sz w:val="21"/>
        </w:rPr>
        <w:t>Watermarks</w:t>
      </w:r>
    </w:p>
    <w:p>
      <w:pPr>
        <w:pStyle w:val="Heading2"/>
      </w:pPr>
      <w:r>
        <w:t>9. Licensing &amp; Subscription</w:t>
      </w:r>
    </w:p>
    <w:p>
      <w:pPr>
        <w:pStyle w:val="ListBullet"/>
      </w:pPr>
      <w:r>
        <w:rPr>
          <w:sz w:val="21"/>
        </w:rPr>
        <w:t>Trial</w:t>
      </w:r>
    </w:p>
    <w:p>
      <w:pPr>
        <w:pStyle w:val="ListBullet"/>
      </w:pPr>
      <w:r>
        <w:rPr>
          <w:sz w:val="21"/>
        </w:rPr>
        <w:t>Annual</w:t>
      </w:r>
    </w:p>
    <w:p>
      <w:pPr>
        <w:pStyle w:val="ListBullet"/>
      </w:pPr>
      <w:r>
        <w:rPr>
          <w:sz w:val="21"/>
        </w:rPr>
        <w:t>Lifetime</w:t>
      </w:r>
    </w:p>
    <w:p>
      <w:pPr>
        <w:pStyle w:val="ListBullet"/>
      </w:pPr>
      <w:r>
        <w:rPr>
          <w:sz w:val="21"/>
        </w:rPr>
        <w:t>Module-wise Licensing</w:t>
      </w:r>
    </w:p>
    <w:p>
      <w:pPr>
        <w:pStyle w:val="ListBullet"/>
      </w:pPr>
      <w:r>
        <w:rPr>
          <w:sz w:val="21"/>
        </w:rPr>
        <w:t>School Limits</w:t>
      </w:r>
    </w:p>
    <w:p>
      <w:pPr>
        <w:pStyle w:val="ListBullet"/>
      </w:pPr>
      <w:r>
        <w:rPr>
          <w:sz w:val="21"/>
        </w:rPr>
        <w:t>Student Limits</w:t>
      </w:r>
    </w:p>
    <w:p>
      <w:pPr>
        <w:pStyle w:val="ListBullet"/>
      </w:pPr>
      <w:r>
        <w:rPr>
          <w:sz w:val="21"/>
        </w:rPr>
        <w:t>Storage Limits</w:t>
      </w:r>
    </w:p>
    <w:p>
      <w:pPr>
        <w:pStyle w:val="ListBullet"/>
      </w:pPr>
      <w:r>
        <w:rPr>
          <w:sz w:val="21"/>
        </w:rPr>
        <w:t>API Limits</w:t>
      </w:r>
    </w:p>
    <w:p>
      <w:pPr>
        <w:pStyle w:val="ListBullet"/>
      </w:pPr>
      <w:r>
        <w:rPr>
          <w:sz w:val="21"/>
        </w:rPr>
        <w:t>Renewal</w:t>
      </w:r>
    </w:p>
    <w:p>
      <w:pPr>
        <w:pStyle w:val="ListBullet"/>
      </w:pPr>
      <w:r>
        <w:rPr>
          <w:sz w:val="21"/>
        </w:rPr>
        <w:t>Grace Period</w:t>
      </w:r>
    </w:p>
    <w:p>
      <w:pPr>
        <w:pStyle w:val="ListBullet"/>
      </w:pPr>
      <w:r>
        <w:rPr>
          <w:sz w:val="21"/>
        </w:rPr>
        <w:t>Suspension</w:t>
      </w:r>
    </w:p>
    <w:p>
      <w:pPr>
        <w:pStyle w:val="Heading2"/>
      </w:pPr>
      <w:r>
        <w:t>10. Feature Management</w:t>
      </w:r>
    </w:p>
    <w:p>
      <w:pPr>
        <w:pStyle w:val="ListBullet"/>
      </w:pPr>
      <w:r>
        <w:rPr>
          <w:sz w:val="21"/>
        </w:rPr>
        <w:t>Enable/Disable Modules</w:t>
      </w:r>
    </w:p>
    <w:p>
      <w:pPr>
        <w:pStyle w:val="ListBullet"/>
      </w:pPr>
      <w:r>
        <w:rPr>
          <w:sz w:val="21"/>
        </w:rPr>
        <w:t>Region Support</w:t>
      </w:r>
    </w:p>
    <w:p>
      <w:pPr>
        <w:pStyle w:val="ListBullet"/>
      </w:pPr>
      <w:r>
        <w:rPr>
          <w:sz w:val="21"/>
        </w:rPr>
        <w:t>Student Portal</w:t>
      </w:r>
    </w:p>
    <w:p>
      <w:pPr>
        <w:pStyle w:val="ListBullet"/>
      </w:pPr>
      <w:r>
        <w:rPr>
          <w:sz w:val="21"/>
        </w:rPr>
        <w:t>Teacher Portal</w:t>
      </w:r>
    </w:p>
    <w:p>
      <w:pPr>
        <w:pStyle w:val="ListBullet"/>
      </w:pPr>
      <w:r>
        <w:rPr>
          <w:sz w:val="21"/>
        </w:rPr>
        <w:t>Public Verification</w:t>
      </w:r>
    </w:p>
    <w:p>
      <w:pPr>
        <w:pStyle w:val="ListBullet"/>
      </w:pPr>
      <w:r>
        <w:rPr>
          <w:sz w:val="21"/>
        </w:rPr>
        <w:t>QR Verification</w:t>
      </w:r>
    </w:p>
    <w:p>
      <w:pPr>
        <w:pStyle w:val="ListBullet"/>
      </w:pPr>
      <w:r>
        <w:rPr>
          <w:sz w:val="21"/>
        </w:rPr>
        <w:t>API Access</w:t>
      </w:r>
    </w:p>
    <w:p>
      <w:pPr>
        <w:pStyle w:val="ListBullet"/>
      </w:pPr>
      <w:r>
        <w:rPr>
          <w:sz w:val="21"/>
        </w:rPr>
        <w:t>Feature Flags</w:t>
      </w:r>
    </w:p>
    <w:p>
      <w:pPr>
        <w:pStyle w:val="Heading2"/>
      </w:pPr>
      <w:r>
        <w:t>11. Monitoring &amp; Health</w:t>
      </w:r>
    </w:p>
    <w:p>
      <w:pPr>
        <w:pStyle w:val="ListBullet"/>
      </w:pPr>
      <w:r>
        <w:rPr>
          <w:sz w:val="21"/>
        </w:rPr>
        <w:t>Concurrent Users</w:t>
      </w:r>
    </w:p>
    <w:p>
      <w:pPr>
        <w:pStyle w:val="ListBullet"/>
      </w:pPr>
      <w:r>
        <w:rPr>
          <w:sz w:val="21"/>
        </w:rPr>
        <w:t>Storage</w:t>
      </w:r>
    </w:p>
    <w:p>
      <w:pPr>
        <w:pStyle w:val="ListBullet"/>
      </w:pPr>
      <w:r>
        <w:rPr>
          <w:sz w:val="21"/>
        </w:rPr>
        <w:t>Database Size</w:t>
      </w:r>
    </w:p>
    <w:p>
      <w:pPr>
        <w:pStyle w:val="ListBullet"/>
      </w:pPr>
      <w:r>
        <w:rPr>
          <w:sz w:val="21"/>
        </w:rPr>
        <w:t>Email Queue</w:t>
      </w:r>
    </w:p>
    <w:p>
      <w:pPr>
        <w:pStyle w:val="ListBullet"/>
      </w:pPr>
      <w:r>
        <w:rPr>
          <w:sz w:val="21"/>
        </w:rPr>
        <w:t>Job Queue</w:t>
      </w:r>
    </w:p>
    <w:p>
      <w:pPr>
        <w:pStyle w:val="ListBullet"/>
      </w:pPr>
      <w:r>
        <w:rPr>
          <w:sz w:val="21"/>
        </w:rPr>
        <w:t>API Usage</w:t>
      </w:r>
    </w:p>
    <w:p>
      <w:pPr>
        <w:pStyle w:val="ListBullet"/>
      </w:pPr>
      <w:r>
        <w:rPr>
          <w:sz w:val="21"/>
        </w:rPr>
        <w:t>Payment Gateway Health</w:t>
      </w:r>
    </w:p>
    <w:p>
      <w:pPr>
        <w:pStyle w:val="ListBullet"/>
      </w:pPr>
      <w:r>
        <w:rPr>
          <w:sz w:val="21"/>
        </w:rPr>
        <w:t>Failed Jobs</w:t>
      </w:r>
    </w:p>
    <w:p>
      <w:pPr>
        <w:pStyle w:val="ListBullet"/>
      </w:pPr>
      <w:r>
        <w:rPr>
          <w:sz w:val="21"/>
        </w:rPr>
        <w:t>Backup Status</w:t>
      </w:r>
    </w:p>
    <w:p>
      <w:pPr>
        <w:pStyle w:val="Heading2"/>
      </w:pPr>
      <w:r>
        <w:t>12. Backup &amp; Recovery</w:t>
      </w:r>
    </w:p>
    <w:p>
      <w:pPr>
        <w:pStyle w:val="ListBullet"/>
      </w:pPr>
      <w:r>
        <w:rPr>
          <w:sz w:val="21"/>
        </w:rPr>
        <w:t>Automatic Backup</w:t>
      </w:r>
    </w:p>
    <w:p>
      <w:pPr>
        <w:pStyle w:val="ListBullet"/>
      </w:pPr>
      <w:r>
        <w:rPr>
          <w:sz w:val="21"/>
        </w:rPr>
        <w:t>Manual Backup</w:t>
      </w:r>
    </w:p>
    <w:p>
      <w:pPr>
        <w:pStyle w:val="ListBullet"/>
      </w:pPr>
      <w:r>
        <w:rPr>
          <w:sz w:val="21"/>
        </w:rPr>
        <w:t>Restore</w:t>
      </w:r>
    </w:p>
    <w:p>
      <w:pPr>
        <w:pStyle w:val="ListBullet"/>
      </w:pPr>
      <w:r>
        <w:rPr>
          <w:sz w:val="21"/>
        </w:rPr>
        <w:t>Backup Verification</w:t>
      </w:r>
    </w:p>
    <w:p>
      <w:pPr>
        <w:pStyle w:val="ListBullet"/>
      </w:pPr>
      <w:r>
        <w:rPr>
          <w:sz w:val="21"/>
        </w:rPr>
        <w:t>Backup Logs</w:t>
      </w:r>
    </w:p>
    <w:p>
      <w:pPr>
        <w:pStyle w:val="ListBullet"/>
      </w:pPr>
      <w:r>
        <w:rPr>
          <w:sz w:val="21"/>
        </w:rPr>
        <w:t>Disaster Recovery Guidelines</w:t>
      </w:r>
    </w:p>
    <w:p>
      <w:pPr>
        <w:pStyle w:val="Heading2"/>
      </w:pPr>
      <w:r>
        <w:t>13. Security Utilities</w:t>
      </w:r>
    </w:p>
    <w:p>
      <w:pPr>
        <w:pStyle w:val="ListBullet"/>
      </w:pPr>
      <w:r>
        <w:rPr>
          <w:sz w:val="21"/>
        </w:rPr>
        <w:t>Impersonate Sahodaya/School (Audited)</w:t>
      </w:r>
    </w:p>
    <w:p>
      <w:pPr>
        <w:pStyle w:val="ListBullet"/>
      </w:pPr>
      <w:r>
        <w:rPr>
          <w:sz w:val="21"/>
        </w:rPr>
        <w:t>Unlock Accounts</w:t>
      </w:r>
    </w:p>
    <w:p>
      <w:pPr>
        <w:pStyle w:val="ListBullet"/>
      </w:pPr>
      <w:r>
        <w:rPr>
          <w:sz w:val="21"/>
        </w:rPr>
        <w:t>Reset Passwords</w:t>
      </w:r>
    </w:p>
    <w:p>
      <w:pPr>
        <w:pStyle w:val="ListBullet"/>
      </w:pPr>
      <w:r>
        <w:rPr>
          <w:sz w:val="21"/>
        </w:rPr>
        <w:t>Force Logout</w:t>
      </w:r>
    </w:p>
    <w:p>
      <w:pPr>
        <w:pStyle w:val="ListBullet"/>
      </w:pPr>
      <w:r>
        <w:rPr>
          <w:sz w:val="21"/>
        </w:rPr>
        <w:t>Maintenance Mode</w:t>
      </w:r>
    </w:p>
    <w:p>
      <w:pPr>
        <w:pStyle w:val="ListBullet"/>
      </w:pPr>
      <w:r>
        <w:rPr>
          <w:sz w:val="21"/>
        </w:rPr>
        <w:t>Platform Announcements</w:t>
      </w:r>
    </w:p>
    <w:p>
      <w:pPr>
        <w:pStyle w:val="Heading2"/>
      </w:pPr>
      <w:r>
        <w:t>14. Audit &amp; Reports</w:t>
      </w:r>
    </w:p>
    <w:p>
      <w:pPr>
        <w:pStyle w:val="ListBullet"/>
      </w:pPr>
      <w:r>
        <w:rPr>
          <w:sz w:val="21"/>
        </w:rPr>
        <w:t>Tenant Audit</w:t>
      </w:r>
    </w:p>
    <w:p>
      <w:pPr>
        <w:pStyle w:val="ListBullet"/>
      </w:pPr>
      <w:r>
        <w:rPr>
          <w:sz w:val="21"/>
        </w:rPr>
        <w:t>Configuration Changes</w:t>
      </w:r>
    </w:p>
    <w:p>
      <w:pPr>
        <w:pStyle w:val="ListBullet"/>
      </w:pPr>
      <w:r>
        <w:rPr>
          <w:sz w:val="21"/>
        </w:rPr>
        <w:t>License Report</w:t>
      </w:r>
    </w:p>
    <w:p>
      <w:pPr>
        <w:pStyle w:val="ListBullet"/>
      </w:pPr>
      <w:r>
        <w:rPr>
          <w:sz w:val="21"/>
        </w:rPr>
        <w:t>Usage Report</w:t>
      </w:r>
    </w:p>
    <w:p>
      <w:pPr>
        <w:pStyle w:val="ListBullet"/>
      </w:pPr>
      <w:r>
        <w:rPr>
          <w:sz w:val="21"/>
        </w:rPr>
        <w:t>Storage Report</w:t>
      </w:r>
    </w:p>
    <w:p>
      <w:pPr>
        <w:pStyle w:val="ListBullet"/>
      </w:pPr>
      <w:r>
        <w:rPr>
          <w:sz w:val="21"/>
        </w:rPr>
        <w:t>API Usage</w:t>
      </w:r>
    </w:p>
    <w:p>
      <w:pPr>
        <w:pStyle w:val="ListBullet"/>
      </w:pPr>
      <w:r>
        <w:rPr>
          <w:sz w:val="21"/>
        </w:rPr>
        <w:t>Backup Report</w:t>
      </w:r>
    </w:p>
    <w:p>
      <w:pPr>
        <w:pStyle w:val="ListBullet"/>
      </w:pPr>
      <w:r>
        <w:rPr>
          <w:sz w:val="21"/>
        </w:rPr>
        <w:t>System Activity</w:t>
      </w:r>
    </w:p>
    <w:p>
      <w:pPr>
        <w:pStyle w:val="Heading2"/>
      </w:pPr>
      <w:r>
        <w:t>15. Business Rules</w:t>
      </w:r>
    </w:p>
    <w:p>
      <w:pPr>
        <w:pStyle w:val="ListBullet"/>
      </w:pPr>
      <w:r>
        <w:rPr>
          <w:sz w:val="21"/>
        </w:rPr>
        <w:t>Each tenant is logically isolated.</w:t>
      </w:r>
    </w:p>
    <w:p>
      <w:pPr>
        <w:pStyle w:val="ListBullet"/>
      </w:pPr>
      <w:r>
        <w:rPr>
          <w:sz w:val="21"/>
        </w:rPr>
        <w:t>All platform actions are audited.</w:t>
      </w:r>
    </w:p>
    <w:p>
      <w:pPr>
        <w:pStyle w:val="ListBullet"/>
      </w:pPr>
      <w:r>
        <w:rPr>
          <w:sz w:val="21"/>
        </w:rPr>
        <w:t>Configuration cloning is optional and traceable.</w:t>
      </w:r>
    </w:p>
    <w:p>
      <w:pPr>
        <w:pStyle w:val="ListBullet"/>
      </w:pPr>
      <w:r>
        <w:rPr>
          <w:sz w:val="21"/>
        </w:rPr>
        <w:t>Support access through impersonation must always be logged.</w:t>
      </w:r>
    </w:p>
    <w:p>
      <w:pPr>
        <w:pStyle w:val="ListBullet"/>
      </w:pPr>
      <w:r>
        <w:rPr>
          <w:sz w:val="21"/>
        </w:rPr>
        <w:t>Academic and financial year settings are maintained per tenant.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