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FRD-16 – Shared Masters &amp; Configuration Engine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Module Purpose</w:t>
      </w:r>
    </w:p>
    <w:p>
      <w:pPr>
        <w:pStyle w:val="ListBullet"/>
      </w:pPr>
      <w:r>
        <w:rPr>
          <w:sz w:val="21"/>
        </w:rPr>
        <w:t>Provide centralized master data and configuration shared by all modules.</w:t>
      </w:r>
    </w:p>
    <w:p>
      <w:pPr>
        <w:pStyle w:val="ListBullet"/>
      </w:pPr>
      <w:r>
        <w:rPr>
          <w:sz w:val="21"/>
        </w:rPr>
        <w:t>Reduce duplication and maintain consistency across the platform.</w:t>
      </w:r>
    </w:p>
    <w:p>
      <w:pPr>
        <w:pStyle w:val="Heading2"/>
      </w:pPr>
      <w:r>
        <w:t>2. Academic Configuration</w:t>
      </w:r>
    </w:p>
    <w:p>
      <w:pPr>
        <w:pStyle w:val="ListBullet"/>
      </w:pPr>
      <w:r>
        <w:rPr>
          <w:sz w:val="21"/>
        </w:rPr>
        <w:t>Academic Year</w:t>
      </w:r>
    </w:p>
    <w:p>
      <w:pPr>
        <w:pStyle w:val="ListBullet"/>
      </w:pPr>
      <w:r>
        <w:rPr>
          <w:sz w:val="21"/>
        </w:rPr>
        <w:t>Financial Year</w:t>
      </w:r>
    </w:p>
    <w:p>
      <w:pPr>
        <w:pStyle w:val="ListBullet"/>
      </w:pPr>
      <w:r>
        <w:rPr>
          <w:sz w:val="21"/>
        </w:rPr>
        <w:t>Academic Year Wizard</w:t>
      </w:r>
    </w:p>
    <w:p>
      <w:pPr>
        <w:pStyle w:val="ListBullet"/>
      </w:pPr>
      <w:r>
        <w:rPr>
          <w:sz w:val="21"/>
        </w:rPr>
        <w:t>Clone Previous Year</w:t>
      </w:r>
    </w:p>
    <w:p>
      <w:pPr>
        <w:pStyle w:val="ListBullet"/>
      </w:pPr>
      <w:r>
        <w:rPr>
          <w:sz w:val="21"/>
        </w:rPr>
        <w:t>Archive Previous Year</w:t>
      </w:r>
    </w:p>
    <w:p>
      <w:pPr>
        <w:pStyle w:val="ListBullet"/>
      </w:pPr>
      <w:r>
        <w:rPr>
          <w:sz w:val="21"/>
        </w:rPr>
        <w:t>Active Year Management</w:t>
      </w:r>
    </w:p>
    <w:p>
      <w:pPr>
        <w:pStyle w:val="Heading2"/>
      </w:pPr>
      <w:r>
        <w:t>3. Organization Masters</w:t>
      </w:r>
    </w:p>
    <w:p>
      <w:pPr>
        <w:pStyle w:val="ListBullet"/>
      </w:pPr>
      <w:r>
        <w:rPr>
          <w:sz w:val="21"/>
        </w:rPr>
        <w:t>State Master</w:t>
      </w:r>
    </w:p>
    <w:p>
      <w:pPr>
        <w:pStyle w:val="ListBullet"/>
      </w:pPr>
      <w:r>
        <w:rPr>
          <w:sz w:val="21"/>
        </w:rPr>
        <w:t>Sahodaya Master</w:t>
      </w:r>
    </w:p>
    <w:p>
      <w:pPr>
        <w:pStyle w:val="ListBullet"/>
      </w:pPr>
      <w:r>
        <w:rPr>
          <w:sz w:val="21"/>
        </w:rPr>
        <w:t>Region Master (Optional)</w:t>
      </w:r>
    </w:p>
    <w:p>
      <w:pPr>
        <w:pStyle w:val="ListBullet"/>
      </w:pPr>
      <w:r>
        <w:rPr>
          <w:sz w:val="21"/>
        </w:rPr>
        <w:t>School Categories</w:t>
      </w:r>
    </w:p>
    <w:p>
      <w:pPr>
        <w:pStyle w:val="ListBullet"/>
      </w:pPr>
      <w:r>
        <w:rPr>
          <w:sz w:val="21"/>
        </w:rPr>
        <w:t>School Types</w:t>
      </w:r>
    </w:p>
    <w:p>
      <w:pPr>
        <w:pStyle w:val="Heading2"/>
      </w:pPr>
      <w:r>
        <w:t>4. Student &amp; Teacher Masters</w:t>
      </w:r>
    </w:p>
    <w:p>
      <w:pPr>
        <w:pStyle w:val="ListBullet"/>
      </w:pPr>
      <w:r>
        <w:rPr>
          <w:sz w:val="21"/>
        </w:rPr>
        <w:t>Class Master</w:t>
      </w:r>
    </w:p>
    <w:p>
      <w:pPr>
        <w:pStyle w:val="ListBullet"/>
      </w:pPr>
      <w:r>
        <w:rPr>
          <w:sz w:val="21"/>
        </w:rPr>
        <w:t>Class Category Master</w:t>
      </w:r>
    </w:p>
    <w:p>
      <w:pPr>
        <w:pStyle w:val="ListBullet"/>
      </w:pPr>
      <w:r>
        <w:rPr>
          <w:sz w:val="21"/>
        </w:rPr>
        <w:t>Subject Master</w:t>
      </w:r>
    </w:p>
    <w:p>
      <w:pPr>
        <w:pStyle w:val="ListBullet"/>
      </w:pPr>
      <w:r>
        <w:rPr>
          <w:sz w:val="21"/>
        </w:rPr>
        <w:t>Teacher Type Master</w:t>
      </w:r>
    </w:p>
    <w:p>
      <w:pPr>
        <w:pStyle w:val="ListBullet"/>
      </w:pPr>
      <w:r>
        <w:rPr>
          <w:sz w:val="21"/>
        </w:rPr>
        <w:t>Designation Master</w:t>
      </w:r>
    </w:p>
    <w:p>
      <w:pPr>
        <w:pStyle w:val="ListBullet"/>
      </w:pPr>
      <w:r>
        <w:rPr>
          <w:sz w:val="21"/>
        </w:rPr>
        <w:t>House Master (Optional)</w:t>
      </w:r>
    </w:p>
    <w:p>
      <w:pPr>
        <w:pStyle w:val="Heading2"/>
      </w:pPr>
      <w:r>
        <w:t>5. Event Masters</w:t>
      </w:r>
    </w:p>
    <w:p>
      <w:pPr>
        <w:pStyle w:val="ListBullet"/>
      </w:pPr>
      <w:r>
        <w:rPr>
          <w:sz w:val="21"/>
        </w:rPr>
        <w:t>Competition Types</w:t>
      </w:r>
    </w:p>
    <w:p>
      <w:pPr>
        <w:pStyle w:val="ListBullet"/>
      </w:pPr>
      <w:r>
        <w:rPr>
          <w:sz w:val="21"/>
        </w:rPr>
        <w:t>Sports Categories</w:t>
      </w:r>
    </w:p>
    <w:p>
      <w:pPr>
        <w:pStyle w:val="ListBullet"/>
      </w:pPr>
      <w:r>
        <w:rPr>
          <w:sz w:val="21"/>
        </w:rPr>
        <w:t>Kalotsav Categories</w:t>
      </w:r>
    </w:p>
    <w:p>
      <w:pPr>
        <w:pStyle w:val="ListBullet"/>
      </w:pPr>
      <w:r>
        <w:rPr>
          <w:sz w:val="21"/>
        </w:rPr>
        <w:t>Event Heads</w:t>
      </w:r>
    </w:p>
    <w:p>
      <w:pPr>
        <w:pStyle w:val="ListBullet"/>
      </w:pPr>
      <w:r>
        <w:rPr>
          <w:sz w:val="21"/>
        </w:rPr>
        <w:t>Item Masters</w:t>
      </w:r>
    </w:p>
    <w:p>
      <w:pPr>
        <w:pStyle w:val="ListBullet"/>
      </w:pPr>
      <w:r>
        <w:rPr>
          <w:sz w:val="21"/>
        </w:rPr>
        <w:t>Venue Masters</w:t>
      </w:r>
    </w:p>
    <w:p>
      <w:pPr>
        <w:pStyle w:val="ListBullet"/>
      </w:pPr>
      <w:r>
        <w:rPr>
          <w:sz w:val="21"/>
        </w:rPr>
        <w:t>Age Categories</w:t>
      </w:r>
    </w:p>
    <w:p>
      <w:pPr>
        <w:pStyle w:val="ListBullet"/>
      </w:pPr>
      <w:r>
        <w:rPr>
          <w:sz w:val="21"/>
        </w:rPr>
        <w:t>Gender Categories</w:t>
      </w:r>
    </w:p>
    <w:p>
      <w:pPr>
        <w:pStyle w:val="ListBullet"/>
      </w:pPr>
      <w:r>
        <w:rPr>
          <w:sz w:val="21"/>
        </w:rPr>
        <w:t>Result Types</w:t>
      </w:r>
    </w:p>
    <w:p>
      <w:pPr>
        <w:pStyle w:val="Heading2"/>
      </w:pPr>
      <w:r>
        <w:t>6. Examination Masters</w:t>
      </w:r>
    </w:p>
    <w:p>
      <w:pPr>
        <w:pStyle w:val="ListBullet"/>
      </w:pPr>
      <w:r>
        <w:rPr>
          <w:sz w:val="21"/>
        </w:rPr>
        <w:t>Exam Types</w:t>
      </w:r>
    </w:p>
    <w:p>
      <w:pPr>
        <w:pStyle w:val="ListBullet"/>
      </w:pPr>
      <w:r>
        <w:rPr>
          <w:sz w:val="21"/>
        </w:rPr>
        <w:t>Exam Levels</w:t>
      </w:r>
    </w:p>
    <w:p>
      <w:pPr>
        <w:pStyle w:val="ListBullet"/>
      </w:pPr>
      <w:r>
        <w:rPr>
          <w:sz w:val="21"/>
        </w:rPr>
        <w:t>Eligibility Types</w:t>
      </w:r>
    </w:p>
    <w:p>
      <w:pPr>
        <w:pStyle w:val="ListBullet"/>
      </w:pPr>
      <w:r>
        <w:rPr>
          <w:sz w:val="21"/>
        </w:rPr>
        <w:t>Attendance Status</w:t>
      </w:r>
    </w:p>
    <w:p>
      <w:pPr>
        <w:pStyle w:val="ListBullet"/>
      </w:pPr>
      <w:r>
        <w:rPr>
          <w:sz w:val="21"/>
        </w:rPr>
        <w:t>Marking Schemes</w:t>
      </w:r>
    </w:p>
    <w:p>
      <w:pPr>
        <w:pStyle w:val="ListBullet"/>
      </w:pPr>
      <w:r>
        <w:rPr>
          <w:sz w:val="21"/>
        </w:rPr>
        <w:t>Grade Masters</w:t>
      </w:r>
    </w:p>
    <w:p>
      <w:pPr>
        <w:pStyle w:val="Heading2"/>
      </w:pPr>
      <w:r>
        <w:t>7. Finance Masters</w:t>
      </w:r>
    </w:p>
    <w:p>
      <w:pPr>
        <w:pStyle w:val="ListBullet"/>
      </w:pPr>
      <w:r>
        <w:rPr>
          <w:sz w:val="21"/>
        </w:rPr>
        <w:t>Charge Types</w:t>
      </w:r>
    </w:p>
    <w:p>
      <w:pPr>
        <w:pStyle w:val="ListBullet"/>
      </w:pPr>
      <w:r>
        <w:rPr>
          <w:sz w:val="21"/>
        </w:rPr>
        <w:t>Fee Types</w:t>
      </w:r>
    </w:p>
    <w:p>
      <w:pPr>
        <w:pStyle w:val="ListBullet"/>
      </w:pPr>
      <w:r>
        <w:rPr>
          <w:sz w:val="21"/>
        </w:rPr>
        <w:t>Payment Modes</w:t>
      </w:r>
    </w:p>
    <w:p>
      <w:pPr>
        <w:pStyle w:val="ListBullet"/>
      </w:pPr>
      <w:r>
        <w:rPr>
          <w:sz w:val="21"/>
        </w:rPr>
        <w:t>Bank Master</w:t>
      </w:r>
    </w:p>
    <w:p>
      <w:pPr>
        <w:pStyle w:val="ListBullet"/>
      </w:pPr>
      <w:r>
        <w:rPr>
          <w:sz w:val="21"/>
        </w:rPr>
        <w:t>Tax Settings</w:t>
      </w:r>
    </w:p>
    <w:p>
      <w:pPr>
        <w:pStyle w:val="ListBullet"/>
      </w:pPr>
      <w:r>
        <w:rPr>
          <w:sz w:val="21"/>
        </w:rPr>
        <w:t>Voucher Types</w:t>
      </w:r>
    </w:p>
    <w:p>
      <w:pPr>
        <w:pStyle w:val="Heading2"/>
      </w:pPr>
      <w:r>
        <w:t>8. Workflow Masters</w:t>
      </w:r>
    </w:p>
    <w:p>
      <w:pPr>
        <w:pStyle w:val="ListBullet"/>
      </w:pPr>
      <w:r>
        <w:rPr>
          <w:sz w:val="21"/>
        </w:rPr>
        <w:t>Approval Status</w:t>
      </w:r>
    </w:p>
    <w:p>
      <w:pPr>
        <w:pStyle w:val="ListBullet"/>
      </w:pPr>
      <w:r>
        <w:rPr>
          <w:sz w:val="21"/>
        </w:rPr>
        <w:t>Verification Status</w:t>
      </w:r>
    </w:p>
    <w:p>
      <w:pPr>
        <w:pStyle w:val="ListBullet"/>
      </w:pPr>
      <w:r>
        <w:rPr>
          <w:sz w:val="21"/>
        </w:rPr>
        <w:t>Appeal Status</w:t>
      </w:r>
    </w:p>
    <w:p>
      <w:pPr>
        <w:pStyle w:val="ListBullet"/>
      </w:pPr>
      <w:r>
        <w:rPr>
          <w:sz w:val="21"/>
        </w:rPr>
        <w:t>Workflow Stages</w:t>
      </w:r>
    </w:p>
    <w:p>
      <w:pPr>
        <w:pStyle w:val="ListBullet"/>
      </w:pPr>
      <w:r>
        <w:rPr>
          <w:sz w:val="21"/>
        </w:rPr>
        <w:t>Priority Levels</w:t>
      </w:r>
    </w:p>
    <w:p>
      <w:pPr>
        <w:pStyle w:val="Heading2"/>
      </w:pPr>
      <w:r>
        <w:t>9. Document Masters</w:t>
      </w:r>
    </w:p>
    <w:p>
      <w:pPr>
        <w:pStyle w:val="ListBullet"/>
      </w:pPr>
      <w:r>
        <w:rPr>
          <w:sz w:val="21"/>
        </w:rPr>
        <w:t>Numbering Rules</w:t>
      </w:r>
    </w:p>
    <w:p>
      <w:pPr>
        <w:pStyle w:val="ListBullet"/>
      </w:pPr>
      <w:r>
        <w:rPr>
          <w:sz w:val="21"/>
        </w:rPr>
        <w:t>Verification Code Rules</w:t>
      </w:r>
    </w:p>
    <w:p>
      <w:pPr>
        <w:pStyle w:val="ListBullet"/>
      </w:pPr>
      <w:r>
        <w:rPr>
          <w:sz w:val="21"/>
        </w:rPr>
        <w:t>Document Categories</w:t>
      </w:r>
    </w:p>
    <w:p>
      <w:pPr>
        <w:pStyle w:val="ListBullet"/>
      </w:pPr>
      <w:r>
        <w:rPr>
          <w:sz w:val="21"/>
        </w:rPr>
        <w:t>Certificate Types</w:t>
      </w:r>
    </w:p>
    <w:p>
      <w:pPr>
        <w:pStyle w:val="ListBullet"/>
      </w:pPr>
      <w:r>
        <w:rPr>
          <w:sz w:val="21"/>
        </w:rPr>
        <w:t>Template Categories</w:t>
      </w:r>
    </w:p>
    <w:p>
      <w:pPr>
        <w:pStyle w:val="Heading2"/>
      </w:pPr>
      <w:r>
        <w:t>10. Notification Masters</w:t>
      </w:r>
    </w:p>
    <w:p>
      <w:pPr>
        <w:pStyle w:val="ListBullet"/>
      </w:pPr>
      <w:r>
        <w:rPr>
          <w:sz w:val="21"/>
        </w:rPr>
        <w:t>Notification Categories</w:t>
      </w:r>
    </w:p>
    <w:p>
      <w:pPr>
        <w:pStyle w:val="ListBullet"/>
      </w:pPr>
      <w:r>
        <w:rPr>
          <w:sz w:val="21"/>
        </w:rPr>
        <w:t>Template Categories</w:t>
      </w:r>
    </w:p>
    <w:p>
      <w:pPr>
        <w:pStyle w:val="ListBullet"/>
      </w:pPr>
      <w:r>
        <w:rPr>
          <w:sz w:val="21"/>
        </w:rPr>
        <w:t>Channels</w:t>
      </w:r>
    </w:p>
    <w:p>
      <w:pPr>
        <w:pStyle w:val="ListBullet"/>
      </w:pPr>
      <w:r>
        <w:rPr>
          <w:sz w:val="21"/>
        </w:rPr>
        <w:t>Priority</w:t>
      </w:r>
    </w:p>
    <w:p>
      <w:pPr>
        <w:pStyle w:val="ListBullet"/>
      </w:pPr>
      <w:r>
        <w:rPr>
          <w:sz w:val="21"/>
        </w:rPr>
        <w:t>Reminder Rules</w:t>
      </w:r>
    </w:p>
    <w:p>
      <w:pPr>
        <w:pStyle w:val="Heading2"/>
      </w:pPr>
      <w:r>
        <w:t>11. Common Lookup Masters</w:t>
      </w:r>
    </w:p>
    <w:p>
      <w:pPr>
        <w:pStyle w:val="ListBullet"/>
      </w:pPr>
      <w:r>
        <w:rPr>
          <w:sz w:val="21"/>
        </w:rPr>
        <w:t>Countries</w:t>
      </w:r>
    </w:p>
    <w:p>
      <w:pPr>
        <w:pStyle w:val="ListBullet"/>
      </w:pPr>
      <w:r>
        <w:rPr>
          <w:sz w:val="21"/>
        </w:rPr>
        <w:t>States</w:t>
      </w:r>
    </w:p>
    <w:p>
      <w:pPr>
        <w:pStyle w:val="ListBullet"/>
      </w:pPr>
      <w:r>
        <w:rPr>
          <w:sz w:val="21"/>
        </w:rPr>
        <w:t>Districts</w:t>
      </w:r>
    </w:p>
    <w:p>
      <w:pPr>
        <w:pStyle w:val="ListBullet"/>
      </w:pPr>
      <w:r>
        <w:rPr>
          <w:sz w:val="21"/>
        </w:rPr>
        <w:t>Languages (Future)</w:t>
      </w:r>
    </w:p>
    <w:p>
      <w:pPr>
        <w:pStyle w:val="ListBullet"/>
      </w:pPr>
      <w:r>
        <w:rPr>
          <w:sz w:val="21"/>
        </w:rPr>
        <w:t>Blood Groups</w:t>
      </w:r>
    </w:p>
    <w:p>
      <w:pPr>
        <w:pStyle w:val="ListBullet"/>
      </w:pPr>
      <w:r>
        <w:rPr>
          <w:sz w:val="21"/>
        </w:rPr>
        <w:t>Relationship Types</w:t>
      </w:r>
    </w:p>
    <w:p>
      <w:pPr>
        <w:pStyle w:val="ListBullet"/>
      </w:pPr>
      <w:r>
        <w:rPr>
          <w:sz w:val="21"/>
        </w:rPr>
        <w:t>Nationality</w:t>
      </w:r>
    </w:p>
    <w:p>
      <w:pPr>
        <w:pStyle w:val="Heading2"/>
      </w:pPr>
      <w:r>
        <w:t>12. Configuration Engine</w:t>
      </w:r>
    </w:p>
    <w:p>
      <w:pPr>
        <w:pStyle w:val="ListBullet"/>
      </w:pPr>
      <w:r>
        <w:rPr>
          <w:sz w:val="21"/>
        </w:rPr>
        <w:t>Global Settings</w:t>
      </w:r>
    </w:p>
    <w:p>
      <w:pPr>
        <w:pStyle w:val="ListBullet"/>
      </w:pPr>
      <w:r>
        <w:rPr>
          <w:sz w:val="21"/>
        </w:rPr>
        <w:t>Tenant Settings</w:t>
      </w:r>
    </w:p>
    <w:p>
      <w:pPr>
        <w:pStyle w:val="ListBullet"/>
      </w:pPr>
      <w:r>
        <w:rPr>
          <w:sz w:val="21"/>
        </w:rPr>
        <w:t>Module Settings</w:t>
      </w:r>
    </w:p>
    <w:p>
      <w:pPr>
        <w:pStyle w:val="ListBullet"/>
      </w:pPr>
      <w:r>
        <w:rPr>
          <w:sz w:val="21"/>
        </w:rPr>
        <w:t>Feature Flags</w:t>
      </w:r>
    </w:p>
    <w:p>
      <w:pPr>
        <w:pStyle w:val="ListBullet"/>
      </w:pPr>
      <w:r>
        <w:rPr>
          <w:sz w:val="21"/>
        </w:rPr>
        <w:t>Default Values</w:t>
      </w:r>
    </w:p>
    <w:p>
      <w:pPr>
        <w:pStyle w:val="ListBullet"/>
      </w:pPr>
      <w:r>
        <w:rPr>
          <w:sz w:val="21"/>
        </w:rPr>
        <w:t>Validation Rules</w:t>
      </w:r>
    </w:p>
    <w:p>
      <w:pPr>
        <w:pStyle w:val="Heading2"/>
      </w:pPr>
      <w:r>
        <w:t>13. Yearly Configuration Wizard</w:t>
      </w:r>
    </w:p>
    <w:p>
      <w:pPr>
        <w:pStyle w:val="ListBullet"/>
      </w:pPr>
      <w:r>
        <w:rPr>
          <w:sz w:val="21"/>
        </w:rPr>
        <w:t>Clone required masters</w:t>
      </w:r>
    </w:p>
    <w:p>
      <w:pPr>
        <w:pStyle w:val="ListBullet"/>
      </w:pPr>
      <w:r>
        <w:rPr>
          <w:sz w:val="21"/>
        </w:rPr>
        <w:t>Reset numbering</w:t>
      </w:r>
    </w:p>
    <w:p>
      <w:pPr>
        <w:pStyle w:val="ListBullet"/>
      </w:pPr>
      <w:r>
        <w:rPr>
          <w:sz w:val="21"/>
        </w:rPr>
        <w:t>Update age cut-off date</w:t>
      </w:r>
    </w:p>
    <w:p>
      <w:pPr>
        <w:pStyle w:val="ListBullet"/>
      </w:pPr>
      <w:r>
        <w:rPr>
          <w:sz w:val="21"/>
        </w:rPr>
        <w:t>Activate academic year</w:t>
      </w:r>
    </w:p>
    <w:p>
      <w:pPr>
        <w:pStyle w:val="ListBullet"/>
      </w:pPr>
      <w:r>
        <w:rPr>
          <w:sz w:val="21"/>
        </w:rPr>
        <w:t>Review pending configurations</w:t>
      </w:r>
    </w:p>
    <w:p>
      <w:pPr>
        <w:pStyle w:val="Heading2"/>
      </w:pPr>
      <w:r>
        <w:t>14. Import &amp; Export</w:t>
      </w:r>
    </w:p>
    <w:p>
      <w:pPr>
        <w:pStyle w:val="ListBullet"/>
      </w:pPr>
      <w:r>
        <w:rPr>
          <w:sz w:val="21"/>
        </w:rPr>
        <w:t>Excel/CSV import</w:t>
      </w:r>
    </w:p>
    <w:p>
      <w:pPr>
        <w:pStyle w:val="ListBullet"/>
      </w:pPr>
      <w:r>
        <w:rPr>
          <w:sz w:val="21"/>
        </w:rPr>
        <w:t>Bulk update</w:t>
      </w:r>
    </w:p>
    <w:p>
      <w:pPr>
        <w:pStyle w:val="ListBullet"/>
      </w:pPr>
      <w:r>
        <w:rPr>
          <w:sz w:val="21"/>
        </w:rPr>
        <w:t>Validation</w:t>
      </w:r>
    </w:p>
    <w:p>
      <w:pPr>
        <w:pStyle w:val="ListBullet"/>
      </w:pPr>
      <w:r>
        <w:rPr>
          <w:sz w:val="21"/>
        </w:rPr>
        <w:t>Error reports</w:t>
      </w:r>
    </w:p>
    <w:p>
      <w:pPr>
        <w:pStyle w:val="ListBullet"/>
      </w:pPr>
      <w:r>
        <w:rPr>
          <w:sz w:val="21"/>
        </w:rPr>
        <w:t>Master export</w:t>
      </w:r>
    </w:p>
    <w:p>
      <w:pPr>
        <w:pStyle w:val="Heading2"/>
      </w:pPr>
      <w:r>
        <w:t>15. Versioning &amp; Audit</w:t>
      </w:r>
    </w:p>
    <w:p>
      <w:pPr>
        <w:pStyle w:val="ListBullet"/>
      </w:pPr>
      <w:r>
        <w:rPr>
          <w:sz w:val="21"/>
        </w:rPr>
        <w:t>Track master changes</w:t>
      </w:r>
    </w:p>
    <w:p>
      <w:pPr>
        <w:pStyle w:val="ListBullet"/>
      </w:pPr>
      <w:r>
        <w:rPr>
          <w:sz w:val="21"/>
        </w:rPr>
        <w:t>Version history</w:t>
      </w:r>
    </w:p>
    <w:p>
      <w:pPr>
        <w:pStyle w:val="ListBullet"/>
      </w:pPr>
      <w:r>
        <w:rPr>
          <w:sz w:val="21"/>
        </w:rPr>
        <w:t>Effective dates</w:t>
      </w:r>
    </w:p>
    <w:p>
      <w:pPr>
        <w:pStyle w:val="ListBullet"/>
      </w:pPr>
      <w:r>
        <w:rPr>
          <w:sz w:val="21"/>
        </w:rPr>
        <w:t>Audit logs</w:t>
      </w:r>
    </w:p>
    <w:p>
      <w:pPr>
        <w:pStyle w:val="ListBullet"/>
      </w:pPr>
      <w:r>
        <w:rPr>
          <w:sz w:val="21"/>
        </w:rPr>
        <w:t>Rollback (where applicable)</w:t>
      </w:r>
    </w:p>
    <w:p>
      <w:pPr>
        <w:pStyle w:val="Heading2"/>
      </w:pPr>
      <w:r>
        <w:t>16. APIs</w:t>
      </w:r>
    </w:p>
    <w:p>
      <w:pPr>
        <w:pStyle w:val="ListBullet"/>
      </w:pPr>
      <w:r>
        <w:rPr>
          <w:sz w:val="21"/>
        </w:rPr>
        <w:t>Master retrieval APIs</w:t>
      </w:r>
    </w:p>
    <w:p>
      <w:pPr>
        <w:pStyle w:val="ListBullet"/>
      </w:pPr>
      <w:r>
        <w:rPr>
          <w:sz w:val="21"/>
        </w:rPr>
        <w:t>Configuration APIs</w:t>
      </w:r>
    </w:p>
    <w:p>
      <w:pPr>
        <w:pStyle w:val="ListBullet"/>
      </w:pPr>
      <w:r>
        <w:rPr>
          <w:sz w:val="21"/>
        </w:rPr>
        <w:t>Lookup APIs</w:t>
      </w:r>
    </w:p>
    <w:p>
      <w:pPr>
        <w:pStyle w:val="ListBullet"/>
      </w:pPr>
      <w:r>
        <w:rPr>
          <w:sz w:val="21"/>
        </w:rPr>
        <w:t>Synchronization APIs</w:t>
      </w:r>
    </w:p>
    <w:p>
      <w:pPr>
        <w:pStyle w:val="Heading2"/>
      </w:pPr>
      <w:r>
        <w:t>17. Reports</w:t>
      </w:r>
    </w:p>
    <w:p>
      <w:pPr>
        <w:pStyle w:val="ListBullet"/>
      </w:pPr>
      <w:r>
        <w:rPr>
          <w:sz w:val="21"/>
        </w:rPr>
        <w:t>Master audit report</w:t>
      </w:r>
    </w:p>
    <w:p>
      <w:pPr>
        <w:pStyle w:val="ListBullet"/>
      </w:pPr>
      <w:r>
        <w:rPr>
          <w:sz w:val="21"/>
        </w:rPr>
        <w:t>Configuration report</w:t>
      </w:r>
    </w:p>
    <w:p>
      <w:pPr>
        <w:pStyle w:val="ListBullet"/>
      </w:pPr>
      <w:r>
        <w:rPr>
          <w:sz w:val="21"/>
        </w:rPr>
        <w:t>Inactive masters</w:t>
      </w:r>
    </w:p>
    <w:p>
      <w:pPr>
        <w:pStyle w:val="ListBullet"/>
      </w:pPr>
      <w:r>
        <w:rPr>
          <w:sz w:val="21"/>
        </w:rPr>
        <w:t>Usage analysis</w:t>
      </w:r>
    </w:p>
    <w:p>
      <w:pPr>
        <w:pStyle w:val="Heading2"/>
      </w:pPr>
      <w:r>
        <w:t>18. Business Rules</w:t>
      </w:r>
    </w:p>
    <w:p>
      <w:pPr>
        <w:pStyle w:val="ListBullet"/>
      </w:pPr>
      <w:r>
        <w:rPr>
          <w:sz w:val="21"/>
        </w:rPr>
        <w:t>Only authorized administrators can modify shared masters.</w:t>
      </w:r>
    </w:p>
    <w:p>
      <w:pPr>
        <w:pStyle w:val="ListBullet"/>
      </w:pPr>
      <w:r>
        <w:rPr>
          <w:sz w:val="21"/>
        </w:rPr>
        <w:t>Changes are audited and versioned.</w:t>
      </w:r>
    </w:p>
    <w:p>
      <w:pPr>
        <w:pStyle w:val="ListBullet"/>
      </w:pPr>
      <w:r>
        <w:rPr>
          <w:sz w:val="21"/>
        </w:rPr>
        <w:t>Year-specific masters can be cloned from previous academic years.</w:t>
      </w:r>
    </w:p>
    <w:p>
      <w:pPr>
        <w:pStyle w:val="ListBullet"/>
      </w:pPr>
      <w:r>
        <w:rPr>
          <w:sz w:val="21"/>
        </w:rPr>
        <w:t>Shared masters are reused across all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