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Multi-Web Re-Audit Plan — FRD-12, 10, 14, 11, 16</w:t>
      </w:r>
    </w:p>
    <w:p>
      <w:pPr>
        <w:spacing w:after="120"/>
      </w:pPr>
      <w:r>
        <w:rPr>
          <w:i/>
          <w:iCs/>
          <w:color w:val="6b7280"/>
        </w:rPr>
        <w:t xml:space="preserve">CBSE Sahodaya Digital Platform · Generated 2026-07-12 · Audit checklist, not yet executed</w:t>
      </w:r>
    </w:p>
    <w:p>
      <w:pPr>
        <w:spacing w:after="120"/>
      </w:pPr>
      <w:r>
        <w:t xml:space="preserve"/>
      </w:r>
    </w:p>
    <w:p>
      <w:pPr>
        <w:pStyle w:val="Heading1"/>
        <w:spacing w:after="150" w:before="300"/>
      </w:pPr>
      <w:r>
        <w:t xml:space="preserve">Overview</w:t>
      </w:r>
    </w:p>
    <w:p>
      <w:pPr>
        <w:spacing w:after="120"/>
      </w:pPr>
      <w:r>
        <w:t xml:space="preserve">Following the FRD-06/13/15 hardening pass, this plan covers the next 5 highest-priority FRDs for a fresh gap-check against current code, in priority order. None of these have had a focused re-audit since the original product audit, which predates the large volume of Teacher Training, Talent Search/MCQ, and Academic Results/Toppers work completed this session. Priority is weighted by how much collateral new/changed surface area each got this session (more exposure = higher audit value) and blast radius if something's wrong. This document is a checklist of what to investigate in each area — it does not yet contain findings. Each area will get the same treatment as FRD-06/13/15: read-only investigation first, findings reported with severity + evidence, then a follow-up implementation pass for anything real.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00"/>
        <w:gridCol w:w="3600"/>
        <w:gridCol w:w="1700"/>
      </w:tblGrid>
      <w:tr>
        <w:tc>
          <w:tcPr>
            <w:tcW w:type="dxa" w:w="900"/>
            <w:shd w:fill="0f3d7a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Rank</w:t>
            </w:r>
          </w:p>
        </w:tc>
        <w:tc>
          <w:tcPr>
            <w:tcW w:type="dxa" w:w="3600"/>
            <w:shd w:fill="0f3d7a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Area</w:t>
            </w:r>
          </w:p>
        </w:tc>
        <w:tc>
          <w:tcPr>
            <w:tcW w:type="dxa" w:w="3600"/>
            <w:shd w:fill="0f3d7a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Why this priority</w:t>
            </w:r>
          </w:p>
        </w:tc>
        <w:tc>
          <w:tcPr>
            <w:tcW w:type="dxa" w:w="1700"/>
            <w:shd w:fill="0f3d7a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Audit effort</w:t>
            </w:r>
          </w:p>
        </w:tc>
      </w:tr>
      <w:tr>
        <w:tc>
          <w:tcPr>
            <w:tcW w:type="dxa" w:w="9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3600"/>
            <w:shd w:fill="FEF3C7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FRD-12 Notification &amp; Communication Engine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Dozens of new triggers/templates wired this session across every module. A silent delivery bug means users never find out something happened.</w:t>
            </w:r>
          </w:p>
        </w:tc>
        <w:tc>
          <w:tcPr>
            <w:tcW w:type="dxa" w:w="17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~1d</w:t>
            </w:r>
          </w:p>
        </w:tc>
      </w:tr>
      <w:tr>
        <w:tc>
          <w:tcPr>
            <w:tcW w:type="dxa" w:w="9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3600"/>
            <w:shd w:fill="FEF3C7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FRD-10 Workflow &amp; Approval Engine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Every new verify/approve/reject/publish flow (BoardResult, pending-school resolution, fee approval, feedback review) sits on top of this. Correctness affects money and academic-record validity downstream.</w:t>
            </w:r>
          </w:p>
        </w:tc>
        <w:tc>
          <w:tcPr>
            <w:tcW w:type="dxa" w:w="17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~1d</w:t>
            </w:r>
          </w:p>
        </w:tc>
      </w:tr>
      <w:tr>
        <w:tc>
          <w:tcPr>
            <w:tcW w:type="dxa" w:w="9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3600"/>
            <w:shd w:fill="FEF3C7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FRD-14 Reporting, Analytics &amp; BI Engine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 dozen+ new reports added this session (RPT-TRN, RPT-MCQ, RPT-BRD, RPT-FIN-021). Risk of registry misconfiguration or permission leaks in reports admins make decisions from.</w:t>
            </w:r>
          </w:p>
        </w:tc>
        <w:tc>
          <w:tcPr>
            <w:tcW w:type="dxa" w:w="17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~1d</w:t>
            </w:r>
          </w:p>
        </w:tc>
      </w:tr>
      <w:tr>
        <w:tc>
          <w:tcPr>
            <w:tcW w:type="dxa" w:w="9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3600"/>
            <w:shd w:fill="FEF3C7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FRD-11 Document &amp; Template Engine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Powers every certificate, invoice, ID card, and roster PDF added this session, several carrying financial or academic data.</w:t>
            </w:r>
          </w:p>
        </w:tc>
        <w:tc>
          <w:tcPr>
            <w:tcW w:type="dxa" w:w="17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~0.75d</w:t>
            </w:r>
          </w:p>
        </w:tc>
      </w:tr>
      <w:tr>
        <w:tc>
          <w:tcPr>
            <w:tcW w:type="dxa" w:w="9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3600"/>
            <w:shd w:fill="FEF3C7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FRD-16 Shared Masters &amp; Configuration Engine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Newer masters (ExamStream, TrainingCategory) added; correctness affects consistency across modules that reference them.</w:t>
            </w:r>
          </w:p>
        </w:tc>
        <w:tc>
          <w:tcPr>
            <w:tcW w:type="dxa" w:w="17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~0.75d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Total estimated audit effort: ~4.5 person-days for all 5 areas (research only; fix effort will be estimated once findings are in, same as the FRD-06/13/15 pass).</w:t>
      </w:r>
    </w:p>
    <w:p>
      <w:pPr>
        <w:pStyle w:val="Heading1"/>
        <w:spacing w:after="150" w:before="300"/>
      </w:pPr>
      <w:r>
        <w:t xml:space="preserve">1. FRD-12 — Notification &amp; Communication Engine</w:t>
      </w:r>
    </w:p>
    <w:p>
      <w:pPr>
        <w:spacing w:after="120"/>
      </w:pPr>
      <w:r>
        <w:t xml:space="preserve">Every module this session added new notification triggers. The question is whether they actually fire, reach the right person, and are recoverable if delivery fails.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☐  </w:t>
      </w:r>
      <w:r>
        <w:t xml:space="preserve">Template coverage: confirm every new notification template key (student.verification.*, training.*, mcq.*, board_result.*) that's seeded in NotificationTemplatesSeeder is actually invoked somewhere in code — flag any seeded-but-dead template.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☐  </w:t>
      </w:r>
      <w:r>
        <w:t xml:space="preserve">Recipient resolution: for newer triggers (board_result.verification_pending, training.pending_school linked/rejected, mcq.fee.approved/rejected), confirm the correct role (school admin vs Sahodaya admin vs teacher/student portal) receives it, with no cross-tenant leak.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☐  </w:t>
      </w:r>
      <w:r>
        <w:t xml:space="preserve">Delivery failure handling: do newer triggers get the same retry/resend path as ReceiptEmailResendService, or do failures silently vanish for anything added this session?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☐  </w:t>
      </w:r>
      <w:r>
        <w:t xml:space="preserve">Duplicate/flip-flop protection: can a status bouncing (e.g. reject→re-approve, or reversal→re-approve) fire the same notification twice, or fire a stale one after a later state change?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☐  </w:t>
      </w:r>
      <w:r>
        <w:t xml:space="preserve">Template placeholder correctness: spot-check newer templates for unresolved {{tokens}} or fields that don't exist on the notifiable model.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☐  </w:t>
      </w:r>
      <w:r>
        <w:t xml:space="preserve">Observability: do the newer notification types show up in the existing EmailDeliveryReportController's report, or are they invisible to admins troubleshooting a "didn't receive email" complaint?</w:t>
      </w:r>
    </w:p>
    <w:p>
      <w:pPr>
        <w:spacing w:after="120"/>
      </w:pPr>
      <w:r>
        <w:t xml:space="preserve"/>
      </w:r>
    </w:p>
    <w:p>
      <w:pPr>
        <w:pStyle w:val="Heading1"/>
        <w:spacing w:after="150" w:before="300"/>
      </w:pPr>
      <w:r>
        <w:t xml:space="preserve">2. FRD-10 — Workflow &amp; Approval Engine</w:t>
      </w:r>
    </w:p>
    <w:p>
      <w:pPr>
        <w:spacing w:after="120"/>
      </w:pPr>
      <w:r>
        <w:t xml:space="preserve">Multiple new state machines (BoardResult verify/approve/reject/publish, TrainingPendingSchool link/reject, McqSchoolFee approve/reject, FeeReceipt reverse) were built this session. Check they're consistent with each other and don't have state-transition bugs.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☐  </w:t>
      </w:r>
      <w:r>
        <w:t xml:space="preserve">State machine consistency: do the newer workflows reuse a common approval-engine primitive, or did each module hand-roll its own status enum/transition logic that could drift from the others over time?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☐  </w:t>
      </w:r>
      <w:r>
        <w:t xml:space="preserve">Reopen/correction loops: board results (rejected → resubmit), MCQ attendance correction, training feedback review — confirm each preserves history correctly and doesn't allow skipping a required step.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☐  </w:t>
      </w:r>
      <w:r>
        <w:t xml:space="preserve">Idempotency on newer workflows: can double-clicking Approve/Publish/Reverse on a board result or training pending-school cause duplicate side effects (notifications, audit logs, ledger posts)? (Ledger idempotency for FeeReceipt is already verified — this is about the workflow layer itself, not just money.)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☐  </w:t>
      </w:r>
      <w:r>
        <w:t xml:space="preserve">Authorization consistency: do all new approval actions check permissions the same way as established older workflows (Gate/Policy vs inline tenant checks), or is there a mix that could be exploited at the seam?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☐  </w:t>
      </w:r>
      <w:r>
        <w:t xml:space="preserve">Audit trail completeness on transitions: confirmed largely done for BoardResults; verify TrainingPendingSchool and McqSchoolFee approval workflows log every transition with equal completeness.</w:t>
      </w:r>
    </w:p>
    <w:p>
      <w:pPr>
        <w:spacing w:after="120"/>
      </w:pPr>
      <w:r>
        <w:t xml:space="preserve"/>
      </w:r>
    </w:p>
    <w:p>
      <w:pPr>
        <w:pStyle w:val="Heading1"/>
        <w:spacing w:after="150" w:before="300"/>
      </w:pPr>
      <w:r>
        <w:t xml:space="preserve">3. FRD-14 — Reporting, Analytics &amp; BI Engine</w:t>
      </w:r>
    </w:p>
    <w:p>
      <w:pPr>
        <w:spacing w:after="120"/>
      </w:pPr>
      <w:r>
        <w:t xml:space="preserve">A dozen-plus new report entries were registered this session across Training, MCQ, and Academic Results, plus the new FRD-06 reconciliation report. Check the registry, permissions, and query correctness are consistent with the established pattern.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☐  </w:t>
      </w:r>
      <w:r>
        <w:t xml:space="preserve">Registry consistency: do all newly added report IDs (RPT-TRN-013 through 016, new RPT-MCQ entries, RPT-BRD-001 through 005, RPT-FIN-021) have permission gating consistent with older reports of the same sensitivity level?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☐  </w:t>
      </w:r>
      <w:r>
        <w:t xml:space="preserve">Column/filter accuracy: cross-check ErpReportMeta column declarations against what each new report query actually returns — a mismatch breaks the report UI silently rather than erroring.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☐  </w:t>
      </w:r>
      <w:r>
        <w:t xml:space="preserve">Export path parity: confirm new reports support the same CSV/XLSX export as older ones, or flag any that only render on-screen.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☐  </w:t>
      </w:r>
      <w:r>
        <w:t xml:space="preserve">Tenant-scoping correctness in report data (not security — accuracy): re-verify newer report queries don't accidentally include another Sahodaya's rows in totals/averages, from a "numbers are right" angle rather than the FRD-13 leak angle already covered.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☐  </w:t>
      </w:r>
      <w:r>
        <w:t xml:space="preserve">Performance/scale: RPT-FIN-021 caps at limit(2000) rows — check whether any other new report has a similar silent cap that could hide data at scale, and whether ranking/reconciliation reports risk N+1 queries on large datasets.</w:t>
      </w:r>
    </w:p>
    <w:p>
      <w:pPr>
        <w:spacing w:after="120"/>
      </w:pPr>
      <w:r>
        <w:t xml:space="preserve"/>
      </w:r>
    </w:p>
    <w:p>
      <w:pPr>
        <w:pStyle w:val="Heading1"/>
        <w:spacing w:after="150" w:before="300"/>
      </w:pPr>
      <w:r>
        <w:t xml:space="preserve">4. FRD-11 — Document &amp; Template Engine</w:t>
      </w:r>
    </w:p>
    <w:p>
      <w:pPr>
        <w:spacing w:after="120"/>
      </w:pPr>
      <w:r>
        <w:t xml:space="preserve">This session added multi-type Training certificates, Topper certificates, and a full set of MCQ printable documents (attendance/mark/result sheets, invoices). Check they're consistently built on the shared pipeline rather than diverging.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☐  </w:t>
      </w:r>
      <w:r>
        <w:t xml:space="preserve">Pipeline consistency: confirm multi-type Training certificates, Topper certificates, and MCQ printable documents (attendance/mark/result sheets, registration invoices) all reuse the shared CertificateTemplate/DomPDF pipeline rather than any hand-rolled one-off PDF generation.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☐  </w:t>
      </w:r>
      <w:r>
        <w:t xml:space="preserve">Template placeholder validation: spot-check that new templates only reference fields that are actually populated (e.g. training_hours on multi-type certificates, subject-wise marks on result sheets).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☐  </w:t>
      </w:r>
      <w:r>
        <w:t xml:space="preserve">Storage/access consistency: confirm every new generated PDF (board result uploads, invoices, ID cards, printable sheets) goes through the same private-disk/TenancyDatabase pattern verified under FRD-15, with no new controller bypassing it.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☐  </w:t>
      </w:r>
      <w:r>
        <w:t xml:space="preserve">Version history correctness: for board_result_uploads (multi-version PDF), confirm older versions remain downloadable and correctly gated, not just the latest.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☐  </w:t>
      </w:r>
      <w:r>
        <w:t xml:space="preserve">Print-layout consistency: rosters/ID cards across Student, Teacher, and Training registries — check they share a common print-layout convention rather than three different visual/technical approaches.</w:t>
      </w:r>
    </w:p>
    <w:p>
      <w:pPr>
        <w:spacing w:after="120"/>
      </w:pPr>
      <w:r>
        <w:t xml:space="preserve"/>
      </w:r>
    </w:p>
    <w:p>
      <w:pPr>
        <w:pStyle w:val="Heading1"/>
        <w:spacing w:after="150" w:before="300"/>
      </w:pPr>
      <w:r>
        <w:t xml:space="preserve">5. FRD-16 — Shared Masters &amp; Configuration Engine</w:t>
      </w:r>
    </w:p>
    <w:p>
      <w:pPr>
        <w:spacing w:after="120"/>
      </w:pPr>
      <w:r>
        <w:t xml:space="preserve">New masters (TrainingCategory, ExamStream, TopperCountConfig, ApiConfig) were added this session, including a global-vs-Sahodaya-scoped override pattern on ExamStream. Check the masters are managed consistently and safely.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☐  </w:t>
      </w:r>
      <w:r>
        <w:t xml:space="preserve">Admin UI completeness: confirm TrainingCategory, ExamStream, TopperCountConfig, and ApiConfig each have a full CRUD admin screen consistent with older masters (Subject, AcademicYearRecord), not just seeded defaults with no way to manage them.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☐  </w:t>
      </w:r>
      <w:r>
        <w:t xml:space="preserve">Global-vs-scoped override pattern: ExamStream supports both sahodaya_id = null (global default) and Sahodaya-specific override rows — check whether this pattern is documented/intentional and whether any other master should follow (or already follows) it inconsistently.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☐  </w:t>
      </w:r>
      <w:r>
        <w:t xml:space="preserve">Referential integrity on deactivation: if a TrainingCategory or ExamStream row is deleted/deactivated while still referenced by existing Training programs or Toppers, confirm the system soft-disables rather than breaking existing records or allowing an orphaned FK.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☐  </w:t>
      </w:r>
      <w:r>
        <w:t xml:space="preserve">Cache invalidation: check whether master lookups (ExamStream::labelsFor(), findByCode()) are cached anywhere, and if so, whether an edit in the admin UI invalidates the cache correctly.</w:t>
      </w:r>
    </w:p>
    <w:p>
      <w:pPr>
        <w:spacing w:after="120"/>
      </w:pPr>
      <w:r>
        <w:t xml:space="preserve"/>
      </w:r>
    </w:p>
    <w:p>
      <w:pPr>
        <w:pStyle w:val="Heading1"/>
        <w:spacing w:after="150" w:before="300"/>
      </w:pPr>
      <w:r>
        <w:t xml:space="preserve">Next Step</w:t>
      </w:r>
    </w:p>
    <w:p>
      <w:pPr>
        <w:spacing w:after="120"/>
      </w:pPr>
      <w:r>
        <w:t xml:space="preserve">Once this plan is approved, each of the 5 areas gets a dedicated read-only research pass (same methodology as FRD-06/13/15: specific file/method evidence required, no speculative findings), producing a findings report with Critical/High/Medium/Low severity per item. Findings then get added to the task tracker and a follow-up hardening-plan document, mirroring the FRD-06/13/15 pattern.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2026-07-12T07:46:47.310Z</dcterms:created>
  <dcterms:modified xsi:type="dcterms:W3CDTF">2026-07-12T07:46:47.310Z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