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52"/>
          <w:szCs w:val="52"/>
        </w:rPr>
        <w:t xml:space="preserve">Sports: Event Head as the Primary Unit</w:t>
      </w:r>
    </w:p>
    <w:p>
      <w:pPr>
        <w:spacing w:after="500"/>
        <w:jc w:val="center"/>
      </w:pPr>
      <w:r>
        <w:rPr>
          <w:color w:val="2E5395"/>
          <w:sz w:val="28"/>
          <w:szCs w:val="28"/>
        </w:rPr>
        <w:t xml:space="preserve">Implementation Plan — decoupling day-to-day Sports admin from the generic Fest "manage event" screens</w:t>
      </w:r>
    </w:p>
    <w:p>
      <w:pPr>
        <w:spacing w:after="1200"/>
        <w:jc w:val="center"/>
      </w:pPr>
      <w:r>
        <w:rPr>
          <w:i/>
          <w:iCs/>
          <w:color w:val="444444"/>
          <w:sz w:val="22"/>
          <w:szCs w:val="22"/>
        </w:rPr>
        <w:t xml:space="preserve">Plan only — no code changes in this pass, per your decision</w:t>
      </w:r>
    </w:p>
    <w:p>
      <w:pPr>
        <w:spacing w:after="2000"/>
        <w:jc w:val="center"/>
      </w:pPr>
      <w:r>
        <w:rPr>
          <w:color w:val="444444"/>
          <w:sz w:val="20"/>
          <w:szCs w:val="20"/>
        </w:rPr>
        <w:t xml:space="preserve">Prepared for: anoop  ·  July 2026</w:t>
      </w:r>
    </w:p>
    <w:p>
      <w:r>
        <w:br w:type="page"/>
      </w:r>
    </w:p>
    <w:p>
      <w:pPr>
        <w:pStyle w:val="Heading1"/>
        <w:spacing w:after="160" w:before="360"/>
      </w:pPr>
      <w:r>
        <w:t xml:space="preserve">1. What You Asked For, and What Was Decided</w:t>
      </w:r>
    </w:p>
    <w:p>
      <w:pPr>
        <w:spacing w:after="140" w:line="276"/>
      </w:pPr>
      <w:r>
        <w:t xml:space="preserve">You said Sports should stop depending on the generic Fest "event" concept for anything — Event Head should be the main unit, carrying its own notifications/emails, dedicated venue, start/end dates, and registration window, so a Sahodaya admin never has to leave the Head screen and go into a separate "manage event" area to configure any of that.</w:t>
      </w:r>
    </w:p>
    <w:p>
      <w:pPr>
        <w:spacing w:after="140" w:line="276"/>
      </w:pPr>
      <w:r>
        <w:t xml:space="preserve">Six scope questions have now been resolved across two rounds of discussion, before any code is written:</w:t>
      </w:r>
    </w:p>
    <w:p>
      <w:pPr>
        <w:spacing w:after="100" w:line="270"/>
      </w:pPr>
      <w:r>
        <w:rPr>
          <w:b/>
          <w:bCs/>
        </w:rPr>
        <w:t xml:space="preserve">Depth of the change: </w:t>
      </w:r>
      <w:r>
        <w:t xml:space="preserve">keep the underlying FestEvent record as a hidden technical container (registrations, fees, schedule, marks, and results all key off event_id today, and that stays true) — but restructure the admin experience so every screen you actually use lives on the Head, not on a separate event-management page.</w:t>
      </w:r>
    </w:p>
    <w:p>
      <w:pPr>
        <w:spacing w:after="100" w:line="270"/>
      </w:pPr>
      <w:r>
        <w:rPr>
          <w:b/>
          <w:bCs/>
        </w:rPr>
        <w:t xml:space="preserve">Notifications — content: </w:t>
      </w:r>
      <w:r>
        <w:t xml:space="preserve">each Event Head gets its own notification content and recipients — Athletics and Chess should be able to say different things, or notify different people, even within the same season.</w:t>
      </w:r>
    </w:p>
    <w:p>
      <w:pPr>
        <w:spacing w:after="100" w:line="270"/>
      </w:pPr>
      <w:r>
        <w:rPr>
          <w:b/>
          <w:bCs/>
        </w:rPr>
        <w:t xml:space="preserve">Notifications — recipients: </w:t>
      </w:r>
      <w:r>
        <w:t xml:space="preserve">extra per-head recipients must be existing platform users (e.g. a sports-in-charge teacher or coordinator who already has an account) — not arbitrary email addresses. Every notification on the platform stays inside the same in-app + email system this way; no separate raw-email sender is introduced.</w:t>
      </w:r>
    </w:p>
    <w:p>
      <w:pPr>
        <w:spacing w:after="100" w:line="270"/>
      </w:pPr>
      <w:r>
        <w:rPr>
          <w:b/>
          <w:bCs/>
        </w:rPr>
        <w:t xml:space="preserve">Age cutoff: </w:t>
      </w:r>
      <w:r>
        <w:t xml:space="preserve">sports_age_cutoff_date stays exactly one season-wide setting across the whole academic year — confirmed, not per head. No change needed to how this field works today; it simply continues to live on the season.</w:t>
      </w:r>
    </w:p>
    <w:p>
      <w:pPr>
        <w:spacing w:after="100" w:line="270"/>
      </w:pPr>
      <w:r>
        <w:rPr>
          <w:b/>
          <w:bCs/>
        </w:rPr>
        <w:t xml:space="preserve">School-facing navigation: </w:t>
      </w:r>
      <w:r>
        <w:t xml:space="preserve">schools currently register through one "Sports" screen with tabs for each Event Head, all inside one season event. That changes to match the admin side — schools will browse a list of separate sports (each its own event) and register into the one they want, the same shape the Sahodaya admin now sees. Since schools only register at the Sahodaya level today (school-level rounds aren't actually being conducted), this is the only school-facing flow that needs to change.</w:t>
      </w:r>
    </w:p>
    <w:p>
      <w:pPr>
        <w:spacing w:after="100" w:line="270"/>
      </w:pPr>
      <w:r>
        <w:rPr>
          <w:b/>
          <w:bCs/>
        </w:rPr>
        <w:t xml:space="preserve">Rollout: </w:t>
      </w:r>
      <w:r>
        <w:t xml:space="preserve">this document is the plan; no code changes are made in this pass. Because live data already exists under the old structure (some items already have registrations against the season-level event), the migration itself ships as one isolated, verifiable first deploy — see §6.</w:t>
      </w:r>
    </w:p>
    <w:p>
      <w:pPr>
        <w:pBdr>
          <w:left w:val="single" w:color="E0A800" w:sz="12"/>
        </w:pBdr>
        <w:shd w:fill="FFF6E5" w:val="clear"/>
        <w:spacing w:after="160" w:before="60"/>
        <w:ind w:left="200"/>
      </w:pPr>
      <w:r>
        <w:rPr>
          <w:i/>
          <w:iCs/>
          <w:color w:val="6B5300"/>
        </w:rPr>
        <w:t xml:space="preserve">One clarification worth flagging up front: this plan reuses and generalizes a mechanism that already exists in the codebase today — "Promote Sports Heads to Discipline Events" — rather than inventing something new. Right now, promoting a head is a manual, optional, later step a Sahodaya admin can trigger. The core proposal below is to make that automatic and immediate, so every head always has its own dedicated event from the moment it's created, and the manual "promote" button disappears because there's nothing left to promote.</w:t>
      </w:r>
    </w:p>
    <w:p>
      <w:pPr>
        <w:pStyle w:val="Heading1"/>
        <w:spacing w:after="160" w:before="360"/>
      </w:pPr>
      <w:r>
        <w:t xml:space="preserve">2. Target Model: One Event Head = One Dedicated Event, Always</w:t>
      </w:r>
    </w:p>
    <w:p>
      <w:pPr>
        <w:spacing w:after="140" w:line="276"/>
      </w:pPr>
      <w:r>
        <w:t xml:space="preserve">Today, a Sports "season" is one FestEvent that owns a set of Event Heads (Athletics, Chess, Swimming…), and each head can optionally be "promoted" later into its own child FestEvent — at which point its items, registrations, marks, and fee records all get moved onto that new event, and the head is re-pointed to live under it. That promotion logic already does exactly what's needed; it's just optional and delayed.</w:t>
      </w:r>
    </w:p>
    <w:p>
      <w:pPr>
        <w:spacing w:after="140" w:line="276"/>
      </w:pPr>
      <w:r>
        <w:t xml:space="preserve">The change: promotion happens automatically, synchronously, the moment a head is created — whether it's seeded from the sports catalog (Athletics, Chess, etc. auto-created when the season is first opened) or added as a custom head. From that point on:</w:t>
      </w:r>
    </w:p>
    <w:p>
      <w:pPr>
        <w:pStyle w:val="ListParagraph"/>
        <w:numPr>
          <w:ilvl w:val="0"/>
          <w:numId w:val="1"/>
        </w:numPr>
        <w:spacing w:after="80" w:line="270"/>
      </w:pPr>
      <w:r>
        <w:t xml:space="preserve">The season FestEvent (parent_event_id = null) still exists, but becomes a thin, mostly read-only rollup: season-wide medal tally / points scoreboard across every head, the once-a-year state remittance banner, and a directory list of every Event Head/sport. Nobody configures venue, dates, or registration on this page — there's nothing to configure there anymore.</w:t>
      </w:r>
    </w:p>
    <w:p>
      <w:pPr>
        <w:pStyle w:val="ListParagraph"/>
        <w:numPr>
          <w:ilvl w:val="0"/>
          <w:numId w:val="1"/>
        </w:numPr>
        <w:spacing w:after="80" w:line="270"/>
      </w:pPr>
      <w:r>
        <w:t xml:space="preserve">Every Event Head has a 1:1 dedicated FestEvent (its "discipline event") from day one. Opening the Head's page IS opening that event — venue, event start/end, registration open/close, status (draft → published → registration_open → ongoing → completed), schedule building &amp; publishing, marks entry, results publish, chest numbers, ID cards, appeals, and now notification settings all live in one place, because the Head's page is simply the UI for its own event.</w:t>
      </w:r>
    </w:p>
    <w:p>
      <w:pPr>
        <w:pStyle w:val="ListParagraph"/>
        <w:numPr>
          <w:ilvl w:val="0"/>
          <w:numId w:val="1"/>
        </w:numPr>
        <w:spacing w:after="80" w:line="270"/>
      </w:pPr>
      <w:r>
        <w:t xml:space="preserve">The distinction between "Event Head" and "discipline event" collapses into one concept in the admin's mental model, even though two database rows still exist underneath (per your decision to keep FestEvent as the hidden container).</w:t>
      </w:r>
    </w:p>
    <w:p>
      <w:pPr>
        <w:spacing w:after="140" w:line="276"/>
      </w:pPr>
      <w:r>
        <w:t xml:space="preserve">This directly answers "dedicated venues, start end, reg etc in sport, don't need to go the sport events manage for that" — because for a given sport, there is no separate "manage event" screen anymore; the Head's screen and the event's screen are the same screen.</w:t>
      </w:r>
    </w:p>
    <w:p>
      <w:pPr>
        <w:pStyle w:val="Heading1"/>
        <w:spacing w:after="160" w:before="360"/>
      </w:pPr>
      <w:r>
        <w:t xml:space="preserve">3. Data Model Changes</w:t>
      </w:r>
    </w:p>
    <w:p>
      <w:pPr>
        <w:pStyle w:val="Heading2"/>
        <w:spacing w:after="120" w:before="280"/>
      </w:pPr>
      <w:r>
        <w:t xml:space="preserve">3.1 Auto-promotion at head creation</w:t>
      </w:r>
    </w:p>
    <w:p>
      <w:pPr>
        <w:spacing w:after="140" w:line="276"/>
      </w:pPr>
      <w:r>
        <w:t xml:space="preserve">FestItemHeadService::syncEventHeads() (which today creates a head record scoped to the season on first competition-page load) changes to immediately call the existing PromoteSportsHeadsToDisciplineEvents logic for that one head right after creating it — so a head is never observed by an admin in its "not yet promoted" state. The manual "Promote Sports Heads to Discipline Events" button and its status/pending-count UI are removed once nothing can ever be pending.</w:t>
      </w:r>
    </w:p>
    <w:p>
      <w:pPr>
        <w:pStyle w:val="Heading2"/>
        <w:spacing w:after="120" w:before="280"/>
      </w:pPr>
      <w:r>
        <w:t xml:space="preserve">3.2 A real bug found while planning the backfill — must be fixed first</w:t>
      </w:r>
    </w:p>
    <w:p>
      <w:pPr>
        <w:spacing w:after="140" w:line="276"/>
      </w:pPr>
      <w:r>
        <w:t xml:space="preserve">Kannur Sahodaya (and likely other live tenants) already has some items registered under the old, season-level structure — heads that were never promoted. Before that data can be safely migrated, one existing gap in the promotion code needs fixing.</w:t>
      </w:r>
    </w:p>
    <w:p>
      <w:pPr>
        <w:pBdr>
          <w:left w:val="single" w:color="E0A800" w:sz="12"/>
        </w:pBdr>
        <w:shd w:fill="FFF6E5" w:val="clear"/>
        <w:spacing w:after="160" w:before="60"/>
        <w:ind w:left="200"/>
      </w:pPr>
      <w:r>
        <w:rPr>
          <w:i/>
          <w:iCs/>
          <w:color w:val="6B5300"/>
        </w:rPr>
        <w:t xml:space="preserve">PromoteSportsHeadsToDisciplineEvents::promote() moves FestEventItem, FestRegistration, FestMark, and FestSchoolEventFee onto the new discipline event, but it never updates FestParticipant.event_id. FestNumberingService — which assigns chest numbers and level-registration numbers — computes its "next number" for a head by directly querying FestParticipant::where('event_id', $event-&gt;id) (see nextEventRegNumber() and nextChestNumber()). After a promotion, existing participants still carry the season's event_id, so they become invisible to that query under the new discipline event. The very next student registered under that sport after promotion could be issued a chest number or level-registration number that's already in use by someone who registered before the promotion. This was very likely never triggered before because promotion was optional and rarely used on a season that already had live registrations — making it automatic changes that.</w:t>
      </w:r>
    </w:p>
    <w:p>
      <w:pPr>
        <w:spacing w:after="140" w:line="276"/>
      </w:pPr>
      <w:r>
        <w:t xml:space="preserve">Fix: extend the promotion transaction to also update FestParticipant.event_id for every participant whose registration is being moved (mirroring exactly what it already does for FestRegistration/FestMark), so the numbering queries see the complete picture under the new event. This fix ships together with the backfill in Phase 0, not as a follow-up — the backfill is not safe to run against live data until it's in place.</w:t>
      </w:r>
    </w:p>
    <w:p>
      <w:pPr>
        <w:pStyle w:val="Heading2"/>
        <w:spacing w:after="120" w:before="280"/>
      </w:pPr>
      <w:r>
        <w:t xml:space="preserve">3.3 Backfill for existing live data</w:t>
      </w:r>
    </w:p>
    <w:p>
      <w:pPr>
        <w:spacing w:after="140" w:line="276"/>
      </w:pPr>
      <w:r>
        <w:t xml:space="preserve">Once the fix above lands, a one-time backfill command runs the corrected PromoteSportsHeadsToDisciplineEvents::promote() for every season hub with un-promoted heads, exactly as the existing manual button already does today — the promotion code already moves everything in a single DB transaction per head and is idempotent (already-promoted heads are skipped), so re-running it is safe.</w:t>
      </w:r>
    </w:p>
    <w:p>
      <w:pPr>
        <w:pStyle w:val="Heading2"/>
        <w:spacing w:after="120" w:before="280"/>
      </w:pPr>
      <w:r>
        <w:t xml:space="preserve">3.4 New: per-head notification settings</w:t>
      </w:r>
    </w:p>
    <w:p>
      <w:pPr>
        <w:spacing w:after="140" w:line="276"/>
      </w:pPr>
      <w:r>
        <w:t xml:space="preserve">A new table, fest_item_head_notifications (or a JSON column on fest_item_heads if the field set stays small), stores, per head:</w:t>
      </w:r>
    </w:p>
    <w:p>
      <w:pPr>
        <w:pStyle w:val="ListParagraph"/>
        <w:numPr>
          <w:ilvl w:val="0"/>
          <w:numId w:val="1"/>
        </w:numPr>
        <w:spacing w:after="80" w:line="270"/>
      </w:pPr>
      <w:r>
        <w:t xml:space="preserve">Which triggers are enabled for this head (all are on by default, matching today's behavior).</w:t>
      </w:r>
    </w:p>
    <w:p>
      <w:pPr>
        <w:pStyle w:val="ListParagraph"/>
        <w:numPr>
          <w:ilvl w:val="0"/>
          <w:numId w:val="1"/>
        </w:numPr>
        <w:spacing w:after="80" w:line="270"/>
      </w:pPr>
      <w:r>
        <w:t xml:space="preserve">Optional extra recipients — a picker limited to existing platform users (per your decision), e.g. a specific sports-in-charge teacher or a dedicated Athletics coordinator, in addition to the standard school-admin/school-staff/sahodaya-admin roles that are always included.</w:t>
      </w:r>
    </w:p>
    <w:p>
      <w:pPr>
        <w:pStyle w:val="ListParagraph"/>
        <w:numPr>
          <w:ilvl w:val="0"/>
          <w:numId w:val="1"/>
        </w:numPr>
        <w:spacing w:after="80" w:line="270"/>
      </w:pPr>
      <w:r>
        <w:t xml:space="preserve">Optional custom message text per trigger, falling back to the shared template when not overridden.</w:t>
      </w:r>
    </w:p>
    <w:p>
      <w:pPr>
        <w:pStyle w:val="Heading2"/>
        <w:spacing w:after="120" w:before="280"/>
      </w:pPr>
      <w:r>
        <w:t xml:space="preserve">3.5 Fields that move from "event-level only" to "head page, backed by its own event"</w:t>
      </w:r>
    </w:p>
    <w:p>
      <w:pPr>
        <w:spacing w:after="140" w:line="276"/>
      </w:pPr>
      <w:r>
        <w:t xml:space="preserve">Nothing here requires a schema change beyond what promotion already copies — these fields already exist on FestEvent and simply become reachable from the Head's page because the Head's page now edits its own dedicated event directly, instead of a shared season-wide event.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1F3864" w:val="clear"/>
            <w:tcMar>
              <w:top w:type="dxa" w:w="60"/>
              <w:left w:type="dxa" w:w="100"/>
              <w:bottom w:type="dxa" w:w="60"/>
              <w:right w:type="dxa" w:w="100"/>
            </w:tcMar>
          </w:tcPr>
          <w:p>
            <w:r>
              <w:rPr>
                <w:b/>
                <w:bCs/>
                <w:color w:val="FFFFFF"/>
                <w:sz w:val="19"/>
                <w:szCs w:val="19"/>
              </w:rPr>
              <w:t xml:space="preserve">Field / capability</w:t>
            </w:r>
          </w:p>
        </w:tc>
        <w:tc>
          <w:tcPr>
            <w:tcW w:type="dxa" w:w="3300"/>
            <w:shd w:fill="1F3864" w:val="clear"/>
            <w:tcMar>
              <w:top w:type="dxa" w:w="60"/>
              <w:left w:type="dxa" w:w="100"/>
              <w:bottom w:type="dxa" w:w="60"/>
              <w:right w:type="dxa" w:w="100"/>
            </w:tcMar>
          </w:tcPr>
          <w:p>
            <w:r>
              <w:rPr>
                <w:b/>
                <w:bCs/>
                <w:color w:val="FFFFFF"/>
                <w:sz w:val="19"/>
                <w:szCs w:val="19"/>
              </w:rPr>
              <w:t xml:space="preserve">Where it lives today</w:t>
            </w:r>
          </w:p>
        </w:tc>
        <w:tc>
          <w:tcPr>
            <w:tcW w:type="dxa" w:w="3300"/>
            <w:shd w:fill="1F3864" w:val="clear"/>
            <w:tcMar>
              <w:top w:type="dxa" w:w="60"/>
              <w:left w:type="dxa" w:w="100"/>
              <w:bottom w:type="dxa" w:w="60"/>
              <w:right w:type="dxa" w:w="100"/>
            </w:tcMar>
          </w:tcPr>
          <w:p>
            <w:r>
              <w:rPr>
                <w:b/>
                <w:bCs/>
                <w:color w:val="FFFFFF"/>
                <w:sz w:val="19"/>
                <w:szCs w:val="19"/>
              </w:rPr>
              <w:t xml:space="preserve">Where it lives after this change</w:t>
            </w:r>
          </w:p>
        </w:tc>
      </w:tr>
      <w:tr>
        <w:tc>
          <w:tcPr>
            <w:tcW w:type="dxa" w:w="2600"/>
            <w:tcMar>
              <w:top w:type="dxa" w:w="60"/>
              <w:left w:type="dxa" w:w="100"/>
              <w:bottom w:type="dxa" w:w="60"/>
              <w:right w:type="dxa" w:w="100"/>
            </w:tcMar>
          </w:tcPr>
          <w:p>
            <w:r>
              <w:rPr>
                <w:b w:val="false"/>
                <w:bCs w:val="false"/>
                <w:sz w:val="19"/>
                <w:szCs w:val="19"/>
              </w:rPr>
              <w:t xml:space="preserve">Venue, event start/end</w:t>
            </w:r>
          </w:p>
        </w:tc>
        <w:tc>
          <w:tcPr>
            <w:tcW w:type="dxa" w:w="3300"/>
            <w:tcMar>
              <w:top w:type="dxa" w:w="60"/>
              <w:left w:type="dxa" w:w="100"/>
              <w:bottom w:type="dxa" w:w="60"/>
              <w:right w:type="dxa" w:w="100"/>
            </w:tcMar>
          </w:tcPr>
          <w:p>
            <w:r>
              <w:rPr>
                <w:b w:val="false"/>
                <w:bCs w:val="false"/>
                <w:sz w:val="19"/>
                <w:szCs w:val="19"/>
              </w:rPr>
              <w:t xml:space="preserve">Event-level (Overview) — head also has its own venue/dates copy, creating two places to check</w:t>
            </w:r>
          </w:p>
        </w:tc>
        <w:tc>
          <w:tcPr>
            <w:tcW w:type="dxa" w:w="3300"/>
            <w:tcMar>
              <w:top w:type="dxa" w:w="60"/>
              <w:left w:type="dxa" w:w="100"/>
              <w:bottom w:type="dxa" w:w="60"/>
              <w:right w:type="dxa" w:w="100"/>
            </w:tcMar>
          </w:tcPr>
          <w:p>
            <w:r>
              <w:rPr>
                <w:b w:val="false"/>
                <w:bCs w:val="false"/>
                <w:sz w:val="19"/>
                <w:szCs w:val="19"/>
              </w:rPr>
              <w:t xml:space="preserve">Head's page only, editing its own dedicated event — the head-level columns and the event columns become the same thing (already true immediately post-promotion)</w:t>
            </w:r>
          </w:p>
        </w:tc>
      </w:tr>
      <w:tr>
        <w:tc>
          <w:tcPr>
            <w:tcW w:type="dxa" w:w="2600"/>
            <w:shd w:fill="EAF0FA" w:val="clear"/>
            <w:tcMar>
              <w:top w:type="dxa" w:w="60"/>
              <w:left w:type="dxa" w:w="100"/>
              <w:bottom w:type="dxa" w:w="60"/>
              <w:right w:type="dxa" w:w="100"/>
            </w:tcMar>
          </w:tcPr>
          <w:p>
            <w:r>
              <w:rPr>
                <w:b w:val="false"/>
                <w:bCs w:val="false"/>
                <w:sz w:val="19"/>
                <w:szCs w:val="19"/>
              </w:rPr>
              <w:t xml:space="preserve">Registration open/close window</w:t>
            </w:r>
          </w:p>
        </w:tc>
        <w:tc>
          <w:tcPr>
            <w:tcW w:type="dxa" w:w="3300"/>
            <w:shd w:fill="EAF0FA" w:val="clear"/>
            <w:tcMar>
              <w:top w:type="dxa" w:w="60"/>
              <w:left w:type="dxa" w:w="100"/>
              <w:bottom w:type="dxa" w:w="60"/>
              <w:right w:type="dxa" w:w="100"/>
            </w:tcMar>
          </w:tcPr>
          <w:p>
            <w:r>
              <w:rPr>
                <w:b w:val="false"/>
                <w:bCs w:val="false"/>
                <w:sz w:val="19"/>
                <w:szCs w:val="19"/>
              </w:rPr>
              <w:t xml:space="preserve">Event-level (event_reg_start/end) plus a separate per-head reg_start/reg_end</w:t>
            </w:r>
          </w:p>
        </w:tc>
        <w:tc>
          <w:tcPr>
            <w:tcW w:type="dxa" w:w="3300"/>
            <w:shd w:fill="EAF0FA" w:val="clear"/>
            <w:tcMar>
              <w:top w:type="dxa" w:w="60"/>
              <w:left w:type="dxa" w:w="100"/>
              <w:bottom w:type="dxa" w:w="60"/>
              <w:right w:type="dxa" w:w="100"/>
            </w:tcMar>
          </w:tcPr>
          <w:p>
            <w:r>
              <w:rPr>
                <w:b w:val="false"/>
                <w:bCs w:val="false"/>
                <w:sz w:val="19"/>
                <w:szCs w:val="19"/>
              </w:rPr>
              <w:t xml:space="preserve">One registration window per head, on the head's own event</w:t>
            </w:r>
          </w:p>
        </w:tc>
      </w:tr>
      <w:tr>
        <w:tc>
          <w:tcPr>
            <w:tcW w:type="dxa" w:w="2600"/>
            <w:tcMar>
              <w:top w:type="dxa" w:w="60"/>
              <w:left w:type="dxa" w:w="100"/>
              <w:bottom w:type="dxa" w:w="60"/>
              <w:right w:type="dxa" w:w="100"/>
            </w:tcMar>
          </w:tcPr>
          <w:p>
            <w:r>
              <w:rPr>
                <w:b w:val="false"/>
                <w:bCs w:val="false"/>
                <w:sz w:val="19"/>
                <w:szCs w:val="19"/>
              </w:rPr>
              <w:t xml:space="preserve">Status lifecycle (draft → … → completed)</w:t>
            </w:r>
          </w:p>
        </w:tc>
        <w:tc>
          <w:tcPr>
            <w:tcW w:type="dxa" w:w="3300"/>
            <w:tcMar>
              <w:top w:type="dxa" w:w="60"/>
              <w:left w:type="dxa" w:w="100"/>
              <w:bottom w:type="dxa" w:w="60"/>
              <w:right w:type="dxa" w:w="100"/>
            </w:tcMar>
          </w:tcPr>
          <w:p>
            <w:r>
              <w:rPr>
                <w:b w:val="false"/>
                <w:bCs w:val="false"/>
                <w:sz w:val="19"/>
                <w:szCs w:val="19"/>
              </w:rPr>
              <w:t xml:space="preserve">Event-level only; head.status is optional and falls back to the event</w:t>
            </w:r>
          </w:p>
        </w:tc>
        <w:tc>
          <w:tcPr>
            <w:tcW w:type="dxa" w:w="3300"/>
            <w:tcMar>
              <w:top w:type="dxa" w:w="60"/>
              <w:left w:type="dxa" w:w="100"/>
              <w:bottom w:type="dxa" w:w="60"/>
              <w:right w:type="dxa" w:w="100"/>
            </w:tcMar>
          </w:tcPr>
          <w:p>
            <w:r>
              <w:rPr>
                <w:b w:val="false"/>
                <w:bCs w:val="false"/>
                <w:sz w:val="19"/>
                <w:szCs w:val="19"/>
              </w:rPr>
              <w:t xml:space="preserve">Head's own event status — no fallback needed since every head has its own event</w:t>
            </w:r>
          </w:p>
        </w:tc>
      </w:tr>
      <w:tr>
        <w:tc>
          <w:tcPr>
            <w:tcW w:type="dxa" w:w="2600"/>
            <w:shd w:fill="EAF0FA" w:val="clear"/>
            <w:tcMar>
              <w:top w:type="dxa" w:w="60"/>
              <w:left w:type="dxa" w:w="100"/>
              <w:bottom w:type="dxa" w:w="60"/>
              <w:right w:type="dxa" w:w="100"/>
            </w:tcMar>
          </w:tcPr>
          <w:p>
            <w:r>
              <w:rPr>
                <w:b w:val="false"/>
                <w:bCs w:val="false"/>
                <w:sz w:val="19"/>
                <w:szCs w:val="19"/>
              </w:rPr>
              <w:t xml:space="preserve">Schedule building &amp; publish</w:t>
            </w:r>
          </w:p>
        </w:tc>
        <w:tc>
          <w:tcPr>
            <w:tcW w:type="dxa" w:w="3300"/>
            <w:shd w:fill="EAF0FA" w:val="clear"/>
            <w:tcMar>
              <w:top w:type="dxa" w:w="60"/>
              <w:left w:type="dxa" w:w="100"/>
              <w:bottom w:type="dxa" w:w="60"/>
              <w:right w:type="dxa" w:w="100"/>
            </w:tcMar>
          </w:tcPr>
          <w:p>
            <w:r>
              <w:rPr>
                <w:b w:val="false"/>
                <w:bCs w:val="false"/>
                <w:sz w:val="19"/>
                <w:szCs w:val="19"/>
              </w:rPr>
              <w:t xml:space="preserve">Event-level (FestSchedule/FestStage/FestVenue all keyed to one shared event_id across every head in a season)</w:t>
            </w:r>
          </w:p>
        </w:tc>
        <w:tc>
          <w:tcPr>
            <w:tcW w:type="dxa" w:w="3300"/>
            <w:shd w:fill="EAF0FA" w:val="clear"/>
            <w:tcMar>
              <w:top w:type="dxa" w:w="60"/>
              <w:left w:type="dxa" w:w="100"/>
              <w:bottom w:type="dxa" w:w="60"/>
              <w:right w:type="dxa" w:w="100"/>
            </w:tcMar>
          </w:tcPr>
          <w:p>
            <w:r>
              <w:rPr>
                <w:b w:val="false"/>
                <w:bCs w:val="false"/>
                <w:sz w:val="19"/>
                <w:szCs w:val="19"/>
              </w:rPr>
              <w:t xml:space="preserve">Scoped to the head's own event — each sport schedules and publishes independently, which also naturally resolves today's cross-head schedule-conflict noise</w:t>
            </w:r>
          </w:p>
        </w:tc>
      </w:tr>
      <w:tr>
        <w:tc>
          <w:tcPr>
            <w:tcW w:type="dxa" w:w="2600"/>
            <w:tcMar>
              <w:top w:type="dxa" w:w="60"/>
              <w:left w:type="dxa" w:w="100"/>
              <w:bottom w:type="dxa" w:w="60"/>
              <w:right w:type="dxa" w:w="100"/>
            </w:tcMar>
          </w:tcPr>
          <w:p>
            <w:r>
              <w:rPr>
                <w:b w:val="false"/>
                <w:bCs w:val="false"/>
                <w:sz w:val="19"/>
                <w:szCs w:val="19"/>
              </w:rPr>
              <w:t xml:space="preserve">Marks entry &amp; results publish</w:t>
            </w:r>
          </w:p>
        </w:tc>
        <w:tc>
          <w:tcPr>
            <w:tcW w:type="dxa" w:w="3300"/>
            <w:tcMar>
              <w:top w:type="dxa" w:w="60"/>
              <w:left w:type="dxa" w:w="100"/>
              <w:bottom w:type="dxa" w:w="60"/>
              <w:right w:type="dxa" w:w="100"/>
            </w:tcMar>
          </w:tcPr>
          <w:p>
            <w:r>
              <w:rPr>
                <w:b w:val="false"/>
                <w:bCs w:val="false"/>
                <w:sz w:val="19"/>
                <w:szCs w:val="19"/>
              </w:rPr>
              <w:t xml:space="preserve">Event-level publish flag + independent per-item publish</w:t>
            </w:r>
          </w:p>
        </w:tc>
        <w:tc>
          <w:tcPr>
            <w:tcW w:type="dxa" w:w="3300"/>
            <w:tcMar>
              <w:top w:type="dxa" w:w="60"/>
              <w:left w:type="dxa" w:w="100"/>
              <w:bottom w:type="dxa" w:w="60"/>
              <w:right w:type="dxa" w:w="100"/>
            </w:tcMar>
          </w:tcPr>
          <w:p>
            <w:r>
              <w:rPr>
                <w:b w:val="false"/>
                <w:bCs w:val="false"/>
                <w:sz w:val="19"/>
                <w:szCs w:val="19"/>
              </w:rPr>
              <w:t xml:space="preserve">Head's own event — "publish results for Athletics" is a complete, self-contained action</w:t>
            </w:r>
          </w:p>
        </w:tc>
      </w:tr>
      <w:tr>
        <w:tc>
          <w:tcPr>
            <w:tcW w:type="dxa" w:w="2600"/>
            <w:shd w:fill="EAF0FA" w:val="clear"/>
            <w:tcMar>
              <w:top w:type="dxa" w:w="60"/>
              <w:left w:type="dxa" w:w="100"/>
              <w:bottom w:type="dxa" w:w="60"/>
              <w:right w:type="dxa" w:w="100"/>
            </w:tcMar>
          </w:tcPr>
          <w:p>
            <w:r>
              <w:rPr>
                <w:b w:val="false"/>
                <w:bCs w:val="false"/>
                <w:sz w:val="19"/>
                <w:szCs w:val="19"/>
              </w:rPr>
              <w:t xml:space="preserve">Numbering (chest / registration numbers)</w:t>
            </w:r>
          </w:p>
        </w:tc>
        <w:tc>
          <w:tcPr>
            <w:tcW w:type="dxa" w:w="3300"/>
            <w:shd w:fill="EAF0FA" w:val="clear"/>
            <w:tcMar>
              <w:top w:type="dxa" w:w="60"/>
              <w:left w:type="dxa" w:w="100"/>
              <w:bottom w:type="dxa" w:w="60"/>
              <w:right w:type="dxa" w:w="100"/>
            </w:tcMar>
          </w:tcPr>
          <w:p>
            <w:r>
              <w:rPr>
                <w:b w:val="false"/>
                <w:bCs w:val="false"/>
                <w:sz w:val="19"/>
                <w:szCs w:val="19"/>
              </w:rPr>
              <w:t xml:space="preserve">Event-wide settings, with per-item overrides</w:t>
            </w:r>
          </w:p>
        </w:tc>
        <w:tc>
          <w:tcPr>
            <w:tcW w:type="dxa" w:w="3300"/>
            <w:shd w:fill="EAF0FA" w:val="clear"/>
            <w:tcMar>
              <w:top w:type="dxa" w:w="60"/>
              <w:left w:type="dxa" w:w="100"/>
              <w:bottom w:type="dxa" w:w="60"/>
              <w:right w:type="dxa" w:w="100"/>
            </w:tcMar>
          </w:tcPr>
          <w:p>
            <w:r>
              <w:rPr>
                <w:b w:val="false"/>
                <w:bCs w:val="false"/>
                <w:sz w:val="19"/>
                <w:szCs w:val="19"/>
              </w:rPr>
              <w:t xml:space="preserve">Head's own event settings — already effectively per-head today via chest_head_id, this just moves the settings screen to match</w:t>
            </w:r>
          </w:p>
        </w:tc>
      </w:tr>
      <w:tr>
        <w:tc>
          <w:tcPr>
            <w:tcW w:type="dxa" w:w="2600"/>
            <w:tcMar>
              <w:top w:type="dxa" w:w="60"/>
              <w:left w:type="dxa" w:w="100"/>
              <w:bottom w:type="dxa" w:w="60"/>
              <w:right w:type="dxa" w:w="100"/>
            </w:tcMar>
          </w:tcPr>
          <w:p>
            <w:r>
              <w:rPr>
                <w:b w:val="false"/>
                <w:bCs w:val="false"/>
                <w:sz w:val="19"/>
                <w:szCs w:val="19"/>
              </w:rPr>
              <w:t xml:space="preserve">Registration/appeals/scoring locks, chest-reveal mode, certificate collection</w:t>
            </w:r>
          </w:p>
        </w:tc>
        <w:tc>
          <w:tcPr>
            <w:tcW w:type="dxa" w:w="3300"/>
            <w:tcMar>
              <w:top w:type="dxa" w:w="60"/>
              <w:left w:type="dxa" w:w="100"/>
              <w:bottom w:type="dxa" w:w="60"/>
              <w:right w:type="dxa" w:w="100"/>
            </w:tcMar>
          </w:tcPr>
          <w:p>
            <w:r>
              <w:rPr>
                <w:b w:val="false"/>
                <w:bCs w:val="false"/>
                <w:sz w:val="19"/>
                <w:szCs w:val="19"/>
              </w:rPr>
              <w:t xml:space="preserve">Event-level toggles shared by every head in the season</w:t>
            </w:r>
          </w:p>
        </w:tc>
        <w:tc>
          <w:tcPr>
            <w:tcW w:type="dxa" w:w="3300"/>
            <w:tcMar>
              <w:top w:type="dxa" w:w="60"/>
              <w:left w:type="dxa" w:w="100"/>
              <w:bottom w:type="dxa" w:w="60"/>
              <w:right w:type="dxa" w:w="100"/>
            </w:tcMar>
          </w:tcPr>
          <w:p>
            <w:r>
              <w:rPr>
                <w:b w:val="false"/>
                <w:bCs w:val="false"/>
                <w:sz w:val="19"/>
                <w:szCs w:val="19"/>
              </w:rPr>
              <w:t xml:space="preserve">Per-head toggles — Athletics can be locked for entries while Chess is still open</w:t>
            </w:r>
          </w:p>
        </w:tc>
      </w:tr>
      <w:tr>
        <w:tc>
          <w:tcPr>
            <w:tcW w:type="dxa" w:w="2600"/>
            <w:shd w:fill="EAF0FA" w:val="clear"/>
            <w:tcMar>
              <w:top w:type="dxa" w:w="60"/>
              <w:left w:type="dxa" w:w="100"/>
              <w:bottom w:type="dxa" w:w="60"/>
              <w:right w:type="dxa" w:w="100"/>
            </w:tcMar>
          </w:tcPr>
          <w:p>
            <w:r>
              <w:rPr>
                <w:b w:val="false"/>
                <w:bCs w:val="false"/>
                <w:sz w:val="19"/>
                <w:szCs w:val="19"/>
              </w:rPr>
              <w:t xml:space="preserve">Notifications &amp; recipients</w:t>
            </w:r>
          </w:p>
        </w:tc>
        <w:tc>
          <w:tcPr>
            <w:tcW w:type="dxa" w:w="3300"/>
            <w:shd w:fill="EAF0FA" w:val="clear"/>
            <w:tcMar>
              <w:top w:type="dxa" w:w="60"/>
              <w:left w:type="dxa" w:w="100"/>
              <w:bottom w:type="dxa" w:w="60"/>
              <w:right w:type="dxa" w:w="100"/>
            </w:tcMar>
          </w:tcPr>
          <w:p>
            <w:r>
              <w:rPr>
                <w:b w:val="false"/>
                <w:bCs w:val="false"/>
                <w:sz w:val="19"/>
                <w:szCs w:val="19"/>
              </w:rPr>
              <w:t xml:space="preserve">Not head-aware at all today — one template per event_type</w:t>
            </w:r>
          </w:p>
        </w:tc>
        <w:tc>
          <w:tcPr>
            <w:tcW w:type="dxa" w:w="3300"/>
            <w:shd w:fill="EAF0FA" w:val="clear"/>
            <w:tcMar>
              <w:top w:type="dxa" w:w="60"/>
              <w:left w:type="dxa" w:w="100"/>
              <w:bottom w:type="dxa" w:w="60"/>
              <w:right w:type="dxa" w:w="100"/>
            </w:tcMar>
          </w:tcPr>
          <w:p>
            <w:r>
              <w:rPr>
                <w:b w:val="false"/>
                <w:bCs w:val="false"/>
                <w:sz w:val="19"/>
                <w:szCs w:val="19"/>
              </w:rPr>
              <w:t xml:space="preserve">Per-head content and recipients (§3.3), with the event-type template as the fallback when a head hasn't customized anything</w:t>
            </w:r>
          </w:p>
        </w:tc>
      </w:tr>
    </w:tbl>
    <w:p>
      <w:pPr>
        <w:pStyle w:val="Heading1"/>
        <w:spacing w:after="160" w:before="360"/>
      </w:pPr>
      <w:r>
        <w:t xml:space="preserve">4. Navigation &amp; Routes</w:t>
      </w:r>
    </w:p>
    <w:p>
      <w:pPr>
        <w:spacing w:after="140" w:line="276"/>
      </w:pPr>
      <w:r>
        <w:t xml:space="preserve">To avoid a risky rewrite of the eleven-plus controllers that already correctly implement scheduling, marks, results, chest numbers, ID cards, and appeals (all of which operate on a FestEvent), this plan reuses those controllers unchanged and simply changes how an admin arrives at them.</w:t>
      </w:r>
    </w:p>
    <w:p>
      <w:pPr>
        <w:pStyle w:val="ListParagraph"/>
        <w:numPr>
          <w:ilvl w:val="0"/>
          <w:numId w:val="1"/>
        </w:numPr>
        <w:spacing w:after="80" w:line="270"/>
      </w:pPr>
      <w:r>
        <w:t xml:space="preserve">New base route: /sahodaya-admin/{tenant}/sports/heads/{head}/... — every sub-page (overview, competition/items, registrations, fees, schedule, marks, results, chest numbers, ID cards, appeals, settings) resolves $event = $head-&gt;disciplineEvent internally and renders the exact same page component that exists today for that event.</w:t>
      </w:r>
    </w:p>
    <w:p>
      <w:pPr>
        <w:pStyle w:val="ListParagraph"/>
        <w:numPr>
          <w:ilvl w:val="0"/>
          <w:numId w:val="1"/>
        </w:numPr>
        <w:spacing w:after="80" w:line="270"/>
      </w:pPr>
      <w:r>
        <w:t xml:space="preserve">The Sports Program Index becomes a flat directory of Event Heads (Athletics, Chess, Aquatics, …) with status/progress at a glance, replacing today's "season hub, or list of discipline events if promoted" branching logic — because after this change every head always has its event, that branching has nothing left to decide.</w:t>
      </w:r>
    </w:p>
    <w:p>
      <w:pPr>
        <w:pStyle w:val="ListParagraph"/>
        <w:numPr>
          <w:ilvl w:val="0"/>
          <w:numId w:val="1"/>
        </w:numPr>
        <w:spacing w:after="80" w:line="270"/>
      </w:pPr>
      <w:r>
        <w:t xml:space="preserve">The old /sahodaya-admin/{tenant}/events/{event}/... routes keep working unchanged underneath (nothing is deleted from the database or the router) — they are simply removed from the Sports sidebar/nav so an admin never lands there directly for a sports event. This keeps the change reversible: if something regresses, the old navigation can be restored without any data migration.</w:t>
      </w:r>
    </w:p>
    <w:p>
      <w:pPr>
        <w:pStyle w:val="ListParagraph"/>
        <w:numPr>
          <w:ilvl w:val="0"/>
          <w:numId w:val="1"/>
        </w:numPr>
        <w:spacing w:after="80" w:line="270"/>
      </w:pPr>
      <w:r>
        <w:t xml:space="preserve">The season hub gets one dedicated read-only page: cross-sport medal tally, points scoreboard, and the season remittance banner — no edit actions.</w:t>
      </w:r>
    </w:p>
    <w:p>
      <w:pPr>
        <w:pStyle w:val="Heading2"/>
        <w:spacing w:after="120" w:before="280"/>
      </w:pPr>
      <w:r>
        <w:t xml:space="preserve">4.1 School-side navigation changes too</w:t>
      </w:r>
    </w:p>
    <w:p>
      <w:pPr>
        <w:spacing w:after="140" w:line="276"/>
      </w:pPr>
      <w:r>
        <w:t xml:space="preserve">Per your decision, the school-facing side is restructured to match: today FestRegistrationController::itemRegistrationEntry() resolves the school straight into the one singleton Sports season event, then into head-scoped tabs within it (FestEvent::isSingletonType() assumes exactly one Sports event exists per Sahodaya per year). Once every Event Head is its own event, that singleton assumption no longer holds — a Sahodaya now legitimately has many "sports" events in a season, one per discipline.</w:t>
      </w:r>
    </w:p>
    <w:p>
      <w:pPr>
        <w:pStyle w:val="ListParagraph"/>
        <w:numPr>
          <w:ilvl w:val="0"/>
          <w:numId w:val="1"/>
        </w:numPr>
        <w:spacing w:after="80" w:line="270"/>
      </w:pPr>
      <w:r>
        <w:t xml:space="preserve">The school Sports landing page becomes a list of sports (Athletics, Chess, Aquatics, …) — effectively the discipline events belonging to the current season — instead of resolving straight through to one event's head tabs.</w:t>
      </w:r>
    </w:p>
    <w:p>
      <w:pPr>
        <w:pStyle w:val="ListParagraph"/>
        <w:numPr>
          <w:ilvl w:val="0"/>
          <w:numId w:val="1"/>
        </w:numPr>
        <w:spacing w:after="80" w:line="270"/>
      </w:pPr>
      <w:r>
        <w:t xml:space="preserve">Picking a sport takes the school directly into that sport's own item list, fee breakdown, and registrations — the same item-browsing experience that exists today, just reached via a sport picker instead of a head tab.</w:t>
      </w:r>
    </w:p>
    <w:p>
      <w:pPr>
        <w:pStyle w:val="ListParagraph"/>
        <w:numPr>
          <w:ilvl w:val="0"/>
          <w:numId w:val="1"/>
        </w:numPr>
        <w:spacing w:after="80" w:line="270"/>
      </w:pPr>
      <w:r>
        <w:t xml:space="preserve">isSingletonType()/resolveSingletonSchoolEvent() and the "listedForSchool" event-visibility scopes need to stop assuming one Sports event and instead list every discipline event under the current season that's visible to schools (registration_open/ongoing/etc.) — this is a real code change in FestEvent and FestRegistrationController, not just a nav relabel.</w:t>
      </w:r>
    </w:p>
    <w:p>
      <w:pPr>
        <w:pStyle w:val="ListParagraph"/>
        <w:numPr>
          <w:ilvl w:val="0"/>
          <w:numId w:val="1"/>
        </w:numPr>
        <w:spacing w:after="80" w:line="270"/>
      </w:pPr>
      <w:r>
        <w:t xml:space="preserve">Because schools only register at the Sahodaya level today (school-level rounds aren't being conducted), this is the only school-facing flow that needs attention — the fest-day, payment, and results screens already operate per event and need no structural change beyond receiving a discipline event instead of the season event.</w:t>
      </w:r>
    </w:p>
    <w:p>
      <w:pPr>
        <w:pStyle w:val="Heading1"/>
        <w:spacing w:after="160" w:before="360"/>
      </w:pPr>
      <w:r>
        <w:t xml:space="preserve">5. Per-Head Notifications — Design</w:t>
      </w:r>
    </w:p>
    <w:p>
      <w:pPr>
        <w:spacing w:after="140" w:line="276"/>
      </w:pPr>
      <w:r>
        <w:t xml:space="preserve">Every trigger already catalogued in the earlier Sports workflow audit (registration approved/rejected/withdrawn, payment pending, results published, schedule published, chest number revealed, appeal received, etc.) keeps firing at exactly the same moments — nothing about when a notification fires changes. What changes is what gets sent and to whom:</w:t>
      </w:r>
    </w:p>
    <w:p>
      <w:pPr>
        <w:pStyle w:val="ListParagraph"/>
        <w:numPr>
          <w:ilvl w:val="0"/>
          <w:numId w:val="1"/>
        </w:numPr>
        <w:spacing w:after="80" w:line="270"/>
      </w:pPr>
      <w:r>
        <w:t xml:space="preserve">Template resolution gains a head-level tier: fest.sports.{head_key}.{suffix} is tried first (a head-specific override), then fest.sports.{suffix} (today's program-wide template), then the generic fest.{suffix}.</w:t>
      </w:r>
    </w:p>
    <w:p>
      <w:pPr>
        <w:pStyle w:val="ListParagraph"/>
        <w:numPr>
          <w:ilvl w:val="0"/>
          <w:numId w:val="1"/>
        </w:numPr>
        <w:spacing w:after="80" w:line="270"/>
      </w:pPr>
      <w:r>
        <w:t xml:space="preserve">Recipient resolution gains an additive per-head list: the standard roles (school_admin/school_staff for school-facing triggers, sahodaya_admin/sahodaya_staff/event_coordinator for Sahodaya-facing ones) are always included, plus any extra contacts configured on that specific head.</w:t>
      </w:r>
    </w:p>
    <w:p>
      <w:pPr>
        <w:pStyle w:val="ListParagraph"/>
        <w:numPr>
          <w:ilvl w:val="0"/>
          <w:numId w:val="1"/>
        </w:numPr>
        <w:spacing w:after="80" w:line="270"/>
      </w:pPr>
      <w:r>
        <w:t xml:space="preserve">FestEventNotifier's existing methods are extended with an optional head parameter rather than replaced, so every other Fest program (Kalotsav, Custom Competitions, etc.) that calls the same notifier is unaffected.</w:t>
      </w:r>
    </w:p>
    <w:p>
      <w:pPr>
        <w:pStyle w:val="Heading1"/>
        <w:spacing w:after="160" w:before="360"/>
      </w:pPr>
      <w:r>
        <w:t xml:space="preserve">6. Rollout Phases</w:t>
      </w:r>
    </w:p>
    <w:p>
      <w:pPr>
        <w:spacing w:after="140" w:line="276"/>
      </w:pPr>
      <w:r>
        <w:t xml:space="preserve">Staged deliberately, since this is a live production system that can't be tested with a browser or test suite from this environment — each phase should be deployed and manually checked on the real site before the next begins.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100"/>
      </w:tblGrid>
      <w:tr>
        <w:trPr>
          <w:tblHeader/>
        </w:trPr>
        <w:tc>
          <w:tcPr>
            <w:tcW w:type="dxa" w:w="900"/>
            <w:shd w:fill="1F3864" w:val="clear"/>
            <w:tcMar>
              <w:top w:type="dxa" w:w="60"/>
              <w:left w:type="dxa" w:w="100"/>
              <w:bottom w:type="dxa" w:w="60"/>
              <w:right w:type="dxa" w:w="100"/>
            </w:tcMar>
          </w:tcPr>
          <w:p>
            <w:r>
              <w:rPr>
                <w:b/>
                <w:bCs/>
                <w:color w:val="FFFFFF"/>
                <w:sz w:val="19"/>
                <w:szCs w:val="19"/>
              </w:rPr>
              <w:t xml:space="preserve">Phase</w:t>
            </w:r>
          </w:p>
        </w:tc>
        <w:tc>
          <w:tcPr>
            <w:tcW w:type="dxa" w:w="5200"/>
            <w:shd w:fill="1F3864" w:val="clear"/>
            <w:tcMar>
              <w:top w:type="dxa" w:w="60"/>
              <w:left w:type="dxa" w:w="100"/>
              <w:bottom w:type="dxa" w:w="60"/>
              <w:right w:type="dxa" w:w="100"/>
            </w:tcMar>
          </w:tcPr>
          <w:p>
            <w:r>
              <w:rPr>
                <w:b/>
                <w:bCs/>
                <w:color w:val="FFFFFF"/>
                <w:sz w:val="19"/>
                <w:szCs w:val="19"/>
              </w:rPr>
              <w:t xml:space="preserve">What ships</w:t>
            </w:r>
          </w:p>
        </w:tc>
        <w:tc>
          <w:tcPr>
            <w:tcW w:type="dxa" w:w="3100"/>
            <w:shd w:fill="1F3864" w:val="clear"/>
            <w:tcMar>
              <w:top w:type="dxa" w:w="60"/>
              <w:left w:type="dxa" w:w="100"/>
              <w:bottom w:type="dxa" w:w="60"/>
              <w:right w:type="dxa" w:w="100"/>
            </w:tcMar>
          </w:tcPr>
          <w:p>
            <w:r>
              <w:rPr>
                <w:b/>
                <w:bCs/>
                <w:color w:val="FFFFFF"/>
                <w:sz w:val="19"/>
                <w:szCs w:val="19"/>
              </w:rPr>
              <w:t xml:space="preserve">Risk if wrong</w:t>
            </w:r>
          </w:p>
        </w:tc>
      </w:tr>
      <w:tr>
        <w:tc>
          <w:tcPr>
            <w:tcW w:type="dxa" w:w="900"/>
            <w:tcMar>
              <w:top w:type="dxa" w:w="60"/>
              <w:left w:type="dxa" w:w="100"/>
              <w:bottom w:type="dxa" w:w="60"/>
              <w:right w:type="dxa" w:w="100"/>
            </w:tcMar>
          </w:tcPr>
          <w:p>
            <w:r>
              <w:rPr>
                <w:b w:val="false"/>
                <w:bCs w:val="false"/>
                <w:sz w:val="19"/>
                <w:szCs w:val="19"/>
              </w:rPr>
              <w:t xml:space="preserve">0</w:t>
            </w:r>
          </w:p>
        </w:tc>
        <w:tc>
          <w:tcPr>
            <w:tcW w:type="dxa" w:w="5200"/>
            <w:tcMar>
              <w:top w:type="dxa" w:w="60"/>
              <w:left w:type="dxa" w:w="100"/>
              <w:bottom w:type="dxa" w:w="60"/>
              <w:right w:type="dxa" w:w="100"/>
            </w:tcMar>
          </w:tcPr>
          <w:p>
            <w:r>
              <w:rPr>
                <w:b w:val="false"/>
                <w:bCs w:val="false"/>
                <w:sz w:val="19"/>
                <w:szCs w:val="19"/>
              </w:rPr>
              <w:t xml:space="preserve">Backfill: promote every existing un-promoted head on every live Sahodaya (idempotent — safe to re-run).</w:t>
            </w:r>
          </w:p>
        </w:tc>
        <w:tc>
          <w:tcPr>
            <w:tcW w:type="dxa" w:w="3100"/>
            <w:tcMar>
              <w:top w:type="dxa" w:w="60"/>
              <w:left w:type="dxa" w:w="100"/>
              <w:bottom w:type="dxa" w:w="60"/>
              <w:right w:type="dxa" w:w="100"/>
            </w:tcMar>
          </w:tcPr>
          <w:p>
            <w:r>
              <w:rPr>
                <w:b w:val="false"/>
                <w:bCs w:val="false"/>
                <w:sz w:val="19"/>
                <w:szCs w:val="19"/>
              </w:rPr>
              <w:t xml:space="preserve">Low — reuses the existing, already-shipped promotion transaction; nothing new.</w:t>
            </w:r>
          </w:p>
        </w:tc>
      </w:tr>
      <w:tr>
        <w:tc>
          <w:tcPr>
            <w:tcW w:type="dxa" w:w="900"/>
            <w:shd w:fill="EAF0FA" w:val="clear"/>
            <w:tcMar>
              <w:top w:type="dxa" w:w="60"/>
              <w:left w:type="dxa" w:w="100"/>
              <w:bottom w:type="dxa" w:w="60"/>
              <w:right w:type="dxa" w:w="100"/>
            </w:tcMar>
          </w:tcPr>
          <w:p>
            <w:r>
              <w:rPr>
                <w:b w:val="false"/>
                <w:bCs w:val="false"/>
                <w:sz w:val="19"/>
                <w:szCs w:val="19"/>
              </w:rPr>
              <w:t xml:space="preserve">1</w:t>
            </w:r>
          </w:p>
        </w:tc>
        <w:tc>
          <w:tcPr>
            <w:tcW w:type="dxa" w:w="5200"/>
            <w:shd w:fill="EAF0FA" w:val="clear"/>
            <w:tcMar>
              <w:top w:type="dxa" w:w="60"/>
              <w:left w:type="dxa" w:w="100"/>
              <w:bottom w:type="dxa" w:w="60"/>
              <w:right w:type="dxa" w:w="100"/>
            </w:tcMar>
          </w:tcPr>
          <w:p>
            <w:r>
              <w:rPr>
                <w:b w:val="false"/>
                <w:bCs w:val="false"/>
                <w:sz w:val="19"/>
                <w:szCs w:val="19"/>
              </w:rPr>
              <w:t xml:space="preserve">Auto-promote new heads at creation time; remove the manual "Promote" button/UI.</w:t>
            </w:r>
          </w:p>
        </w:tc>
        <w:tc>
          <w:tcPr>
            <w:tcW w:type="dxa" w:w="3100"/>
            <w:shd w:fill="EAF0FA" w:val="clear"/>
            <w:tcMar>
              <w:top w:type="dxa" w:w="60"/>
              <w:left w:type="dxa" w:w="100"/>
              <w:bottom w:type="dxa" w:w="60"/>
              <w:right w:type="dxa" w:w="100"/>
            </w:tcMar>
          </w:tcPr>
          <w:p>
            <w:r>
              <w:rPr>
                <w:b w:val="false"/>
                <w:bCs w:val="false"/>
                <w:sz w:val="19"/>
                <w:szCs w:val="19"/>
              </w:rPr>
              <w:t xml:space="preserve">Low — same code path as Phase 0, just triggered earlier.</w:t>
            </w:r>
          </w:p>
        </w:tc>
      </w:tr>
      <w:tr>
        <w:tc>
          <w:tcPr>
            <w:tcW w:type="dxa" w:w="900"/>
            <w:tcMar>
              <w:top w:type="dxa" w:w="60"/>
              <w:left w:type="dxa" w:w="100"/>
              <w:bottom w:type="dxa" w:w="60"/>
              <w:right w:type="dxa" w:w="100"/>
            </w:tcMar>
          </w:tcPr>
          <w:p>
            <w:r>
              <w:rPr>
                <w:b w:val="false"/>
                <w:bCs w:val="false"/>
                <w:sz w:val="19"/>
                <w:szCs w:val="19"/>
              </w:rPr>
              <w:t xml:space="preserve">2</w:t>
            </w:r>
          </w:p>
        </w:tc>
        <w:tc>
          <w:tcPr>
            <w:tcW w:type="dxa" w:w="5200"/>
            <w:tcMar>
              <w:top w:type="dxa" w:w="60"/>
              <w:left w:type="dxa" w:w="100"/>
              <w:bottom w:type="dxa" w:w="60"/>
              <w:right w:type="dxa" w:w="100"/>
            </w:tcMar>
          </w:tcPr>
          <w:p>
            <w:r>
              <w:rPr>
                <w:b w:val="false"/>
                <w:bCs w:val="false"/>
                <w:sz w:val="19"/>
                <w:szCs w:val="19"/>
              </w:rPr>
              <w:t xml:space="preserve">New Head-first routes/nav (Program Index → flat head directory; head pages resolve to their own event). Old event-level routes stay live but hidden from Sports nav.</w:t>
            </w:r>
          </w:p>
        </w:tc>
        <w:tc>
          <w:tcPr>
            <w:tcW w:type="dxa" w:w="3100"/>
            <w:tcMar>
              <w:top w:type="dxa" w:w="60"/>
              <w:left w:type="dxa" w:w="100"/>
              <w:bottom w:type="dxa" w:w="60"/>
              <w:right w:type="dxa" w:w="100"/>
            </w:tcMar>
          </w:tcPr>
          <w:p>
            <w:r>
              <w:rPr>
                <w:b w:val="false"/>
                <w:bCs w:val="false"/>
                <w:sz w:val="19"/>
                <w:szCs w:val="19"/>
              </w:rPr>
              <w:t xml:space="preserve">Medium — mostly routing/UI; easy to roll back by restoring the old nav since nothing underneath changed.</w:t>
            </w:r>
          </w:p>
        </w:tc>
      </w:tr>
      <w:tr>
        <w:tc>
          <w:tcPr>
            <w:tcW w:type="dxa" w:w="900"/>
            <w:shd w:fill="EAF0FA" w:val="clear"/>
            <w:tcMar>
              <w:top w:type="dxa" w:w="60"/>
              <w:left w:type="dxa" w:w="100"/>
              <w:bottom w:type="dxa" w:w="60"/>
              <w:right w:type="dxa" w:w="100"/>
            </w:tcMar>
          </w:tcPr>
          <w:p>
            <w:r>
              <w:rPr>
                <w:b w:val="false"/>
                <w:bCs w:val="false"/>
                <w:sz w:val="19"/>
                <w:szCs w:val="19"/>
              </w:rPr>
              <w:t xml:space="preserve">3</w:t>
            </w:r>
          </w:p>
        </w:tc>
        <w:tc>
          <w:tcPr>
            <w:tcW w:type="dxa" w:w="5200"/>
            <w:shd w:fill="EAF0FA" w:val="clear"/>
            <w:tcMar>
              <w:top w:type="dxa" w:w="60"/>
              <w:left w:type="dxa" w:w="100"/>
              <w:bottom w:type="dxa" w:w="60"/>
              <w:right w:type="dxa" w:w="100"/>
            </w:tcMar>
          </w:tcPr>
          <w:p>
            <w:r>
              <w:rPr>
                <w:b w:val="false"/>
                <w:bCs w:val="false"/>
                <w:sz w:val="19"/>
                <w:szCs w:val="19"/>
              </w:rPr>
              <w:t xml:space="preserve">Per-head notification settings (new table/column, settings UI on the head page, notifier extended with head-aware resolution).</w:t>
            </w:r>
          </w:p>
        </w:tc>
        <w:tc>
          <w:tcPr>
            <w:tcW w:type="dxa" w:w="3100"/>
            <w:shd w:fill="EAF0FA" w:val="clear"/>
            <w:tcMar>
              <w:top w:type="dxa" w:w="60"/>
              <w:left w:type="dxa" w:w="100"/>
              <w:bottom w:type="dxa" w:w="60"/>
              <w:right w:type="dxa" w:w="100"/>
            </w:tcMar>
          </w:tcPr>
          <w:p>
            <w:r>
              <w:rPr>
                <w:b w:val="false"/>
                <w:bCs w:val="false"/>
                <w:sz w:val="19"/>
                <w:szCs w:val="19"/>
              </w:rPr>
              <w:t xml:space="preserve">Medium — additive only; if a head has no custom settings, behavior is byte-for-byte identical to today.</w:t>
            </w:r>
          </w:p>
        </w:tc>
      </w:tr>
      <w:tr>
        <w:tc>
          <w:tcPr>
            <w:tcW w:type="dxa" w:w="900"/>
            <w:tcMar>
              <w:top w:type="dxa" w:w="60"/>
              <w:left w:type="dxa" w:w="100"/>
              <w:bottom w:type="dxa" w:w="60"/>
              <w:right w:type="dxa" w:w="100"/>
            </w:tcMar>
          </w:tcPr>
          <w:p>
            <w:r>
              <w:rPr>
                <w:b w:val="false"/>
                <w:bCs w:val="false"/>
                <w:sz w:val="19"/>
                <w:szCs w:val="19"/>
              </w:rPr>
              <w:t xml:space="preserve">4</w:t>
            </w:r>
          </w:p>
        </w:tc>
        <w:tc>
          <w:tcPr>
            <w:tcW w:type="dxa" w:w="5200"/>
            <w:tcMar>
              <w:top w:type="dxa" w:w="60"/>
              <w:left w:type="dxa" w:w="100"/>
              <w:bottom w:type="dxa" w:w="60"/>
              <w:right w:type="dxa" w:w="100"/>
            </w:tcMar>
          </w:tcPr>
          <w:p>
            <w:r>
              <w:rPr>
                <w:b w:val="false"/>
                <w:bCs w:val="false"/>
                <w:sz w:val="19"/>
                <w:szCs w:val="19"/>
              </w:rPr>
              <w:t xml:space="preserve">Remove the now-dead "not yet promoted" branching and old Sports nav entry points once Phase 2/3 are confirmed stable on the live site.</w:t>
            </w:r>
          </w:p>
        </w:tc>
        <w:tc>
          <w:tcPr>
            <w:tcW w:type="dxa" w:w="3100"/>
            <w:tcMar>
              <w:top w:type="dxa" w:w="60"/>
              <w:left w:type="dxa" w:w="100"/>
              <w:bottom w:type="dxa" w:w="60"/>
              <w:right w:type="dxa" w:w="100"/>
            </w:tcMar>
          </w:tcPr>
          <w:p>
            <w:r>
              <w:rPr>
                <w:b w:val="false"/>
                <w:bCs w:val="false"/>
                <w:sz w:val="19"/>
                <w:szCs w:val="19"/>
              </w:rPr>
              <w:t xml:space="preserve">Low — cleanup only, after the above is proven.</w:t>
            </w:r>
          </w:p>
        </w:tc>
      </w:tr>
    </w:tbl>
    <w:p>
      <w:pPr>
        <w:pStyle w:val="Heading1"/>
        <w:spacing w:after="160" w:before="360"/>
      </w:pPr>
      <w:r>
        <w:t xml:space="preserve">7. Risks &amp; Open Questions</w:t>
      </w:r>
    </w:p>
    <w:p>
      <w:pPr>
        <w:spacing w:after="100" w:line="270"/>
      </w:pPr>
      <w:r>
        <w:rPr>
          <w:b/>
          <w:bCs/>
        </w:rPr>
        <w:t xml:space="preserve">Existing "school-level round" events </w:t>
      </w:r>
      <w:r>
        <w:t xml:space="preserve">are untouched by this plan — they're a separate concept (level_round = school) from the season/discipline pairing and don't have Event Heads of their own in the same way. Worth confirming they should stay exactly as-is.</w:t>
      </w:r>
    </w:p>
    <w:p>
      <w:pPr>
        <w:spacing w:after="100" w:line="270"/>
      </w:pPr>
      <w:r>
        <w:rPr>
          <w:b/>
          <w:bCs/>
        </w:rPr>
        <w:t xml:space="preserve">Reporting across the whole season </w:t>
      </w:r>
      <w:r>
        <w:t xml:space="preserve">(the medal tally, points scoreboard) already aggregates across discipline events today when heads are promoted — Phase 0's backfill should be verified against a season that already has a mix of promoted and un-promoted heads, to make sure nothing double-counts.</w:t>
      </w:r>
    </w:p>
    <w:p>
      <w:pPr>
        <w:spacing w:after="100" w:line="270"/>
      </w:pPr>
      <w:r>
        <w:rPr>
          <w:b/>
          <w:bCs/>
        </w:rPr>
        <w:t xml:space="preserve">Per-head notification recipients </w:t>
      </w:r>
      <w:r>
        <w:t xml:space="preserve">need one more decision before coding: should "extra recipients" be arbitrary email addresses entered by the Sahodaya admin, or must they be existing platform users (so notifications stay inside the in-app + email system rather than becoming a separate raw-email sender)? Recommend restricting to existing users for consistency with how every other notification in the platform works, but flagging it as your call.</w:t>
      </w:r>
    </w:p>
    <w:p>
      <w:pPr>
        <w:spacing w:after="100" w:line="270"/>
      </w:pPr>
      <w:r>
        <w:rPr>
          <w:b/>
          <w:bCs/>
        </w:rPr>
        <w:t xml:space="preserve">sports_age_cutoff_date scope </w:t>
      </w:r>
      <w:r>
        <w:t xml:space="preserve">(season-wide vs per-head) — see the note in §3.4.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2026-07-15T19:05:21.003Z</dcterms:created>
  <dcterms:modified xsi:type="dcterms:W3CDTF">2026-07-15T19:05:21.004Z</dcterms:modified>
</cp:coreProperties>
</file>

<file path=docProps/custom.xml><?xml version="1.0" encoding="utf-8"?>
<Properties xmlns="http://schemas.openxmlformats.org/officeDocument/2006/custom-properties" xmlns:vt="http://schemas.openxmlformats.org/officeDocument/2006/docPropsVTypes"/>
</file>