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Remaining Work — Detailed Task List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Generated 2026-07-12 · Task IDs match the in-app task tracker (#76-157)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  <w:color w:val="15803d"/>
        </w:rPr>
        <w:t xml:space="preserve">All 82 tracked tasks are now resolved: 79 implemented and committed, 3 explicitly descoped by the client (TC/Transfer Certificate workflow, student class-promotion/rollover, and the Division/Section field — "not our purpose" / "dont need section for students"). Nothing remains open in this completion plan.</w:t>
      </w:r>
    </w:p>
    <w:p>
      <w:pPr>
        <w:pStyle w:val="Heading1"/>
        <w:spacing w:after="150" w:before="300"/>
      </w:pPr>
      <w:r>
        <w:t xml:space="preserve">Done — Student Registry (FRD-02, student side)</w:t>
      </w:r>
    </w:p>
    <w:p>
      <w:pPr>
        <w:spacing w:after="120"/>
      </w:pPr>
      <w:r>
        <w:rPr>
          <w:i/>
          <w:iCs/>
          <w:color w:val="16794d"/>
        </w:rPr>
        <w:t xml:space="preserve">All 10 remaining tasks (#76-77, #79-86) implemented and committed: reject-with-remarks + bulk reject, all 4 FRD notification triggers, dead-method cleanup, CSV duplicate-check, TC report gating, SoftDeletes, roster CSV/XLSX/PDF export, fest/sports controller split, composite DB index. #78 (Division/Section field) remains Descoped per client scope decision.</w:t>
      </w:r>
    </w:p>
    <w:p>
      <w:pPr>
        <w:pStyle w:val="Heading1"/>
        <w:spacing w:after="150" w:before="300"/>
      </w:pPr>
      <w:r>
        <w:t xml:space="preserve">Done — Teacher Training (FRD-09)</w:t>
      </w:r>
    </w:p>
    <w:p>
      <w:pPr>
        <w:spacing w:after="120"/>
      </w:pPr>
      <w:r>
        <w:rPr>
          <w:i/>
          <w:iCs/>
          <w:color w:val="16794d"/>
        </w:rPr>
        <w:t xml:space="preserve">All 26 tasks (#87-112, Critical through Low) implemented and committed: pending-school resolution, report-filter fixes, attendance-based certificate eligibility, feedback module, bulk registration/CSV, CPD tracking, eligibility builder, Resource Person management, differentiated fees, category master, multi-type certificates, notifications, waiting list, invoices, ID cards, correction-approval attendance states, and more.</w:t>
      </w:r>
    </w:p>
    <w:p>
      <w:pPr>
        <w:pStyle w:val="Heading1"/>
        <w:spacing w:after="150" w:before="300"/>
      </w:pPr>
      <w:r>
        <w:t xml:space="preserve">Done — Talent Search / MCQ Exams (FRD-07)</w:t>
      </w:r>
    </w:p>
    <w:p>
      <w:pPr>
        <w:spacing w:after="120"/>
      </w:pPr>
      <w:r>
        <w:rPr>
          <w:i/>
          <w:iCs/>
          <w:color w:val="16794d"/>
        </w:rPr>
        <w:t xml:space="preserve">All 19 tasks (#113-127 plus the earlier Critical tier) implemented and committed: teacher exam registration, result/school/malpractice reports, rank_eligible wiring, reminder/certificate notifications, seat allocation, exam-code + window fields, printable documents, Excel import, public certificate verification, negative marking.</w:t>
      </w:r>
    </w:p>
    <w:p>
      <w:pPr>
        <w:pStyle w:val="Heading1"/>
        <w:spacing w:after="150" w:before="300"/>
      </w:pPr>
      <w:r>
        <w:t xml:space="preserve">Done — Academic Results, Toppers &amp; Achievements (FRD-21)</w:t>
      </w:r>
    </w:p>
    <w:p>
      <w:pPr>
        <w:spacing w:after="120"/>
      </w:pPr>
      <w:r>
        <w:rPr>
          <w:i/>
          <w:iCs/>
          <w:color w:val="16794d"/>
        </w:rPr>
        <w:t xml:space="preserve">All 30 tasks (#128-157, Critical through Low) implemented and committed. This was the largest rebuild in the program — from a bare CMS content widget to a full workflow: examination type + uniqueness fix, missing summary fields, Admission/Roll No, PDF upload + version history, Verification/Approval/Publish workflow, published-status gating, an automatic Ranking Engine, a Sahodaya results dashboard, configurable Top-N toppers, a real Stream master (exam_streams, hardcoded fallback removed), subject-wise topper normalization (topper_subject_marks, old JSON column dropped), Academic Year FK with backfill, an Academic Performance Index engine, a 7-category Awards Engine, School Dashboard widget, Public Portal upgrade, 6 FRD notifications, a full 5-report Merit Register (plus Subject-wise Merit Register and Excellence Report), a State-level dashboard, correction/resubmission loop, Topper certificates, Achievement-to-Award linkage, DataChangeLogger audit trail wiring, DB-level validation constraints, and removal of the dead subject_stats column.</w:t>
      </w:r>
    </w:p>
    <w:p>
      <w:pPr>
        <w:pStyle w:val="Heading1"/>
        <w:spacing w:after="150" w:before="300"/>
      </w:pPr>
      <w:r>
        <w:t xml:space="preserve">Done — Sports Management (FRD-04) and Teacher Registry (FRD-02, teacher side)</w:t>
      </w:r>
    </w:p>
    <w:p>
      <w:pPr>
        <w:spacing w:after="120"/>
      </w:pPr>
      <w:r>
        <w:rPr>
          <w:i/>
          <w:iCs/>
          <w:color w:val="16794d"/>
        </w:rPr>
        <w:t xml:space="preserve">Both fully implemented and committed in earlier work on this plan (see Multi-Web_Completion_Plan_Status.docx for details). Nothing pending.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2026-07-11T22:04:33.960Z</dcterms:created>
  <dcterms:modified xsi:type="dcterms:W3CDTF">2026-07-11T22:04:33.960Z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