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3"/>
          <w:sz w:val="44"/>
          <w:szCs w:val="44"/>
        </w:rPr>
        <w:t xml:space="preserve">CBSE Sahodaya Digital Platform</w:t>
      </w:r>
    </w:p>
    <w:p>
      <w:pPr>
        <w:spacing w:after="40"/>
      </w:pPr>
      <w:r>
        <w:rPr>
          <w:b/>
          <w:bCs/>
          <w:color w:val="2F5DA6"/>
          <w:sz w:val="34"/>
          <w:szCs w:val="34"/>
        </w:rPr>
        <w:t xml:space="preserve">Master Pending Work Plan</w:t>
      </w:r>
    </w:p>
    <w:p>
      <w:pPr>
        <w:spacing w:after="320"/>
      </w:pPr>
      <w:r>
        <w:rPr>
          <w:i/>
          <w:iCs/>
          <w:color w:val="52606D"/>
          <w:sz w:val="20"/>
          <w:szCs w:val="20"/>
        </w:rPr>
        <w:t xml:space="preserve">Generated 2026-07-13 · Covers all 21 FRDs · Consolidates the FRD-08 build plan, the Sports Event Head residual gap, and the deferred FRD-19/FRD-20 scope</w:t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20"/>
      </w:pPr>
      <w:r>
        <w:t xml:space="preserve">Of the 21 functional requirement documents covering this platform, 18 are fully implemented, verified, and committed — including every module re-audited more than once this program (Sports, Finance, Security, Multi-Tenant Platform, Reporting, Workflow, Documents, Notifications, Shared Masters, Platform Services, DevOps). Three items remain open, in three different senses:</w:t>
      </w:r>
    </w:p>
    <w:p>
      <w:pPr>
        <w:spacing w:after="80"/>
        <w:ind w:left="260"/>
      </w:pPr>
      <w:r>
        <w:rPr>
          <w:b/>
          <w:bCs/>
        </w:rPr>
        <w:t xml:space="preserve">☐  </w:t>
      </w:r>
      <w:r>
        <w:t xml:space="preserve">FRD-08 Custom Competition Management — genuinely not started. This is a real multi-week build (a low-code competition builder), not a hardening pass. Full 9-phase plan in §2.</w:t>
      </w:r>
    </w:p>
    <w:p>
      <w:pPr>
        <w:spacing w:after="80"/>
        <w:ind w:left="260"/>
      </w:pPr>
      <w:r>
        <w:rPr>
          <w:b/>
          <w:bCs/>
        </w:rPr>
        <w:t xml:space="preserve">☐  </w:t>
      </w:r>
      <w:r>
        <w:t xml:space="preserve">FRD-04 Sports — done, with one small residual gap found in this session’s re-survey: the new "Sports hub" / Event-Head-promotion feature is half-wired (service + status display exist, but the actual hub page and promote action do not). Detail in §3.</w:t>
      </w:r>
    </w:p>
    <w:p>
      <w:pPr>
        <w:spacing w:after="80"/>
        <w:ind w:left="260"/>
      </w:pPr>
      <w:r>
        <w:rPr>
          <w:b/>
          <w:bCs/>
        </w:rPr>
        <w:t xml:space="preserve">☐  </w:t>
      </w:r>
      <w:r>
        <w:t xml:space="preserve">FRD-19 Public Portal and FRD-20 Website Builder/CMS — both have real, sizeable gaps (documented in earlier audits), but you’ve explicitly deferred both. Kept here only as a reference so the gaps aren’t forgotten; no action planned unless you ask. See §4.</w:t>
      </w:r>
    </w:p>
    <w:p>
      <w:pPr>
        <w:spacing w:after="120"/>
      </w:pPr>
      <w:r>
        <w:t xml:space="preserve">A short list of items were explicitly descoped by you rather than left incomplete — see §5.</w:t>
      </w:r>
    </w:p>
    <w:p>
      <w:pPr>
        <w:pStyle w:val="Heading1"/>
        <w:spacing w:after="160" w:before="360"/>
      </w:pPr>
      <w:r>
        <w:t xml:space="preserve">2. Status by FRD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3360"/>
      </w:tblGrid>
      <w:tr>
        <w:trPr>
          <w:tblHeader/>
        </w:trPr>
        <w:tc>
          <w:tcPr>
            <w:tcW w:type="dxa" w:w="900"/>
            <w:shd w:fill="1F29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FRD</w:t>
            </w:r>
          </w:p>
        </w:tc>
        <w:tc>
          <w:tcPr>
            <w:tcW w:type="dxa" w:w="5100"/>
            <w:shd w:fill="1F29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360"/>
            <w:shd w:fill="1F29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FRD-01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Sahodaya Setup &amp; School Membership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FRD-02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 &amp; Teacher Registry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FRD-03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Competition Engine Core Framework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FRD-04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Sports Management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 (1 residual gap — see §3)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FRD-05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Kalotsav Management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FRD-06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 &amp; Accounts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FRD-07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Examination Management (MCQ/Talent Search)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FRD-08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Competition Management (low-code builder)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Pending — full build, see §2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FRD-09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Teacher Training &amp; Professional Development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FRD-10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Workflow &amp; Approval Engine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FRD-11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 &amp; Template Engine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FRD-12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 &amp; Communication Engine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FRD-13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 Admin &amp; Multi-Tenant Platform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FRD-14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Reporting, Analytics &amp; BI Engine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FRD-15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Security, Audit &amp; Access Control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FRD-16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Shared Masters &amp; Configuration Engine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FRD-17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Services &amp; Common Utilities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FRD-18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Deployment, DevOps &amp; Infrastructure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FRD-19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 Portal, Live Results &amp; Public Info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9"/>
                <w:szCs w:val="19"/>
              </w:rPr>
              <w:t xml:space="preserve">Deferred by client — see §4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FRD-20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Multi-Site Website Builder / CMS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9"/>
                <w:szCs w:val="19"/>
              </w:rPr>
              <w:t xml:space="preserve">Deferred by client — see §4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FRD-21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CBSE Academic Results, Toppers &amp; Achievements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F"/>
                <w:sz w:val="19"/>
                <w:szCs w:val="19"/>
              </w:rPr>
              <w:t xml:space="preserve">Done</w:t>
            </w:r>
          </w:p>
        </w:tc>
      </w:tr>
    </w:tbl>
    <w:p>
      <w:pPr>
        <w:pStyle w:val="Heading1"/>
        <w:spacing w:after="160" w:before="360"/>
      </w:pPr>
      <w:r>
        <w:t xml:space="preserve">3. FRD-08 — Custom Competition Management (the one real gap)</w:t>
      </w:r>
    </w:p>
    <w:p>
      <w:pPr>
        <w:spacing w:after="120"/>
      </w:pPr>
      <w:r>
        <w:t xml:space="preserve">Coverage today: ~18%. What exists is a well-built but hardcoded per-type engine — every new competition category requires a developer to touch validation whitelists, catalog mappings, and a fixed programs list. The FRD asks for a true low-code builder: an admin defines a brand-new competition type (e.g. "Robotics", "Debate") with its own Areas, eligibility rules, fee schedule, tie-break logic, notifications, and reports — zero developer involvement.</w:t>
      </w:r>
    </w:p>
    <w:p>
      <w:pPr>
        <w:spacing w:after="120"/>
      </w:pPr>
      <w:r>
        <w:t xml:space="preserve">The strongest existing foundation is FestTaxonomyMaster (tenant-scoped, admin-editable dimension master) and the already-generic FestEventItem table — this plan builds outward from that rather than starting over.</w:t>
      </w:r>
    </w:p>
    <w:p>
      <w:pPr>
        <w:pStyle w:val="Heading2"/>
        <w:spacing w:after="120" w:before="260"/>
      </w:pPr>
      <w:r>
        <w:t xml:space="preserve">Phase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900"/>
        <w:gridCol w:w="4900"/>
        <w:gridCol w:w="1140"/>
        <w:gridCol w:w="1000"/>
      </w:tblGrid>
      <w:tr>
        <w:trPr>
          <w:tblHeader/>
        </w:trPr>
        <w:tc>
          <w:tcPr>
            <w:tcW w:type="dxa" w:w="420"/>
            <w:shd w:fill="1F29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1F29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900"/>
            <w:shd w:fill="1F29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Delivers</w:t>
            </w:r>
          </w:p>
        </w:tc>
        <w:tc>
          <w:tcPr>
            <w:tcW w:type="dxa" w:w="1140"/>
            <w:shd w:fill="1F29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000"/>
            <w:shd w:fill="1F29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Foundations &amp; Masters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Competition Type master table + admin CRUD; item-category taxonomy moved off the hardcoded enum onto FestTaxonomyMaster.</w:t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8–12d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Competition Builder wizard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creates a brand-new competition type (e.g. "Robotics") — name/code/year/dates/levels — with zero code changes.</w:t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10–15d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Area Builder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competition_areas entity (distinct from FestItemHead) — unlimited sub-areas per competition with their own registration rules/fees.</w:t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12–18d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Eligibility Builder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Data-driven eligibility rules (Student/Teacher/Class/Subject/School/Region/Custom) replacing hardcoded PHP conditionals.</w:t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0–1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15–20d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Item Builder generalization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Explicit Pair/Trio participant types, Result Method field, category taxonomy wired into the item form.</w:t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5–8d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Qualification / tie-break rules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Configurable tie-break/lot-draw logic beyond today’s plain top-N cutoff.</w:t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8–10d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Notification template generalization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Generic per-competition-type notification mapping (Payment Pending, Registration Open, Competition Reminder, Certificate Available).</w:t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6–8d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Reporting extension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Area-wise reports; confirm item-wise/school-summary reports already generalize for custom types.</w:t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8–10d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Migration, backfill &amp; regression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Seed Competition Type rows for the 6 existing hardcoded types; repoint validation/catalogs at the new masters; full regression across all live event types.</w:t>
            </w:r>
          </w:p>
        </w:tc>
        <w:tc>
          <w:tcPr>
            <w:tcW w:type="dxa" w:w="1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Phases 0–7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10–15d</w:t>
            </w:r>
          </w:p>
        </w:tc>
      </w:tr>
    </w:tbl>
    <w:p>
      <w:pPr>
        <w:spacing w:after="160" w:before="160"/>
      </w:pPr>
      <w:r>
        <w:rPr>
          <w:b/>
          <w:bCs/>
        </w:rPr>
        <w:t xml:space="preserve">Total estimated effort: ~82–116 person-days across all 9 phases.</w:t>
      </w:r>
    </w:p>
    <w:p>
      <w:pPr>
        <w:pStyle w:val="Heading2"/>
        <w:spacing w:after="120" w:before="260"/>
      </w:pPr>
      <w:r>
        <w:t xml:space="preserve">Recommended first milestone</w:t>
      </w:r>
    </w:p>
    <w:p>
      <w:pPr>
        <w:spacing w:after="120"/>
      </w:pPr>
      <w:r>
        <w:t xml:space="preserve">Phases 0, 1, and 4 (~23–35 person-days) deliver the single most FRD-visible outcome — an admin can add "Robotics" as a real competition type with its own item categories, with zero code changes — without committing to the larger Area/Eligibility phases yet. Phases 2, 3, 5, 6, 7 can each be scoped and greenlit independently once Phase 1 is live. Phase 8 (migration/regression) must run at the end of whichever phases are actually built — it is the highest-risk phase since it repoints validation used by the 6 competition types already live in production.</w:t>
      </w:r>
    </w:p>
    <w:p>
      <w:pPr>
        <w:pStyle w:val="Heading2"/>
        <w:spacing w:after="120" w:before="260"/>
      </w:pPr>
      <w:r>
        <w:t xml:space="preserve">Descoped from the FRD-08 build</w:t>
      </w:r>
    </w:p>
    <w:p>
      <w:pPr>
        <w:spacing w:after="120"/>
      </w:pPr>
      <w:r>
        <w:t xml:space="preserve">A fully generic, cross-domain Workflow/Approval Engine (shared by Fest, MCQ, Membership, Training, Board Results) was flagged as architecturally desirable but not urgent — each domain’s hand-rolled state machine was independently verified to have correct guards. Building Areas/Eligibility on top of a not-yet-existing generic engine would mean building two large things at once, so each domain keeps its own explicit status logic for now.</w:t>
      </w:r>
    </w:p>
    <w:p>
      <w:pPr>
        <w:pStyle w:val="Heading1"/>
        <w:spacing w:after="160" w:before="360"/>
      </w:pPr>
      <w:r>
        <w:t xml:space="preserve">3a. FRD-04 Sports — residual gap found in this session</w:t>
      </w:r>
    </w:p>
    <w:p>
      <w:pPr>
        <w:spacing w:after="120"/>
      </w:pPr>
      <w:r>
        <w:t xml:space="preserve">The Event Head redesign from the last working session is now in good shape: fees/policy are captured at head-creation time, the setup checklist correctly detects the new composite fee columns, duplicate navigation on the Competition page is gone, and a shared fee-fields component keeps the Add-Head form consistent. Re-checking the flow end to end surfaced one new, concrete gap introduced by the newest layer of work (the "promote heads into independent discipline events" feature):</w:t>
      </w:r>
    </w:p>
    <w:p>
      <w:pPr>
        <w:spacing w:after="80"/>
        <w:ind w:left="260"/>
      </w:pPr>
      <w:r>
        <w:rPr>
          <w:b/>
          <w:bCs/>
        </w:rPr>
        <w:t xml:space="preserve">☐  </w:t>
      </w:r>
      <w:r>
        <w:t xml:space="preserve">Sports hub page is missing. Both the Add-Head banner and the Competition page link to a "Sports hub" (/sahodaya-admin/{tenant}/sports) to actually run the promotion — no route or Vue page exists for it today. Clicking either link 404s.</w:t>
      </w:r>
    </w:p>
    <w:p>
      <w:pPr>
        <w:spacing w:after="80"/>
        <w:ind w:left="260"/>
      </w:pPr>
      <w:r>
        <w:rPr>
          <w:b/>
          <w:bCs/>
        </w:rPr>
        <w:t xml:space="preserve">☐  </w:t>
      </w:r>
      <w:r>
        <w:t xml:space="preserve">No endpoint to execute the promotion. PromoteSportsHeadsToDisciplineEvents::promote() exists and is fully implemented, but nothing in routes/web.php calls it — only -&gt;status() is wired in, to compute the "N heads ready to promote" banner text.</w:t>
      </w:r>
    </w:p>
    <w:p>
      <w:pPr>
        <w:spacing w:after="80"/>
        <w:ind w:left="260"/>
      </w:pPr>
      <w:r>
        <w:rPr>
          <w:b/>
          <w:bCs/>
        </w:rPr>
        <w:t xml:space="preserve">☐  </w:t>
      </w:r>
      <w:r>
        <w:t xml:space="preserve">Minor: the standalone ItemHeads.vue page still hand-duplicates the fee-field markup instead of reusing the shared FestHeadFeeFields component used elsewhere. Not a bug today (fields match), but a future field change would need updating in two places.</w:t>
      </w:r>
    </w:p>
    <w:p>
      <w:pPr>
        <w:spacing w:after="120"/>
      </w:pPr>
      <w:r>
        <w:t xml:space="preserve">You already asked for the Sports hub to be built; that build is the natural next implementation step once this plan is reviewed — estimated at 1–2 days (list view of season events + pending-heads count, a promote button per event, and the POST route wired to the existing service).</w:t>
      </w:r>
    </w:p>
    <w:p>
      <w:pPr>
        <w:pStyle w:val="Heading1"/>
        <w:spacing w:after="160" w:before="360"/>
      </w:pPr>
      <w:r>
        <w:t xml:space="preserve">4. Deferred by you — reference only, no action planned</w:t>
      </w:r>
    </w:p>
    <w:p>
      <w:pPr>
        <w:spacing w:after="120"/>
      </w:pPr>
      <w:r>
        <w:t xml:space="preserve">These two are kept here so the known gaps aren’t lost, not because they’re next in line. Nothing in this section will be built unless you ask for it.</w:t>
      </w:r>
    </w:p>
    <w:p>
      <w:pPr>
        <w:pStyle w:val="Heading2"/>
        <w:spacing w:after="120" w:before="260"/>
      </w:pPr>
      <w:r>
        <w:t xml:space="preserve">FRD-19 — Public Portal, Live Results &amp; Public Information</w:t>
      </w:r>
    </w:p>
    <w:p>
      <w:pPr>
        <w:spacing w:after="80"/>
      </w:pPr>
      <w:r>
        <w:rPr>
          <w:b/>
          <w:bCs/>
        </w:rPr>
        <w:t xml:space="preserve">Coverage: </w:t>
      </w:r>
      <w:r>
        <w:t xml:space="preserve">41% · 5 Critical / 9 Major / 8 Minor issues · est. 95–125 person-days</w:t>
      </w:r>
    </w:p>
    <w:p>
      <w:pPr>
        <w:spacing w:after="120"/>
      </w:pPr>
      <w:r>
        <w:t xml:space="preserve">The festival results portal itself is genuinely strong (real privacy-gating, working 30-second live polling). What’s missing is the broader public surface: no public school directory, no public Topper/Achievement/BoardResult pages (models exist and are admin-managed, but never rendered publicly except as manually-typed CMS JSON), no Public API layer (Results/Points/School/Stats/Verification), no real analytics beyond a single visitor counter, and no true push/WebSocket delivery (the Echo code in Scoreboard.vue is dead — broadcasting is log-driver only). One functional bug worth flagging even though the FRD is deferred: SetPublicCacheHeaders applies a blanket 1-hour public Cache-Control to every public GET, including the live-results polling endpoint, which can make live scores appear stale behind a caching layer.</w:t>
      </w:r>
    </w:p>
    <w:p>
      <w:pPr>
        <w:pStyle w:val="Heading2"/>
        <w:spacing w:after="120" w:before="260"/>
      </w:pPr>
      <w:r>
        <w:t xml:space="preserve">FRD-20 — Multi-Site Website Builder / CMS</w:t>
      </w:r>
    </w:p>
    <w:p>
      <w:pPr>
        <w:spacing w:after="80"/>
      </w:pPr>
      <w:r>
        <w:rPr>
          <w:b/>
          <w:bCs/>
        </w:rPr>
        <w:t xml:space="preserve">Coverage: </w:t>
      </w:r>
      <w:r>
        <w:t xml:space="preserve">46% · 5 Critical / 9 Major / 8 Minor issues · est. 145–185 person-days</w:t>
      </w:r>
    </w:p>
    <w:p>
      <w:pPr>
        <w:spacing w:after="120"/>
      </w:pPr>
      <w:r>
        <w:t xml:space="preserve">The section-based CMS is real and substantial (41 section types, 108 layout variants, skin/theme system). Against the FRD’s full "multi-site builder" vision it’s short on: draft/publish/version-history/rollback (edits go live instantly, no staging), true multi-site-per-account (hard 1 tenant = 1 website), self-service custom domains (the domains table/resolver exist but there’s no CMS-facing "add my domain" screen), a generic Forms Builder, page-level SEO/OG/schema markup, and CMS role granularity (Editor/Reviewer/Publisher don’t exist — access is binary). One security item worth flagging regardless of deferral: the WYSIWYG field renders as a plain textarea with content echoed via Blade’s raw {!! !!} in 21 section partials with zero sanitization — a stored-XSS risk if a lower-trust editor role is ever introduced.</w:t>
      </w:r>
    </w:p>
    <w:p>
      <w:pPr>
        <w:pStyle w:val="Heading1"/>
        <w:spacing w:after="160" w:before="360"/>
      </w:pPr>
      <w:r>
        <w:t xml:space="preserve">5. Explicitly descoped (not gaps — deliberate scope decisions)</w:t>
      </w:r>
    </w:p>
    <w:p>
      <w:pPr>
        <w:spacing w:after="120"/>
      </w:pPr>
      <w:r>
        <w:t xml:space="preserve">These were raised during the Student/Teacher Registry work and explicitly excluded by you (“not our purpose” / “dont need section for students”). Not reopened unless you ask:</w:t>
      </w:r>
    </w:p>
    <w:p>
      <w:pPr>
        <w:spacing w:after="80"/>
        <w:ind w:left="260"/>
      </w:pPr>
      <w:r>
        <w:t xml:space="preserve">•  </w:t>
      </w:r>
      <w:r>
        <w:t xml:space="preserve">TC / Transfer Certificate workflow</w:t>
      </w:r>
    </w:p>
    <w:p>
      <w:pPr>
        <w:spacing w:after="80"/>
        <w:ind w:left="260"/>
      </w:pPr>
      <w:r>
        <w:t xml:space="preserve">•  </w:t>
      </w:r>
      <w:r>
        <w:t xml:space="preserve">Student class-promotion / academic-year rollover engine</w:t>
      </w:r>
    </w:p>
    <w:p>
      <w:pPr>
        <w:spacing w:after="80"/>
        <w:ind w:left="260"/>
      </w:pPr>
      <w:r>
        <w:t xml:space="preserve">•  </w:t>
      </w:r>
      <w:r>
        <w:t xml:space="preserve">Division/Section field on Student</w:t>
      </w:r>
    </w:p>
    <w:p>
      <w:pPr>
        <w:pStyle w:val="Heading1"/>
        <w:spacing w:after="160" w:before="360"/>
      </w:pPr>
      <w:r>
        <w:t xml:space="preserve">6. Suggested order of 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Build the Sports hub page + promote route </w:t>
      </w:r>
      <w:r>
        <w:t xml:space="preserve">(1–2 days) — small, closes out the one loose end from the last session, unblocks a feature you already asked for.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FRD-08 Phase 0 (Foundations &amp; Masters) </w:t>
      </w:r>
      <w:r>
        <w:t xml:space="preserve">(8–12 days) — everything else in FRD-08 depends on this; on its own it also fixes the two-source-of-truth item-category enum problem.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FRD-08 Phases 1 and 4 </w:t>
      </w:r>
      <w:r>
        <w:t xml:space="preserve">(15–23 days) — completes the "recommended first milestone": a real no-code competition type with its own item categories.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Decide on FRD-08 Phases 2/3/5/6/7 </w:t>
      </w:r>
      <w:r>
        <w:t xml:space="preserve">once Phase 1 is live and there’s a real second competition type to build it against — each phase is independently scoped and can be greenlit on its own.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Revisit FRD-19 / FRD-20 </w:t>
      </w:r>
      <w:r>
        <w:t xml:space="preserve">only when you’re ready — both are large (95–185 person-days combined) and independent of the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5B1"/>
        <w:sz w:val="16"/>
        <w:szCs w:val="16"/>
      </w:rPr>
      <w:t xml:space="preserve">Page </w:t>
    </w:r>
    <w:r>
      <w:rPr>
        <w:color w:val="9AA5B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5B1"/>
        <w:sz w:val="16"/>
        <w:szCs w:val="16"/>
      </w:rPr>
      <w:t xml:space="preserve"> of </w:t>
    </w:r>
    <w:r>
      <w:rPr>
        <w:color w:val="9AA5B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5B1"/>
        <w:sz w:val="16"/>
        <w:szCs w:val="16"/>
      </w:rPr>
      <w:t xml:space="preserve">Multi-Web — Master Pending Work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DA6" w:sz="6" w:space="4"/>
      </w:pBdr>
      <w:spacing w:after="160" w:before="360"/>
    </w:pPr>
    <w:rPr>
      <w:rFonts w:ascii="Calibri" w:cs="Calibri" w:eastAsia="Calibri" w:hAnsi="Calibri"/>
      <w:b/>
      <w:bCs/>
      <w:color w:val="1F29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F5DA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1F29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2026-07-13T15:33:30.605Z</dcterms:created>
  <dcterms:modified xsi:type="dcterms:W3CDTF">2026-07-13T15:33:30.605Z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