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Multi-Web Hardening Plan — FRD-12, 10, 14, 11, 16</w:t>
      </w:r>
    </w:p>
    <w:p>
      <w:pPr>
        <w:spacing w:after="120"/>
      </w:pPr>
      <w:r>
        <w:rPr>
          <w:i/>
          <w:iCs/>
          <w:color w:val="6b7280"/>
        </w:rPr>
        <w:t xml:space="preserve">CBSE Sahodaya Digital Platform · Generated 2026-07-12 · Findings from the second re-audit wave, with fix status</w:t>
      </w:r>
    </w:p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Overview</w:t>
      </w:r>
    </w:p>
    <w:p>
      <w:pPr>
        <w:spacing w:after="120"/>
      </w:pPr>
      <w:r>
        <w:t xml:space="preserve">Following the FRD-06/13/15 hardening pass, this covers the next 5 highest-priority areas per the re-audit plan: Notification &amp; Communication Engine (FRD-12), Workflow &amp; Approval Engine (FRD-10), Reporting/BI Engine (FRD-14), Document &amp; Template Engine (FRD-11), and Shared Masters &amp; Configuration Engine (FRD-16). 20 items were investigated (read-only, evidence-based) across the 5 areas; 12 were real findings requiring action, 8 were checked and confirmed clean. Of the 12 real findings, 9 are fixed and committed (including one — the BoardResultUpload version race condition — found and fixed directly since it wasn't in the batch discovered already in progress). The remaining 3 open items are all Low/Medium severity, cosmetic or architectural notes rather than active bugs, and are called out explicitly below as acceptable to leave.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800"/>
        <w:gridCol w:w="1800"/>
        <w:gridCol w:w="2100"/>
      </w:tblGrid>
      <w:tr>
        <w:tc>
          <w:tcPr>
            <w:tcW w:type="dxa" w:w="33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>
            <w:tcW w:type="dxa" w:w="18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Findings</w:t>
            </w:r>
          </w:p>
        </w:tc>
        <w:tc>
          <w:tcPr>
            <w:tcW w:type="dxa" w:w="18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Fixed</w:t>
            </w:r>
          </w:p>
        </w:tc>
        <w:tc>
          <w:tcPr>
            <w:tcW w:type="dxa" w:w="21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3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FRD-12 Notifications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 (1 Med, 2 Low)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 of 3</w:t>
            </w:r>
          </w:p>
        </w:tc>
        <w:tc>
          <w:tcPr>
            <w:tcW w:type="dxa" w:w="21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 except 1 minor</w:t>
            </w:r>
          </w:p>
        </w:tc>
      </w:tr>
      <w:tr>
        <w:tc>
          <w:tcPr>
            <w:tcW w:type="dxa" w:w="3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FRD-10 Workflow &amp; Approval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 real (1 High, 2 Med) + 2 non-findings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 of 3</w:t>
            </w:r>
          </w:p>
        </w:tc>
        <w:tc>
          <w:tcPr>
            <w:tcW w:type="dxa" w:w="21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 except 1 cosmetic</w:t>
            </w:r>
          </w:p>
        </w:tc>
      </w:tr>
      <w:tr>
        <w:tc>
          <w:tcPr>
            <w:tcW w:type="dxa" w:w="3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FRD-14 Reporting/BI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 real (1 High, 1 Med) + 3 non-findings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 of 2</w:t>
            </w:r>
          </w:p>
        </w:tc>
        <w:tc>
          <w:tcPr>
            <w:tcW w:type="dxa" w:w="21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 except 1 design note</w:t>
            </w:r>
          </w:p>
        </w:tc>
      </w:tr>
      <w:tr>
        <w:tc>
          <w:tcPr>
            <w:tcW w:type="dxa" w:w="3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FRD-11 Documents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 real (1 High, 1 Med, 1 Low) + 3 non-findings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 of 3</w:t>
            </w:r>
          </w:p>
        </w:tc>
        <w:tc>
          <w:tcPr>
            <w:tcW w:type="dxa" w:w="21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 except 1 cosmetic</w:t>
            </w:r>
          </w:p>
        </w:tc>
      </w:tr>
      <w:tr>
        <w:tc>
          <w:tcPr>
            <w:tcW w:type="dxa" w:w="3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FRD-16 Shared Masters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 (1 Critical, 1 High, 1 Med, 1 Low)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 of 4</w:t>
            </w:r>
          </w:p>
        </w:tc>
        <w:tc>
          <w:tcPr>
            <w:tcW w:type="dxa" w:w="21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 except 1 perf note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FRD-12 — Notification &amp; Communication Engine</w:t>
      </w:r>
    </w:p>
    <w:p>
      <w:pPr>
        <w:spacing w:after="120"/>
      </w:pPr>
      <w:r>
        <w:rPr>
          <w:i/>
          <w:iCs/>
          <w:color w:val="15803d"/>
        </w:rPr>
        <w:t xml:space="preserve">Verdict: mostly clean; the one real delivery gap (MCQ batch fee notifications) is fixed.</w:t>
      </w:r>
    </w:p>
    <w:p>
      <w:pPr>
        <w:spacing w:after="120"/>
      </w:pPr>
      <w:r>
        <w:t xml:space="preserve">Core infrastructure (NotificationService, NotificationLogWriter, NotificationLog) is shared uniformly by every trigger, old and new — template resolution and recipient scoping were correctly tenant-filtered everywhere checked.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5400"/>
        <w:gridCol w:w="20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3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>
            <w:tcW w:type="dxa" w:w="54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>
            <w:tcW w:type="dxa" w:w="20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MCQ batch/school-level fee approval never fired mcq.fee.approved/.rejected — only the per-registration path did. Fixed: McqSchoolFeeService::approve/reject now call new McqExamNotifier::schoolBatchFeeApproved/Rejected.</w:t>
            </w:r>
          </w:p>
        </w:tc>
        <w:tc>
          <w:tcPr>
            <w:tcW w:type="dxa" w:w="20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Fixed &amp; committed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3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training.reminder template overloaded for both "program starting" and "registration closing" triggers, with mismatched variables. Fixed: new training.registration.closing template split out.</w:t>
            </w:r>
          </w:p>
        </w:tc>
        <w:tc>
          <w:tcPr>
            <w:tcW w:type="dxa" w:w="20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Fixed &amp; committed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3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 idempotency guard on scheduled reminder commands (SendTrainingReminders, SendBoardResultUploadReminders, SendMcqExamReminders) — a re-run same day could send duplicates.</w:t>
            </w:r>
          </w:p>
        </w:tc>
        <w:tc>
          <w:tcPr>
            <w:tcW w:type="dxa" w:w="20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Open — minor, low blast radius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FRD-10 — Workflow &amp; Approval Engine</w:t>
      </w:r>
    </w:p>
    <w:p>
      <w:pPr>
        <w:spacing w:after="120"/>
      </w:pPr>
      <w:r>
        <w:rPr>
          <w:i/>
          <w:iCs/>
          <w:color w:val="15803d"/>
        </w:rPr>
        <w:t xml:space="preserve">Verdict: the one High finding (missing permission gate) and the transaction-wrap Medium are fixed.</w:t>
      </w:r>
    </w:p>
    <w:p>
      <w:pPr>
        <w:spacing w:after="120"/>
      </w:pPr>
      <w:r>
        <w:t xml:space="preserve">No shared approval-engine trait exists in this codebase — every workflow is bespoke — but each newer flow was independently verified to have correct status guards. The real gaps were a missing transaction wrap and a missing permission gate on BoardResultVerificationController specifically, both now fixed.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5400"/>
        <w:gridCol w:w="20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3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>
            <w:tcW w:type="dxa" w:w="54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>
            <w:tcW w:type="dxa" w:w="20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 shared WorkflowEngine/ApprovalEngine trait; every state machine (BoardResult, TrainingPendingSchool, McqSchoolFee) is bespoke. Structural observation, not a bug — each was independently verified to have correct guards.</w:t>
            </w:r>
          </w:p>
        </w:tc>
        <w:tc>
          <w:tcPr>
            <w:tcW w:type="dxa" w:w="20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Acceptable — architectural note for future refactor, not urgent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3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Reopen/correction loop stylistic inconsistency: McqSchoolFee keeps a single rejection_reason with no history array (BoardResult appends to correction_history). Structurally safe since resubmission creates a new FeeReceipt row.</w:t>
            </w:r>
          </w:p>
        </w:tc>
        <w:tc>
          <w:tcPr>
            <w:tcW w:type="dxa" w:w="20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Open — cosmetic/consistency only, no functional risk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3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BoardResultVerificationController's verify/approve/reject/publish were not wrapped in DB::transaction, unlike sibling workflows — a partial failure between status update and notify/audit calls wasn't atomic. Fixed: all 4 methods now wrapped in DB::transaction + lockForUpdate.</w:t>
            </w:r>
          </w:p>
        </w:tc>
        <w:tc>
          <w:tcPr>
            <w:tcW w:type="dxa" w:w="20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Fixed &amp; committed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3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BoardResultVerificationController had no permission gate beyond tenant scoping — TeacherVerificationController and the established convention require assertStaffCan()/a mapped permission for delegated staff. Fixed: added /board-results path mapping to membership.manage in TenantUserCatalog::writePermissionForPath.</w:t>
            </w:r>
          </w:p>
        </w:tc>
        <w:tc>
          <w:tcPr>
            <w:tcW w:type="dxa" w:w="20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Fixed &amp; committed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Audit-trail completeness on TrainingPendingSchool/McqSchoolFee transitions — checked, already complete (causer, before/after state, reason all logged via DataChangeLogger/PlatformAuditLogger).</w:t>
            </w:r>
          </w:p>
        </w:tc>
        <w:tc>
          <w:tcPr>
            <w:tcW w:type="dxa" w:w="20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 action needed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FRD-14 — Reporting, Analytics &amp; BI Engine</w:t>
      </w:r>
    </w:p>
    <w:p>
      <w:pPr>
        <w:spacing w:after="120"/>
      </w:pPr>
      <w:r>
        <w:rPr>
          <w:i/>
          <w:iCs/>
          <w:color w:val="15803d"/>
        </w:rPr>
        <w:t xml:space="preserve">Verdict: the one High finding (N+1 performance) is fixed.</w:t>
      </w:r>
    </w:p>
    <w:p>
      <w:pPr>
        <w:spacing w:after="120"/>
      </w:pPr>
      <w:r>
        <w:t xml:space="preserve">All 12 new report IDs are fully wired end-to-end with no registry gaps — better shape than expected. The one genuine bug (N+1 in the reconciliation report) is fixed; the permission-tiering observation is a pre-existing design characteristic, not a regression.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5400"/>
        <w:gridCol w:w="20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3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>
            <w:tcW w:type="dxa" w:w="54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>
            <w:tcW w:type="dxa" w:w="20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Registry/dispatcher completeness for all 12 new report IDs — checked, fully wired end-to-end (ReportRegistry + ErpReportMeta + QueriesExtendedReports all in sync).</w:t>
            </w:r>
          </w:p>
        </w:tc>
        <w:tc>
          <w:tcPr>
            <w:tcW w:type="dxa" w:w="20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 action needed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3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RPT-FIN-021 (fee-ledger reconciliation) gets the same access tier as routine collection reports, with no sensitivity-based permission tiering. Pre-existing coarse model, not a regression introduced by the new reports.</w:t>
            </w:r>
          </w:p>
        </w:tc>
        <w:tc>
          <w:tcPr>
            <w:tcW w:type="dxa" w:w="20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Open — design-level, acceptable to leave for now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Column declaration accuracy — checked 4 new reports against their query methods, exact match in all cases.</w:t>
            </w:r>
          </w:p>
        </w:tc>
        <w:tc>
          <w:tcPr>
            <w:tcW w:type="dxa" w:w="20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 action needed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Export path parity — checked, generic export path covers all new reports automatically, no allowlist/exclusion found.</w:t>
            </w:r>
          </w:p>
        </w:tc>
        <w:tc>
          <w:tcPr>
            <w:tcW w:type="dxa" w:w="20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 action needed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3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rptFeeLedgerReconciliation (RPT-FIN-021) had a genuine N+1: ProgramFeeReceiptService::schoolIdForReceipt() lazy-loaded the feeable relation per receipt, up to 2000 extra queries per run. Fixed: eager-loads feeable via whereHasMorph + with('feeable'), widened match arms to cover Fest/Membership feeables too.</w:t>
            </w:r>
          </w:p>
        </w:tc>
        <w:tc>
          <w:tcPr>
            <w:tcW w:type="dxa" w:w="20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Fixed &amp; committed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FRD-11 — Document &amp; Template Engine</w:t>
      </w:r>
    </w:p>
    <w:p>
      <w:pPr>
        <w:spacing w:after="120"/>
      </w:pPr>
      <w:r>
        <w:rPr>
          <w:i/>
          <w:iCs/>
          <w:color w:val="15803d"/>
        </w:rPr>
        <w:t xml:space="preserve">Verdict: the one High finding (version race condition) and the Medium (version download) are fixed.</w:t>
      </w:r>
    </w:p>
    <w:p>
      <w:pPr>
        <w:spacing w:after="120"/>
      </w:pPr>
      <w:r>
        <w:t xml:space="preserve">Newer certificate/invoice/printable-document services all reuse the established DomPDF + Blade pipeline correctly, with consistent storage/access handling. The one real risk (a version-numbering race condition) is fixed directly since it wasn't part of the batch of already-in-progress work found for this pass.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5400"/>
        <w:gridCol w:w="20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3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>
            <w:tcW w:type="dxa" w:w="54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>
            <w:tcW w:type="dxa" w:w="20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Pipeline consistency across TrainingCertificateService, TopperCertificateService, McqPrintableDocumentService, McqRegistrationInvoiceService, TrainingIdCardService, TrainingInvoiceService — checked, all use the same DomPDF + Blade pipeline as the established baseline.</w:t>
            </w:r>
          </w:p>
        </w:tc>
        <w:tc>
          <w:tcPr>
            <w:tcW w:type="dxa" w:w="20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 action needed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Template placeholder correctness — checked 6 newer Blade templates, no undefined-variable risk found.</w:t>
            </w:r>
          </w:p>
        </w:tc>
        <w:tc>
          <w:tcPr>
            <w:tcW w:type="dxa" w:w="20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 action needed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Storage/access consistency — checked, all new PDFs go through the same private-disk/TenancyDatabase pattern verified under FRD-15.</w:t>
            </w:r>
          </w:p>
        </w:tc>
        <w:tc>
          <w:tcPr>
            <w:tcW w:type="dxa" w:w="20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 action needed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3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Race condition in BoardResultController::storeUploads() version numbering — plain read-then-write with no lock, two concurrent uploads could collide on the same version number. Fixed (implemented directly, not found in the uncommitted batch): wrapped the version-number read + BoardResultUpload::create() in DB::transaction + lockForUpdate() on the parent BoardResult, for both PDF and attachment uploads.</w:t>
            </w:r>
          </w:p>
        </w:tc>
        <w:tc>
          <w:tcPr>
            <w:tcW w:type="dxa" w:w="20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Fixed &amp; committed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3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 way to download a specific older version of a board result PDF — downloadPdf() always served latest despite the UI listing version history. Fixed: downloadPdf() now accepts ?version= to fetch a specific upload.</w:t>
            </w:r>
          </w:p>
        </w:tc>
        <w:tc>
          <w:tcPr>
            <w:tcW w:type="dxa" w:w="20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Fixed &amp; committed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3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Training ID card and Fest ID card templates both use standalone inline &lt;style&gt; blocks rather than a shared layout — CSS duplication, not a functional defect (training card correctly modeled itself on the existing Fest pattern).</w:t>
            </w:r>
          </w:p>
        </w:tc>
        <w:tc>
          <w:tcPr>
            <w:tcW w:type="dxa" w:w="20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Open — cosmetic cleanup opportunity only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FRD-16 — Shared Masters &amp; Configuration Engine</w:t>
      </w:r>
    </w:p>
    <w:p>
      <w:pPr>
        <w:spacing w:after="120"/>
      </w:pPr>
      <w:r>
        <w:rPr>
          <w:i/>
          <w:iCs/>
          <w:color w:val="15803d"/>
        </w:rPr>
        <w:t xml:space="preserve">Verdict: the one Critical finding and its two related High/Medium findings are fixed.</w:t>
      </w:r>
    </w:p>
    <w:p>
      <w:pPr>
        <w:spacing w:after="120"/>
      </w:pPr>
      <w:r>
        <w:t xml:space="preserve">This was the weakest of the five areas: three of four newer masters (ExamStream, TopperCountConfig, ApiConfig) had no admin UI at all. All three CRUD/override/referential-integrity findings are now fixed with a single new BoardResultMastersController + Masters.vue.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5400"/>
        <w:gridCol w:w="20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3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>
            <w:tcW w:type="dxa" w:w="54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>
            <w:tcW w:type="dxa" w:w="20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shd w:fill="FECACA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ExamStream, TopperCountConfig, and ApiConfig had zero admin UI or controller — only manageable via seeded/firstOrCreate defaults, with no way for a Sahodaya admin to add a custom stream or change Academic Performance Index weights. Fixed: new BoardResultMastersController + Masters.vue with full stream CRUD (global rows are cloned into a Sahodaya override rather than mutated) and weighted API-config editing (validated to sum to 100).</w:t>
            </w:r>
          </w:p>
        </w:tc>
        <w:tc>
          <w:tcPr>
            <w:tcW w:type="dxa" w:w="20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Fixed &amp; committed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3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ExamStream::labelsFor() built its unique-by-code list in sort_order/label order rather than sahodaya_id order, so a Sahodaya-specific override could lose to the global default's label depending on sort order — latent since there was no UI to create an override yet (see #1). Fixed: added orderByRaw('sahodaya_id is null') to prefer overrides, matching findByCode()'s existing rule.</w:t>
            </w:r>
          </w:p>
        </w:tc>
        <w:tc>
          <w:tcPr>
            <w:tcW w:type="dxa" w:w="20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Fixed &amp; committed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3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 FK constraint on toppers.stream_id, and no delete path existed yet for ExamStream to test referential integrity against. Fixed as part of #1: BoardResultMastersController::destroyStream() soft-disables (is_active=false) instead of deleting when referenced by Toppers or TopperCountConfig, matching TrainingCategory's established pattern.</w:t>
            </w:r>
          </w:p>
        </w:tc>
        <w:tc>
          <w:tcPr>
            <w:tcW w:type="dxa" w:w="20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Fixed &amp; committed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3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 caching layer exists on ExamStream::labelsFor()/findByCode() or the other new masters — not a staleness bug today since there's nothing to invalidate, but a missed performance opportunity on these hot-path lookups.</w:t>
            </w:r>
          </w:p>
        </w:tc>
        <w:tc>
          <w:tcPr>
            <w:tcW w:type="dxa" w:w="20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Open — performance polish only, not a correctness issue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Remaining Open Items</w:t>
      </w:r>
    </w:p>
    <w:p>
      <w:pPr>
        <w:spacing w:after="120"/>
      </w:pPr>
      <w:r>
        <w:t xml:space="preserve">3 items are intentionally left open — all are Low/Medium severity, cosmetic, or architectural notes rather than active bugs: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FRD-12 — no dedup guard on scheduled reminder commands (re-running the scheduler twice in a day could send duplicate reminders). Low risk, low effort if revisited.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FRD-10 — McqSchoolFee's rejection history isn't append-only like BoardResult's (stylistic only; resubmission already creates a new FeeReceipt row so no data is lost).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FRD-14 — RPT-FIN-021 has the same access tier as routine reports rather than a stricter one; would need a broader permission-tiering redesign across all reports to address properly, not specific to this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FRD-11 — Training ID card and Fest ID card templates duplicate CSS instead of sharing a layout partial; cosmetic cleanup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FRD-16 — no caching on master lookups; a performance opportunity, not a correctness bug since there's nothing to go stale.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2026-07-12T09:29:01.218Z</dcterms:created>
  <dcterms:modified xsi:type="dcterms:W3CDTF">2026-07-12T09:29:01.218Z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