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Claude API Pricing and Links</w:t>
      </w:r>
    </w:p>
    <w:p>
      <w:pPr>
        <w:pStyle w:val="Subtitle"/>
      </w:pPr>
      <w:r>
        <w:t xml:space="preserve">Prepared for Aion Mind configuration. Verified against official Anthropic pricing pages on May 22, 2026.</w:t>
      </w:r>
    </w:p>
    <w:p>
      <w:pPr>
        <w:pStyle w:val="Heading1"/>
      </w:pPr>
      <w:r>
        <w:t xml:space="preserve">Key point</w:t>
      </w:r>
    </w:p>
    <w:p>
      <w:r>
        <w:t xml:space="preserve">Creating an Anthropic API key is free. Billing is based on actual API usage, mainly input tokens, output tokens, prompt cache writes, and cache reads. All prices below are in USD per MTok, where MTok means one million tokens.</w:t>
      </w:r>
    </w:p>
    <w:p>
      <w:pPr>
        <w:pStyle w:val="Heading1"/>
      </w:pPr>
      <w:r>
        <w:t xml:space="preserve">Recommended model choice</w:t>
      </w:r>
    </w:p>
    <w:p>
      <w:pPr>
        <w:pStyle w:val="ListBullet"/>
      </w:pPr>
      <w:r>
        <w:t xml:space="preserve">- Use Claude Sonnet 4.6 as the default model for normal chat because it balances capability and cost.</w:t>
      </w:r>
    </w:p>
    <w:p>
      <w:pPr>
        <w:pStyle w:val="ListBullet"/>
      </w:pPr>
      <w:r>
        <w:t xml:space="preserve">- Use Claude Opus 4.7 for harder reasoning, coding, vision, and complex document tasks when higher cost is acceptable.</w:t>
      </w:r>
    </w:p>
    <w:p>
      <w:pPr>
        <w:pStyle w:val="Heading1"/>
      </w:pPr>
      <w:r>
        <w:t xml:space="preserve">Model pricing</w:t>
      </w:r>
    </w:p>
    <w:tbl>
      <w:tblPr>
        <w:tblStyle w:val="TableGrid"/>
        <w:tblW w:w="0" w:type="auto"/>
        <w:tblLook w:val="04A0" w:firstRow="1" w:lastRow="0" w:firstColumn="1" w:lastColumn="0" w:noHBand="0" w:noVBand="1"/>
      </w:tblPr>
      <w:tr>
        <w:trPr>
          <w:tblHeader/>
        </w:trPr>
        <w:tc>
          <w:tcPr>
            <w:tcW w:w="2200" w:type="dxa"/>
            <w:shd w:fill="D9EAF7"/>
            <w:tcMar>
              <w:top w:w="120" w:type="dxa"/>
              <w:left w:w="120" w:type="dxa"/>
              <w:bottom w:w="120" w:type="dxa"/>
              <w:right w:w="120" w:type="dxa"/>
            </w:tcMar>
          </w:tcPr>
          <w:p>
            <w:r>
              <w:t xml:space="preserve">Model</w:t>
            </w:r>
          </w:p>
        </w:tc>
        <w:tc>
          <w:tcPr>
            <w:tcW w:w="2200" w:type="dxa"/>
            <w:shd w:fill="D9EAF7"/>
            <w:tcMar>
              <w:top w:w="120" w:type="dxa"/>
              <w:left w:w="120" w:type="dxa"/>
              <w:bottom w:w="120" w:type="dxa"/>
              <w:right w:w="120" w:type="dxa"/>
            </w:tcMar>
          </w:tcPr>
          <w:p>
            <w:r>
              <w:t xml:space="preserve">Model ID</w:t>
            </w:r>
          </w:p>
        </w:tc>
        <w:tc>
          <w:tcPr>
            <w:tcW w:w="2200" w:type="dxa"/>
            <w:shd w:fill="D9EAF7"/>
            <w:tcMar>
              <w:top w:w="120" w:type="dxa"/>
              <w:left w:w="120" w:type="dxa"/>
              <w:bottom w:w="120" w:type="dxa"/>
              <w:right w:w="120" w:type="dxa"/>
            </w:tcMar>
          </w:tcPr>
          <w:p>
            <w:r>
              <w:t xml:space="preserve">Base input</w:t>
            </w:r>
          </w:p>
        </w:tc>
        <w:tc>
          <w:tcPr>
            <w:tcW w:w="2200" w:type="dxa"/>
            <w:shd w:fill="D9EAF7"/>
            <w:tcMar>
              <w:top w:w="120" w:type="dxa"/>
              <w:left w:w="120" w:type="dxa"/>
              <w:bottom w:w="120" w:type="dxa"/>
              <w:right w:w="120" w:type="dxa"/>
            </w:tcMar>
          </w:tcPr>
          <w:p>
            <w:r>
              <w:t xml:space="preserve">5m cache write</w:t>
            </w:r>
          </w:p>
        </w:tc>
        <w:tc>
          <w:tcPr>
            <w:tcW w:w="2200" w:type="dxa"/>
            <w:shd w:fill="D9EAF7"/>
            <w:tcMar>
              <w:top w:w="120" w:type="dxa"/>
              <w:left w:w="120" w:type="dxa"/>
              <w:bottom w:w="120" w:type="dxa"/>
              <w:right w:w="120" w:type="dxa"/>
            </w:tcMar>
          </w:tcPr>
          <w:p>
            <w:r>
              <w:t xml:space="preserve">1h cache write</w:t>
            </w:r>
          </w:p>
        </w:tc>
        <w:tc>
          <w:tcPr>
            <w:tcW w:w="2200" w:type="dxa"/>
            <w:shd w:fill="D9EAF7"/>
            <w:tcMar>
              <w:top w:w="120" w:type="dxa"/>
              <w:left w:w="120" w:type="dxa"/>
              <w:bottom w:w="120" w:type="dxa"/>
              <w:right w:w="120" w:type="dxa"/>
            </w:tcMar>
          </w:tcPr>
          <w:p>
            <w:r>
              <w:t xml:space="preserve">Cache hit/read</w:t>
            </w:r>
          </w:p>
        </w:tc>
        <w:tc>
          <w:tcPr>
            <w:tcW w:w="2200" w:type="dxa"/>
            <w:shd w:fill="D9EAF7"/>
            <w:tcMar>
              <w:top w:w="120" w:type="dxa"/>
              <w:left w:w="120" w:type="dxa"/>
              <w:bottom w:w="120" w:type="dxa"/>
              <w:right w:w="120" w:type="dxa"/>
            </w:tcMar>
          </w:tcPr>
          <w:p>
            <w:r>
              <w:t xml:space="preserve">Output</w:t>
            </w:r>
          </w:p>
        </w:tc>
      </w:tr>
      <w:tr>
        <w:tc>
          <w:tcPr>
            <w:tcW w:w="2200" w:type="dxa"/>
            <w:tcMar>
              <w:top w:w="120" w:type="dxa"/>
              <w:left w:w="120" w:type="dxa"/>
              <w:bottom w:w="120" w:type="dxa"/>
              <w:right w:w="120" w:type="dxa"/>
            </w:tcMar>
          </w:tcPr>
          <w:p>
            <w:r>
              <w:t xml:space="preserve">Claude Opus 4.7</w:t>
            </w:r>
          </w:p>
        </w:tc>
        <w:tc>
          <w:tcPr>
            <w:tcW w:w="2200" w:type="dxa"/>
            <w:tcMar>
              <w:top w:w="120" w:type="dxa"/>
              <w:left w:w="120" w:type="dxa"/>
              <w:bottom w:w="120" w:type="dxa"/>
              <w:right w:w="120" w:type="dxa"/>
            </w:tcMar>
          </w:tcPr>
          <w:p>
            <w:r>
              <w:t xml:space="preserve">claude-opus-4-7</w:t>
            </w:r>
          </w:p>
        </w:tc>
        <w:tc>
          <w:tcPr>
            <w:tcW w:w="2200" w:type="dxa"/>
            <w:tcMar>
              <w:top w:w="120" w:type="dxa"/>
              <w:left w:w="120" w:type="dxa"/>
              <w:bottom w:w="120" w:type="dxa"/>
              <w:right w:w="120" w:type="dxa"/>
            </w:tcMar>
          </w:tcPr>
          <w:p>
            <w:r>
              <w:t xml:space="preserve">$5 / MTok</w:t>
            </w:r>
          </w:p>
        </w:tc>
        <w:tc>
          <w:tcPr>
            <w:tcW w:w="2200" w:type="dxa"/>
            <w:tcMar>
              <w:top w:w="120" w:type="dxa"/>
              <w:left w:w="120" w:type="dxa"/>
              <w:bottom w:w="120" w:type="dxa"/>
              <w:right w:w="120" w:type="dxa"/>
            </w:tcMar>
          </w:tcPr>
          <w:p>
            <w:r>
              <w:t xml:space="preserve">$6.25 / MTok</w:t>
            </w:r>
          </w:p>
        </w:tc>
        <w:tc>
          <w:tcPr>
            <w:tcW w:w="2200" w:type="dxa"/>
            <w:tcMar>
              <w:top w:w="120" w:type="dxa"/>
              <w:left w:w="120" w:type="dxa"/>
              <w:bottom w:w="120" w:type="dxa"/>
              <w:right w:w="120" w:type="dxa"/>
            </w:tcMar>
          </w:tcPr>
          <w:p>
            <w:r>
              <w:t xml:space="preserve">$10 / MTok</w:t>
            </w:r>
          </w:p>
        </w:tc>
        <w:tc>
          <w:tcPr>
            <w:tcW w:w="2200" w:type="dxa"/>
            <w:tcMar>
              <w:top w:w="120" w:type="dxa"/>
              <w:left w:w="120" w:type="dxa"/>
              <w:bottom w:w="120" w:type="dxa"/>
              <w:right w:w="120" w:type="dxa"/>
            </w:tcMar>
          </w:tcPr>
          <w:p>
            <w:r>
              <w:t xml:space="preserve">$0.50 / MTok</w:t>
            </w:r>
          </w:p>
        </w:tc>
        <w:tc>
          <w:tcPr>
            <w:tcW w:w="2200" w:type="dxa"/>
            <w:tcMar>
              <w:top w:w="120" w:type="dxa"/>
              <w:left w:w="120" w:type="dxa"/>
              <w:bottom w:w="120" w:type="dxa"/>
              <w:right w:w="120" w:type="dxa"/>
            </w:tcMar>
          </w:tcPr>
          <w:p>
            <w:r>
              <w:t xml:space="preserve">$25 / MTok</w:t>
            </w:r>
          </w:p>
        </w:tc>
      </w:tr>
      <w:tr>
        <w:tc>
          <w:tcPr>
            <w:tcW w:w="2200" w:type="dxa"/>
            <w:tcMar>
              <w:top w:w="120" w:type="dxa"/>
              <w:left w:w="120" w:type="dxa"/>
              <w:bottom w:w="120" w:type="dxa"/>
              <w:right w:w="120" w:type="dxa"/>
            </w:tcMar>
          </w:tcPr>
          <w:p>
            <w:r>
              <w:t xml:space="preserve">Claude Sonnet 4.6</w:t>
            </w:r>
          </w:p>
        </w:tc>
        <w:tc>
          <w:tcPr>
            <w:tcW w:w="2200" w:type="dxa"/>
            <w:tcMar>
              <w:top w:w="120" w:type="dxa"/>
              <w:left w:w="120" w:type="dxa"/>
              <w:bottom w:w="120" w:type="dxa"/>
              <w:right w:w="120" w:type="dxa"/>
            </w:tcMar>
          </w:tcPr>
          <w:p>
            <w:r>
              <w:t xml:space="preserve">claude-sonnet-4-6</w:t>
            </w:r>
          </w:p>
        </w:tc>
        <w:tc>
          <w:tcPr>
            <w:tcW w:w="2200" w:type="dxa"/>
            <w:tcMar>
              <w:top w:w="120" w:type="dxa"/>
              <w:left w:w="120" w:type="dxa"/>
              <w:bottom w:w="120" w:type="dxa"/>
              <w:right w:w="120" w:type="dxa"/>
            </w:tcMar>
          </w:tcPr>
          <w:p>
            <w:r>
              <w:t xml:space="preserve">$3 / MTok</w:t>
            </w:r>
          </w:p>
        </w:tc>
        <w:tc>
          <w:tcPr>
            <w:tcW w:w="2200" w:type="dxa"/>
            <w:tcMar>
              <w:top w:w="120" w:type="dxa"/>
              <w:left w:w="120" w:type="dxa"/>
              <w:bottom w:w="120" w:type="dxa"/>
              <w:right w:w="120" w:type="dxa"/>
            </w:tcMar>
          </w:tcPr>
          <w:p>
            <w:r>
              <w:t xml:space="preserve">$3.75 / MTok</w:t>
            </w:r>
          </w:p>
        </w:tc>
        <w:tc>
          <w:tcPr>
            <w:tcW w:w="2200" w:type="dxa"/>
            <w:tcMar>
              <w:top w:w="120" w:type="dxa"/>
              <w:left w:w="120" w:type="dxa"/>
              <w:bottom w:w="120" w:type="dxa"/>
              <w:right w:w="120" w:type="dxa"/>
            </w:tcMar>
          </w:tcPr>
          <w:p>
            <w:r>
              <w:t xml:space="preserve">$6 / MTok</w:t>
            </w:r>
          </w:p>
        </w:tc>
        <w:tc>
          <w:tcPr>
            <w:tcW w:w="2200" w:type="dxa"/>
            <w:tcMar>
              <w:top w:w="120" w:type="dxa"/>
              <w:left w:w="120" w:type="dxa"/>
              <w:bottom w:w="120" w:type="dxa"/>
              <w:right w:w="120" w:type="dxa"/>
            </w:tcMar>
          </w:tcPr>
          <w:p>
            <w:r>
              <w:t xml:space="preserve">$0.30 / MTok</w:t>
            </w:r>
          </w:p>
        </w:tc>
        <w:tc>
          <w:tcPr>
            <w:tcW w:w="2200" w:type="dxa"/>
            <w:tcMar>
              <w:top w:w="120" w:type="dxa"/>
              <w:left w:w="120" w:type="dxa"/>
              <w:bottom w:w="120" w:type="dxa"/>
              <w:right w:w="120" w:type="dxa"/>
            </w:tcMar>
          </w:tcPr>
          <w:p>
            <w:r>
              <w:t xml:space="preserve">$15 / MTok</w:t>
            </w:r>
          </w:p>
        </w:tc>
      </w:tr>
      <w:tr>
        <w:tc>
          <w:tcPr>
            <w:tcW w:w="2200" w:type="dxa"/>
            <w:tcMar>
              <w:top w:w="120" w:type="dxa"/>
              <w:left w:w="120" w:type="dxa"/>
              <w:bottom w:w="120" w:type="dxa"/>
              <w:right w:w="120" w:type="dxa"/>
            </w:tcMar>
          </w:tcPr>
          <w:p>
            <w:r>
              <w:t xml:space="preserve">Claude Haiku 4.5</w:t>
            </w:r>
          </w:p>
        </w:tc>
        <w:tc>
          <w:tcPr>
            <w:tcW w:w="2200" w:type="dxa"/>
            <w:tcMar>
              <w:top w:w="120" w:type="dxa"/>
              <w:left w:w="120" w:type="dxa"/>
              <w:bottom w:w="120" w:type="dxa"/>
              <w:right w:w="120" w:type="dxa"/>
            </w:tcMar>
          </w:tcPr>
          <w:p>
            <w:r>
              <w:t xml:space="preserve">claude-haiku-4-5</w:t>
            </w:r>
          </w:p>
        </w:tc>
        <w:tc>
          <w:tcPr>
            <w:tcW w:w="2200" w:type="dxa"/>
            <w:tcMar>
              <w:top w:w="120" w:type="dxa"/>
              <w:left w:w="120" w:type="dxa"/>
              <w:bottom w:w="120" w:type="dxa"/>
              <w:right w:w="120" w:type="dxa"/>
            </w:tcMar>
          </w:tcPr>
          <w:p>
            <w:r>
              <w:t xml:space="preserve">$1 / MTok</w:t>
            </w:r>
          </w:p>
        </w:tc>
        <w:tc>
          <w:tcPr>
            <w:tcW w:w="2200" w:type="dxa"/>
            <w:tcMar>
              <w:top w:w="120" w:type="dxa"/>
              <w:left w:w="120" w:type="dxa"/>
              <w:bottom w:w="120" w:type="dxa"/>
              <w:right w:w="120" w:type="dxa"/>
            </w:tcMar>
          </w:tcPr>
          <w:p>
            <w:r>
              <w:t xml:space="preserve">$1.25 / MTok</w:t>
            </w:r>
          </w:p>
        </w:tc>
        <w:tc>
          <w:tcPr>
            <w:tcW w:w="2200" w:type="dxa"/>
            <w:tcMar>
              <w:top w:w="120" w:type="dxa"/>
              <w:left w:w="120" w:type="dxa"/>
              <w:bottom w:w="120" w:type="dxa"/>
              <w:right w:w="120" w:type="dxa"/>
            </w:tcMar>
          </w:tcPr>
          <w:p>
            <w:r>
              <w:t xml:space="preserve">$2 / MTok</w:t>
            </w:r>
          </w:p>
        </w:tc>
        <w:tc>
          <w:tcPr>
            <w:tcW w:w="2200" w:type="dxa"/>
            <w:tcMar>
              <w:top w:w="120" w:type="dxa"/>
              <w:left w:w="120" w:type="dxa"/>
              <w:bottom w:w="120" w:type="dxa"/>
              <w:right w:w="120" w:type="dxa"/>
            </w:tcMar>
          </w:tcPr>
          <w:p>
            <w:r>
              <w:t xml:space="preserve">$0.10 / MTok</w:t>
            </w:r>
          </w:p>
        </w:tc>
        <w:tc>
          <w:tcPr>
            <w:tcW w:w="2200" w:type="dxa"/>
            <w:tcMar>
              <w:top w:w="120" w:type="dxa"/>
              <w:left w:w="120" w:type="dxa"/>
              <w:bottom w:w="120" w:type="dxa"/>
              <w:right w:w="120" w:type="dxa"/>
            </w:tcMar>
          </w:tcPr>
          <w:p>
            <w:r>
              <w:t xml:space="preserve">$5 / MTok</w:t>
            </w:r>
          </w:p>
        </w:tc>
      </w:tr>
    </w:tbl>
    <w:p>
      <w:pPr>
        <w:pStyle w:val="Heading1"/>
      </w:pPr>
      <w:r>
        <w:t xml:space="preserve">Pricing terms</w:t>
      </w:r>
    </w:p>
    <w:p>
      <w:pPr>
        <w:pStyle w:val="ListBullet"/>
      </w:pPr>
      <w:r>
        <w:t xml:space="preserve">- Base input tokens: tokens you send to the model, including your prompt, chat history, system prompt, and extracted file text.</w:t>
      </w:r>
    </w:p>
    <w:p>
      <w:pPr>
        <w:pStyle w:val="ListBullet"/>
      </w:pPr>
      <w:r>
        <w:t xml:space="preserve">- Output tokens: tokens generated by the model in its answer. Output is usually more expensive than input.</w:t>
      </w:r>
    </w:p>
    <w:p>
      <w:pPr>
        <w:pStyle w:val="ListBullet"/>
      </w:pPr>
      <w:r>
        <w:t xml:space="preserve">- 5m cache write: cost to store reusable prompt content for five minutes.</w:t>
      </w:r>
    </w:p>
    <w:p>
      <w:pPr>
        <w:pStyle w:val="ListBullet"/>
      </w:pPr>
      <w:r>
        <w:t xml:space="preserve">- 1h cache write: cost to store reusable prompt content for one hour.</w:t>
      </w:r>
    </w:p>
    <w:p>
      <w:pPr>
        <w:pStyle w:val="ListBullet"/>
      </w:pPr>
      <w:r>
        <w:t xml:space="preserve">- Cache hit/read: discounted price when cached content is reused instead of processed again at full input price.</w:t>
      </w:r>
    </w:p>
    <w:p>
      <w:pPr>
        <w:pStyle w:val="ListBullet"/>
      </w:pPr>
      <w:r>
        <w:t xml:space="preserve">- Batch processing: asynchronous batch requests can reduce input and output token cost by 50%.</w:t>
      </w:r>
    </w:p>
    <w:p>
      <w:pPr>
        <w:pStyle w:val="ListBullet"/>
      </w:pPr>
      <w:r>
        <w:t xml:space="preserve">- US-only inference: for supported Claude 4.6 and later models, US-only inference is priced at 1.1x standard rates.</w:t>
      </w:r>
    </w:p>
    <w:p>
      <w:pPr>
        <w:pStyle w:val="Heading1"/>
      </w:pPr>
      <w:r>
        <w:t xml:space="preserve">Useful links</w:t>
      </w:r>
    </w:p>
    <w:tbl>
      <w:tblPr>
        <w:tblStyle w:val="TableGrid"/>
        <w:tblW w:w="0" w:type="auto"/>
        <w:tblLook w:val="04A0" w:firstRow="1" w:lastRow="0" w:firstColumn="1" w:lastColumn="0" w:noHBand="0" w:noVBand="1"/>
      </w:tblPr>
      <w:tr>
        <w:trPr>
          <w:tblHeader/>
        </w:trPr>
        <w:tc>
          <w:tcPr>
            <w:tcW w:w="2200" w:type="dxa"/>
            <w:shd w:fill="D9EAF7"/>
            <w:tcMar>
              <w:top w:w="120" w:type="dxa"/>
              <w:left w:w="120" w:type="dxa"/>
              <w:bottom w:w="120" w:type="dxa"/>
              <w:right w:w="120" w:type="dxa"/>
            </w:tcMar>
          </w:tcPr>
          <w:p>
            <w:r>
              <w:t xml:space="preserve">Purpose</w:t>
            </w:r>
          </w:p>
        </w:tc>
        <w:tc>
          <w:tcPr>
            <w:tcW w:w="2200" w:type="dxa"/>
            <w:shd w:fill="D9EAF7"/>
            <w:tcMar>
              <w:top w:w="120" w:type="dxa"/>
              <w:left w:w="120" w:type="dxa"/>
              <w:bottom w:w="120" w:type="dxa"/>
              <w:right w:w="120" w:type="dxa"/>
            </w:tcMar>
          </w:tcPr>
          <w:p>
            <w:r>
              <w:t xml:space="preserve">Link</w:t>
            </w:r>
          </w:p>
        </w:tc>
      </w:tr>
      <w:tr>
        <w:tc>
          <w:tcPr>
            <w:tcW w:w="2200" w:type="dxa"/>
            <w:tcMar>
              <w:top w:w="120" w:type="dxa"/>
              <w:left w:w="120" w:type="dxa"/>
              <w:bottom w:w="120" w:type="dxa"/>
              <w:right w:w="120" w:type="dxa"/>
            </w:tcMar>
          </w:tcPr>
          <w:p>
            <w:r>
              <w:t xml:space="preserve">Create or manage API key</w:t>
            </w:r>
          </w:p>
        </w:tc>
        <w:tc>
          <w:tcPr>
            <w:tcW w:w="2200" w:type="dxa"/>
            <w:tcMar>
              <w:top w:w="120" w:type="dxa"/>
              <w:left w:w="120" w:type="dxa"/>
              <w:bottom w:w="120" w:type="dxa"/>
              <w:right w:w="120" w:type="dxa"/>
            </w:tcMar>
          </w:tcPr>
          <w:p>
            <w:r>
              <w:t xml:space="preserve">https://platform.claude.com/settings/keys</w:t>
            </w:r>
          </w:p>
        </w:tc>
      </w:tr>
      <w:tr>
        <w:tc>
          <w:tcPr>
            <w:tcW w:w="2200" w:type="dxa"/>
            <w:tcMar>
              <w:top w:w="120" w:type="dxa"/>
              <w:left w:w="120" w:type="dxa"/>
              <w:bottom w:w="120" w:type="dxa"/>
              <w:right w:w="120" w:type="dxa"/>
            </w:tcMar>
          </w:tcPr>
          <w:p>
            <w:r>
              <w:t xml:space="preserve">Official API pricing</w:t>
            </w:r>
          </w:p>
        </w:tc>
        <w:tc>
          <w:tcPr>
            <w:tcW w:w="2200" w:type="dxa"/>
            <w:tcMar>
              <w:top w:w="120" w:type="dxa"/>
              <w:left w:w="120" w:type="dxa"/>
              <w:bottom w:w="120" w:type="dxa"/>
              <w:right w:w="120" w:type="dxa"/>
            </w:tcMar>
          </w:tcPr>
          <w:p>
            <w:r>
              <w:t xml:space="preserve">https://platform.claude.com/docs/en/about-claude/pricing</w:t>
            </w:r>
          </w:p>
        </w:tc>
      </w:tr>
      <w:tr>
        <w:tc>
          <w:tcPr>
            <w:tcW w:w="2200" w:type="dxa"/>
            <w:tcMar>
              <w:top w:w="120" w:type="dxa"/>
              <w:left w:w="120" w:type="dxa"/>
              <w:bottom w:w="120" w:type="dxa"/>
              <w:right w:w="120" w:type="dxa"/>
            </w:tcMar>
          </w:tcPr>
          <w:p>
            <w:r>
              <w:t xml:space="preserve">Claude pricing overview</w:t>
            </w:r>
          </w:p>
        </w:tc>
        <w:tc>
          <w:tcPr>
            <w:tcW w:w="2200" w:type="dxa"/>
            <w:tcMar>
              <w:top w:w="120" w:type="dxa"/>
              <w:left w:w="120" w:type="dxa"/>
              <w:bottom w:w="120" w:type="dxa"/>
              <w:right w:w="120" w:type="dxa"/>
            </w:tcMar>
          </w:tcPr>
          <w:p>
            <w:r>
              <w:t xml:space="preserve">https://claude.com/pricing#api</w:t>
            </w:r>
          </w:p>
        </w:tc>
      </w:tr>
      <w:tr>
        <w:tc>
          <w:tcPr>
            <w:tcW w:w="2200" w:type="dxa"/>
            <w:tcMar>
              <w:top w:w="120" w:type="dxa"/>
              <w:left w:w="120" w:type="dxa"/>
              <w:bottom w:w="120" w:type="dxa"/>
              <w:right w:w="120" w:type="dxa"/>
            </w:tcMar>
          </w:tcPr>
          <w:p>
            <w:r>
              <w:t xml:space="preserve">Billing settings</w:t>
            </w:r>
          </w:p>
        </w:tc>
        <w:tc>
          <w:tcPr>
            <w:tcW w:w="2200" w:type="dxa"/>
            <w:tcMar>
              <w:top w:w="120" w:type="dxa"/>
              <w:left w:w="120" w:type="dxa"/>
              <w:bottom w:w="120" w:type="dxa"/>
              <w:right w:w="120" w:type="dxa"/>
            </w:tcMar>
          </w:tcPr>
          <w:p>
            <w:r>
              <w:t xml:space="preserve">https://platform.claude.com/settings/billing</w:t>
            </w:r>
          </w:p>
        </w:tc>
      </w:tr>
      <w:tr>
        <w:tc>
          <w:tcPr>
            <w:tcW w:w="2200" w:type="dxa"/>
            <w:tcMar>
              <w:top w:w="120" w:type="dxa"/>
              <w:left w:w="120" w:type="dxa"/>
              <w:bottom w:w="120" w:type="dxa"/>
              <w:right w:w="120" w:type="dxa"/>
            </w:tcMar>
          </w:tcPr>
          <w:p>
            <w:r>
              <w:t xml:space="preserve">Claude API docs</w:t>
            </w:r>
          </w:p>
        </w:tc>
        <w:tc>
          <w:tcPr>
            <w:tcW w:w="2200" w:type="dxa"/>
            <w:tcMar>
              <w:top w:w="120" w:type="dxa"/>
              <w:left w:w="120" w:type="dxa"/>
              <w:bottom w:w="120" w:type="dxa"/>
              <w:right w:w="120" w:type="dxa"/>
            </w:tcMar>
          </w:tcPr>
          <w:p>
            <w:r>
              <w:t xml:space="preserve">https://platform.claude.com/docs</w:t>
            </w:r>
          </w:p>
        </w:tc>
      </w:tr>
    </w:tbl>
    <w:p>
      <w:pPr>
        <w:pStyle w:val="Heading1"/>
      </w:pPr>
      <w:r>
        <w:t xml:space="preserve">Clickable source links</w:t>
      </w:r>
    </w:p>
    <w:p>
      <w:hyperlink r:id="rId5">
        <w:r>
          <w:rPr>
            <w:rStyle w:val="Hyperlink"/>
          </w:rPr>
          <w:t>Create/manage Anthropic API key</w:t>
        </w:r>
      </w:hyperlink>
      <w:r>
        <w:t xml:space="preserve"> - https://platform.claude.com/settings/keys</w:t>
      </w:r>
    </w:p>
    <w:p>
      <w:hyperlink r:id="rId6">
        <w:r>
          <w:rPr>
            <w:rStyle w:val="Hyperlink"/>
          </w:rPr>
          <w:t>Official Claude API pricing docs</w:t>
        </w:r>
      </w:hyperlink>
      <w:r>
        <w:t xml:space="preserve"> - https://platform.claude.com/docs/en/about-claude/pricing</w:t>
      </w:r>
    </w:p>
    <w:p>
      <w:hyperlink r:id="rId7">
        <w:r>
          <w:rPr>
            <w:rStyle w:val="Hyperlink"/>
          </w:rPr>
          <w:t>Claude API pricing overview</w:t>
        </w:r>
      </w:hyperlink>
      <w:r>
        <w:t xml:space="preserve"> - https://claude.com/pricing#api</w:t>
      </w:r>
    </w:p>
    <w:p>
      <w:hyperlink r:id="rId8">
        <w:r>
          <w:rPr>
            <w:rStyle w:val="Hyperlink"/>
          </w:rPr>
          <w:t>Anthropic billing settings</w:t>
        </w:r>
      </w:hyperlink>
      <w:r>
        <w:t xml:space="preserve"> - https://platform.claude.com/settings/billing</w:t>
      </w:r>
    </w:p>
    <w:p>
      <w:pPr>
        <w:pStyle w:val="Heading1"/>
      </w:pPr>
      <w:r>
        <w:t xml:space="preserve">Source note</w:t>
      </w:r>
    </w:p>
    <w:p>
      <w:r>
        <w:t xml:space="preserve">Anthropic states that prices are in USD and can change. For live pricing, always check the official pricing page before purchasing or budgeting.</w:t>
      </w:r>
    </w:p>
    <w:sectPr>
      <w:pgSz w:w="15840" w:h="12240" w:orient="landscape"/>
      <w:pgMar w:top="720" w:right="720" w:bottom="720" w:left="720" w:header="720" w:footer="720" w:gutter="0"/>
    </w:sectPr>
  </w:body>
</w:document>
</file>

<file path=word/styles.xml><?xml version="1.0" encoding="utf-8"?>
<w:styles xmlns:w="http://schemas.openxmlformats.org/wordprocessingml/2006/main">
  <w:style w:type="paragraph" w:default="1" w:styleId="Normal">
    <w:name w:val="Normal"/>
    <w:qFormat/>
    <w:rPr>
      <w:rFonts w:ascii="Aptos" w:hAnsi="Aptos"/>
      <w:sz w:val="22"/>
      <w:color w:val="1F2937"/>
    </w:rPr>
    <w:pPr>
      <w:spacing w:after="160" w:line="276" w:lineRule="auto"/>
    </w:pPr>
  </w:style>
  <w:style w:type="paragraph" w:styleId="Title">
    <w:name w:val="Title"/>
    <w:basedOn w:val="Normal"/>
    <w:next w:val="Subtitle"/>
    <w:qFormat/>
    <w:rPr>
      <w:b/>
      <w:sz w:val="44"/>
      <w:color w:val="0F766E"/>
    </w:rPr>
    <w:pPr>
      <w:spacing w:before="240" w:after="120"/>
    </w:pPr>
  </w:style>
  <w:style w:type="paragraph" w:styleId="Subtitle">
    <w:name w:val="Subtitle"/>
    <w:basedOn w:val="Normal"/>
    <w:qFormat/>
    <w:rPr>
      <w:sz w:val="22"/>
      <w:color w:val="64748B"/>
    </w:rPr>
    <w:pPr>
      <w:spacing w:after="300"/>
    </w:pPr>
  </w:style>
  <w:style w:type="paragraph" w:styleId="Heading1">
    <w:name w:val="heading 1"/>
    <w:basedOn w:val="Normal"/>
    <w:next w:val="Normal"/>
    <w:qFormat/>
    <w:rPr>
      <w:b/>
      <w:sz w:val="28"/>
      <w:color w:val="0F766E"/>
    </w:rPr>
    <w:pPr>
      <w:keepNext/>
      <w:spacing w:before="360" w:after="120"/>
    </w:pPr>
  </w:style>
  <w:style w:type="paragraph" w:styleId="ListBullet">
    <w:name w:val="List Bullet"/>
    <w:basedOn w:val="Normal"/>
    <w:qFormat/>
    <w:pPr>
      <w:ind w:left="360" w:hanging="180"/>
    </w:pPr>
  </w:style>
  <w:style w:type="character" w:styleId="Hyperlink">
    <w:name w:val="Hyperlink"/>
    <w:rPr>
      <w:color w:val="0563C1"/>
      <w:u w:val="single"/>
    </w:rPr>
  </w:style>
  <w:style w:type="table" w:default="1" w:styleId="TableGrid">
    <w:name w:val="Table Grid"/>
    <w:tblP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5" Type="http://schemas.openxmlformats.org/officeDocument/2006/relationships/hyperlink" Target="https://platform.claude.com/settings/keys" TargetMode="External"/><Relationship Id="rId6" Type="http://schemas.openxmlformats.org/officeDocument/2006/relationships/hyperlink" Target="https://platform.claude.com/docs/en/about-claude/pricing" TargetMode="External"/><Relationship Id="rId7" Type="http://schemas.openxmlformats.org/officeDocument/2006/relationships/hyperlink" Target="https://claude.com/pricing#api" TargetMode="External"/><Relationship Id="rId8" Type="http://schemas.openxmlformats.org/officeDocument/2006/relationships/hyperlink" Target="https://platform.claude.com/settings/billing" TargetMode="External"/></Relationships>
</file>

<file path=docProps/app.xml><?xml version="1.0" encoding="utf-8"?>
<Properties xmlns="http://schemas.openxmlformats.org/officeDocument/2006/extended-properties" xmlns:vt="http://schemas.openxmlformats.org/officeDocument/2006/docPropsVTypes">
  <Application>Aion Mind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API Pricing and Links</dc:title>
  <dc:creator>Aion Mind</dc:creator>
  <cp:lastModifiedBy>Aion Mind</cp:lastModifiedBy>
  <dcterms:created xsi:type="dcterms:W3CDTF">2026-05-22T00:00:00Z</dcterms:created>
  <dcterms:modified xsi:type="dcterms:W3CDTF">2026-05-22T00:00:00Z</dcterms:modified>
</cp:coreProperties>
</file>