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pStyle w:val="Title"/>
      </w:pPr>
      <w:r>
        <w:rPr>
          <w:b/>
          <w:bCs/>
          <w:sz w:val="56"/>
          <w:szCs w:val="56"/>
        </w:rPr>
        <w:t xml:space="preserve">Setup Guide</w:t>
      </w:r>
    </w:p>
    <w:p>
      <w:pPr>
        <w:spacing w:after="800"/>
      </w:pPr>
      <w:r>
        <w:rPr>
          <w:color w:val="6B7280"/>
          <w:sz w:val="26"/>
          <w:szCs w:val="26"/>
        </w:rPr>
        <w:t xml:space="preserve">AI Portfolio Platform — from empty repo to live site</w:t>
      </w:r>
    </w:p>
    <w:p>
      <w:pPr>
        <w:spacing w:after="160"/>
      </w:pPr>
      <w:r>
        <w:rPr>
          <w:color w:val="6B7280"/>
          <w:sz w:val="21"/>
          <w:szCs w:val="21"/>
        </w:rPr>
        <w:t xml:space="preserve">This is the step-by-step, non-technical-friendly companion to </w:t>
      </w:r>
      <w:r>
        <w:rPr>
          <w:rFonts w:ascii="Consolas" w:cs="Consolas" w:eastAsia="Consolas" w:hAnsi="Consolas"/>
          <w:color w:val="6B7280"/>
          <w:sz w:val="20"/>
          <w:szCs w:val="20"/>
        </w:rPr>
        <w:t xml:space="preserve">README.md</w:t>
      </w:r>
      <w:r>
        <w:rPr>
          <w:color w:val="6B7280"/>
          <w:sz w:val="21"/>
          <w:szCs w:val="21"/>
        </w:rPr>
        <w:t xml:space="preserve"> and </w:t>
      </w:r>
      <w:r>
        <w:rPr>
          <w:rFonts w:ascii="Consolas" w:cs="Consolas" w:eastAsia="Consolas" w:hAnsi="Consolas"/>
          <w:color w:val="6B7280"/>
          <w:sz w:val="20"/>
          <w:szCs w:val="20"/>
        </w:rPr>
        <w:t xml:space="preserve">ARCHITECTURE.md</w:t>
      </w:r>
      <w:r>
        <w:rPr>
          <w:color w:val="6B7280"/>
          <w:sz w:val="21"/>
          <w:szCs w:val="21"/>
        </w:rPr>
        <w:t xml:space="preserve">. Work through it top to bottom the first time; use it as reference after that.</w:t>
      </w:r>
    </w:p>
    <w:tbl>
      <w:tblPr>
        <w:tblW w:type="pct" w:w="100%"/>
        <w:tblBorders>
          <w:top w:val="single" w:color="F5CB8C" w:sz="2"/>
          <w:left w:val="single" w:color="B45309" w:sz="12"/>
          <w:bottom w:val="single" w:color="F5CB8C" w:sz="2"/>
          <w:right w:val="single" w:color="F5CB8C" w:sz="2"/>
          <w:insideH w:val="single" w:color="auto" w:sz="4"/>
          <w:insideV w:val="single" w:color="auto" w:sz="4"/>
        </w:tblBorders>
      </w:tblPr>
      <w:tblGrid>
        <w:gridCol w:w="100"/>
      </w:tblGrid>
      <w:tr>
        <w:tc>
          <w:tcPr>
            <w:shd w:fill="FEF3E2" w:val="clear"/>
            <w:tcMar>
              <w:top w:type="dxa" w:w="140"/>
              <w:left w:type="dxa" w:w="220"/>
              <w:bottom w:type="dxa" w:w="140"/>
              <w:right w:type="dxa" w:w="220"/>
            </w:tcMar>
          </w:tcPr>
          <w:p>
            <w:r>
              <w:rPr>
                <w:b/>
                <w:bCs/>
                <w:color w:val="92400E"/>
                <w:sz w:val="21"/>
                <w:szCs w:val="21"/>
              </w:rPr>
              <w:t xml:space="preserve">Before you start: </w:t>
            </w:r>
            <w:r>
              <w:rPr>
                <w:color w:val="78350F"/>
                <w:sz w:val="21"/>
                <w:szCs w:val="21"/>
              </w:rPr>
              <w:t xml:space="preserve">Every placeholder in this codebase — your name, bio, projects, API keys — is intentionally fake so the site runs immediately. Nothing here is optional to eventually replace, but nothing blocks you from exploring the site first.</w:t>
            </w:r>
          </w:p>
        </w:tc>
      </w:tr>
    </w:tbl>
    <w:p>
      <w:r>
        <w:br w:type="page"/>
      </w:r>
    </w:p>
    <w:p>
      <w:pPr>
        <w:pStyle w:val="Heading1"/>
        <w:spacing w:after="240" w:before="48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What you'll need</w:t>
      </w:r>
    </w:p>
    <w:p>
      <w:pPr>
        <w:spacing w:after="160"/>
      </w:pPr>
      <w:r>
        <w:rPr>
          <w:sz w:val="22"/>
          <w:szCs w:val="22"/>
        </w:rPr>
        <w:t xml:space="preserve">Before touching code, create free-tier accounts on each of these. All have generous free tiers suitable for a personal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2937"/>
            <w:tcMar>
              <w:top w:type="dxa" w:w="100"/>
              <w:left w:type="dxa" w:w="120"/>
              <w:bottom w:type="dxa" w:w="100"/>
              <w:right w:type="dxa" w:w="120"/>
            </w:tcMar>
          </w:tcPr>
          <w:p>
            <w:r>
              <w:rPr>
                <w:b/>
                <w:bCs/>
                <w:color w:val="FFFFFF"/>
                <w:sz w:val="20"/>
                <w:szCs w:val="20"/>
              </w:rPr>
              <w:t xml:space="preserve">Service</w:t>
            </w:r>
          </w:p>
        </w:tc>
        <w:tc>
          <w:tcPr>
            <w:shd w:fill="1F2937"/>
            <w:tcMar>
              <w:top w:type="dxa" w:w="100"/>
              <w:left w:type="dxa" w:w="120"/>
              <w:bottom w:type="dxa" w:w="100"/>
              <w:right w:type="dxa" w:w="120"/>
            </w:tcMar>
          </w:tcPr>
          <w:p>
            <w:r>
              <w:rPr>
                <w:b/>
                <w:bCs/>
                <w:color w:val="FFFFFF"/>
                <w:sz w:val="20"/>
                <w:szCs w:val="20"/>
              </w:rPr>
              <w:t xml:space="preserve">What it's for</w:t>
            </w:r>
          </w:p>
        </w:tc>
        <w:tc>
          <w:tcPr>
            <w:shd w:fill="1F2937"/>
            <w:tcMar>
              <w:top w:type="dxa" w:w="100"/>
              <w:left w:type="dxa" w:w="120"/>
              <w:bottom w:type="dxa" w:w="100"/>
              <w:right w:type="dxa" w:w="120"/>
            </w:tcMar>
          </w:tcPr>
          <w:p>
            <w:r>
              <w:rPr>
                <w:b/>
                <w:bCs/>
                <w:color w:val="FFFFFF"/>
                <w:sz w:val="20"/>
                <w:szCs w:val="20"/>
              </w:rPr>
              <w:t xml:space="preserve">Sign up at</w:t>
            </w:r>
          </w:p>
        </w:tc>
      </w:tr>
      <w:tr>
        <w:tc>
          <w:tcPr>
            <w:tcMar>
              <w:top w:type="dxa" w:w="90"/>
              <w:left w:type="dxa" w:w="120"/>
              <w:bottom w:type="dxa" w:w="90"/>
              <w:right w:type="dxa" w:w="120"/>
            </w:tcMar>
          </w:tcPr>
          <w:p>
            <w:r>
              <w:rPr>
                <w:sz w:val="20"/>
                <w:szCs w:val="20"/>
              </w:rPr>
              <w:t xml:space="preserve">Supabase</w:t>
            </w:r>
          </w:p>
        </w:tc>
        <w:tc>
          <w:tcPr>
            <w:tcMar>
              <w:top w:type="dxa" w:w="90"/>
              <w:left w:type="dxa" w:w="120"/>
              <w:bottom w:type="dxa" w:w="90"/>
              <w:right w:type="dxa" w:w="120"/>
            </w:tcMar>
          </w:tcPr>
          <w:p>
            <w:r>
              <w:rPr>
                <w:sz w:val="20"/>
                <w:szCs w:val="20"/>
              </w:rPr>
              <w:t xml:space="preserve">Database (Postgres + pgvector) and image storage</w:t>
            </w:r>
          </w:p>
        </w:tc>
        <w:tc>
          <w:tcPr>
            <w:tcMar>
              <w:top w:type="dxa" w:w="90"/>
              <w:left w:type="dxa" w:w="120"/>
              <w:bottom w:type="dxa" w:w="90"/>
              <w:right w:type="dxa" w:w="120"/>
            </w:tcMar>
          </w:tcPr>
          <w:p>
            <w:r>
              <w:rPr>
                <w:rFonts w:ascii="Consolas" w:cs="Consolas" w:eastAsia="Consolas" w:hAnsi="Consolas"/>
                <w:sz w:val="20"/>
                <w:szCs w:val="20"/>
              </w:rPr>
              <w:t xml:space="preserve">supabase.com</w:t>
            </w:r>
          </w:p>
        </w:tc>
      </w:tr>
      <w:tr>
        <w:tc>
          <w:tcPr>
            <w:tcMar>
              <w:top w:type="dxa" w:w="90"/>
              <w:left w:type="dxa" w:w="120"/>
              <w:bottom w:type="dxa" w:w="90"/>
              <w:right w:type="dxa" w:w="120"/>
            </w:tcMar>
          </w:tcPr>
          <w:p>
            <w:r>
              <w:rPr>
                <w:sz w:val="20"/>
                <w:szCs w:val="20"/>
              </w:rPr>
              <w:t xml:space="preserve">OpenAI</w:t>
            </w:r>
          </w:p>
        </w:tc>
        <w:tc>
          <w:tcPr>
            <w:tcMar>
              <w:top w:type="dxa" w:w="90"/>
              <w:left w:type="dxa" w:w="120"/>
              <w:bottom w:type="dxa" w:w="90"/>
              <w:right w:type="dxa" w:w="120"/>
            </w:tcMar>
          </w:tcPr>
          <w:p>
            <w:r>
              <w:rPr>
                <w:sz w:val="20"/>
                <w:szCs w:val="20"/>
              </w:rPr>
              <w:t xml:space="preserve">Powers the AI assistant (chat + embeddings)</w:t>
            </w:r>
          </w:p>
        </w:tc>
        <w:tc>
          <w:tcPr>
            <w:tcMar>
              <w:top w:type="dxa" w:w="90"/>
              <w:left w:type="dxa" w:w="120"/>
              <w:bottom w:type="dxa" w:w="90"/>
              <w:right w:type="dxa" w:w="120"/>
            </w:tcMar>
          </w:tcPr>
          <w:p>
            <w:r>
              <w:rPr>
                <w:rFonts w:ascii="Consolas" w:cs="Consolas" w:eastAsia="Consolas" w:hAnsi="Consolas"/>
                <w:sz w:val="20"/>
                <w:szCs w:val="20"/>
              </w:rPr>
              <w:t xml:space="preserve">platform.openai.com</w:t>
            </w:r>
          </w:p>
        </w:tc>
      </w:tr>
      <w:tr>
        <w:tc>
          <w:tcPr>
            <w:tcMar>
              <w:top w:type="dxa" w:w="90"/>
              <w:left w:type="dxa" w:w="120"/>
              <w:bottom w:type="dxa" w:w="90"/>
              <w:right w:type="dxa" w:w="120"/>
            </w:tcMar>
          </w:tcPr>
          <w:p>
            <w:r>
              <w:rPr>
                <w:sz w:val="20"/>
                <w:szCs w:val="20"/>
              </w:rPr>
              <w:t xml:space="preserve">Resend</w:t>
            </w:r>
          </w:p>
        </w:tc>
        <w:tc>
          <w:tcPr>
            <w:tcMar>
              <w:top w:type="dxa" w:w="90"/>
              <w:left w:type="dxa" w:w="120"/>
              <w:bottom w:type="dxa" w:w="90"/>
              <w:right w:type="dxa" w:w="120"/>
            </w:tcMar>
          </w:tcPr>
          <w:p>
            <w:r>
              <w:rPr>
                <w:sz w:val="20"/>
                <w:szCs w:val="20"/>
              </w:rPr>
              <w:t xml:space="preserve">Sends booking confirmations and contact-form emails</w:t>
            </w:r>
          </w:p>
        </w:tc>
        <w:tc>
          <w:tcPr>
            <w:tcMar>
              <w:top w:type="dxa" w:w="90"/>
              <w:left w:type="dxa" w:w="120"/>
              <w:bottom w:type="dxa" w:w="90"/>
              <w:right w:type="dxa" w:w="120"/>
            </w:tcMar>
          </w:tcPr>
          <w:p>
            <w:r>
              <w:rPr>
                <w:rFonts w:ascii="Consolas" w:cs="Consolas" w:eastAsia="Consolas" w:hAnsi="Consolas"/>
                <w:sz w:val="20"/>
                <w:szCs w:val="20"/>
              </w:rPr>
              <w:t xml:space="preserve">resend.com</w:t>
            </w:r>
          </w:p>
        </w:tc>
      </w:tr>
      <w:tr>
        <w:tc>
          <w:tcPr>
            <w:tcMar>
              <w:top w:type="dxa" w:w="90"/>
              <w:left w:type="dxa" w:w="120"/>
              <w:bottom w:type="dxa" w:w="90"/>
              <w:right w:type="dxa" w:w="120"/>
            </w:tcMar>
          </w:tcPr>
          <w:p>
            <w:r>
              <w:rPr>
                <w:sz w:val="20"/>
                <w:szCs w:val="20"/>
              </w:rPr>
              <w:t xml:space="preserve">Google Cloud</w:t>
            </w:r>
          </w:p>
        </w:tc>
        <w:tc>
          <w:tcPr>
            <w:tcMar>
              <w:top w:type="dxa" w:w="90"/>
              <w:left w:type="dxa" w:w="120"/>
              <w:bottom w:type="dxa" w:w="90"/>
              <w:right w:type="dxa" w:w="120"/>
            </w:tcMar>
          </w:tcPr>
          <w:p>
            <w:r>
              <w:rPr>
                <w:sz w:val="20"/>
                <w:szCs w:val="20"/>
              </w:rPr>
              <w:t xml:space="preserve">Calendar sync for the booking system</w:t>
            </w:r>
          </w:p>
        </w:tc>
        <w:tc>
          <w:tcPr>
            <w:tcMar>
              <w:top w:type="dxa" w:w="90"/>
              <w:left w:type="dxa" w:w="120"/>
              <w:bottom w:type="dxa" w:w="90"/>
              <w:right w:type="dxa" w:w="120"/>
            </w:tcMar>
          </w:tcPr>
          <w:p>
            <w:r>
              <w:rPr>
                <w:rFonts w:ascii="Consolas" w:cs="Consolas" w:eastAsia="Consolas" w:hAnsi="Consolas"/>
                <w:sz w:val="20"/>
                <w:szCs w:val="20"/>
              </w:rPr>
              <w:t xml:space="preserve">console.cloud.google.com</w:t>
            </w:r>
          </w:p>
        </w:tc>
      </w:tr>
      <w:tr>
        <w:tc>
          <w:tcPr>
            <w:tcMar>
              <w:top w:type="dxa" w:w="90"/>
              <w:left w:type="dxa" w:w="120"/>
              <w:bottom w:type="dxa" w:w="90"/>
              <w:right w:type="dxa" w:w="120"/>
            </w:tcMar>
          </w:tcPr>
          <w:p>
            <w:r>
              <w:rPr>
                <w:sz w:val="20"/>
                <w:szCs w:val="20"/>
              </w:rPr>
              <w:t xml:space="preserve">Vercel</w:t>
            </w:r>
          </w:p>
        </w:tc>
        <w:tc>
          <w:tcPr>
            <w:tcMar>
              <w:top w:type="dxa" w:w="90"/>
              <w:left w:type="dxa" w:w="120"/>
              <w:bottom w:type="dxa" w:w="90"/>
              <w:right w:type="dxa" w:w="120"/>
            </w:tcMar>
          </w:tcPr>
          <w:p>
            <w:r>
              <w:rPr>
                <w:sz w:val="20"/>
                <w:szCs w:val="20"/>
              </w:rPr>
              <w:t xml:space="preserve">Hosting / deployment</w:t>
            </w:r>
          </w:p>
        </w:tc>
        <w:tc>
          <w:tcPr>
            <w:tcMar>
              <w:top w:type="dxa" w:w="90"/>
              <w:left w:type="dxa" w:w="120"/>
              <w:bottom w:type="dxa" w:w="90"/>
              <w:right w:type="dxa" w:w="120"/>
            </w:tcMar>
          </w:tcPr>
          <w:p>
            <w:r>
              <w:rPr>
                <w:rFonts w:ascii="Consolas" w:cs="Consolas" w:eastAsia="Consolas" w:hAnsi="Consolas"/>
                <w:sz w:val="20"/>
                <w:szCs w:val="20"/>
              </w:rPr>
              <w:t xml:space="preserve">vercel.com</w:t>
            </w:r>
          </w:p>
        </w:tc>
      </w:tr>
      <w:tr>
        <w:tc>
          <w:tcPr>
            <w:tcMar>
              <w:top w:type="dxa" w:w="90"/>
              <w:left w:type="dxa" w:w="120"/>
              <w:bottom w:type="dxa" w:w="90"/>
              <w:right w:type="dxa" w:w="120"/>
            </w:tcMar>
          </w:tcPr>
          <w:p>
            <w:r>
              <w:rPr>
                <w:sz w:val="20"/>
                <w:szCs w:val="20"/>
              </w:rPr>
              <w:t xml:space="preserve">PostHog (optional)</w:t>
            </w:r>
          </w:p>
        </w:tc>
        <w:tc>
          <w:tcPr>
            <w:tcMar>
              <w:top w:type="dxa" w:w="90"/>
              <w:left w:type="dxa" w:w="120"/>
              <w:bottom w:type="dxa" w:w="90"/>
              <w:right w:type="dxa" w:w="120"/>
            </w:tcMar>
          </w:tcPr>
          <w:p>
            <w:r>
              <w:rPr>
                <w:sz w:val="20"/>
                <w:szCs w:val="20"/>
              </w:rPr>
              <w:t xml:space="preserve">Extra product analytics, separate from the built-in admin dashboard</w:t>
            </w:r>
          </w:p>
        </w:tc>
        <w:tc>
          <w:tcPr>
            <w:tcMar>
              <w:top w:type="dxa" w:w="90"/>
              <w:left w:type="dxa" w:w="120"/>
              <w:bottom w:type="dxa" w:w="90"/>
              <w:right w:type="dxa" w:w="120"/>
            </w:tcMar>
          </w:tcPr>
          <w:p>
            <w:r>
              <w:rPr>
                <w:rFonts w:ascii="Consolas" w:cs="Consolas" w:eastAsia="Consolas" w:hAnsi="Consolas"/>
                <w:sz w:val="20"/>
                <w:szCs w:val="20"/>
              </w:rPr>
              <w:t xml:space="preserve">posthog.com</w:t>
            </w:r>
          </w:p>
        </w:tc>
      </w:tr>
    </w:tbl>
    <w:p>
      <w:pPr>
        <w:spacing w:after="200"/>
      </w:pPr>
    </w:p>
    <w:p>
      <w:pPr>
        <w:spacing w:after="160"/>
      </w:pPr>
      <w:r>
        <w:rPr>
          <w:sz w:val="22"/>
          <w:szCs w:val="22"/>
        </w:rPr>
        <w:t xml:space="preserve">You'll also need Node.js 20 or newer installed locally. Check with:</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11827"/>
                <w:sz w:val="19"/>
                <w:szCs w:val="19"/>
              </w:rPr>
              <w:t xml:space="preserve">node --version</w:t>
            </w:r>
          </w:p>
        </w:tc>
      </w:tr>
    </w:tbl>
    <w:p>
      <w:pPr>
        <w:spacing w:after="120"/>
      </w:pPr>
    </w:p>
    <w:p>
      <w:pPr>
        <w:pStyle w:val="Heading1"/>
        <w:spacing w:after="240" w:before="480"/>
      </w:pPr>
      <w:r>
        <w:t xml:space="preserve">2. Set up Supabase (database + storage)</w:t>
      </w:r>
    </w:p>
    <w:p>
      <w:pPr>
        <w:pStyle w:val="Heading2"/>
        <w:spacing w:after="160" w:before="360"/>
      </w:pPr>
      <w:r>
        <w:t xml:space="preserve">2.1 Create the project</w:t>
      </w:r>
    </w:p>
    <w:p>
      <w:pPr>
        <w:pStyle w:val="ListParagraph"/>
        <w:numPr>
          <w:ilvl w:val="0"/>
          <w:numId w:val="2"/>
        </w:numPr>
        <w:spacing w:after="100"/>
      </w:pPr>
      <w:r>
        <w:t xml:space="preserve">Go to supabase.com and create a new project. Pick a strong database password and save it somewhere safe — you'll need it in a moment.</w:t>
      </w:r>
    </w:p>
    <w:p>
      <w:pPr>
        <w:pStyle w:val="ListParagraph"/>
        <w:numPr>
          <w:ilvl w:val="0"/>
          <w:numId w:val="2"/>
        </w:numPr>
        <w:spacing w:after="100"/>
      </w:pPr>
      <w:r>
        <w:t xml:space="preserve">Wait for provisioning to finish (a couple of minutes).</w:t>
      </w:r>
    </w:p>
    <w:p>
      <w:pPr>
        <w:pStyle w:val="Heading2"/>
        <w:spacing w:after="160" w:before="360"/>
      </w:pPr>
      <w:r>
        <w:t xml:space="preserve">2.2 Enable pgvector</w:t>
      </w:r>
    </w:p>
    <w:p>
      <w:pPr>
        <w:pStyle w:val="ListParagraph"/>
        <w:numPr>
          <w:ilvl w:val="0"/>
          <w:numId w:val="2"/>
        </w:numPr>
        <w:spacing w:after="100"/>
      </w:pPr>
      <w:r>
        <w:t xml:space="preserve">In the Supabase dashboard, go to Database → Extensions.</w:t>
      </w:r>
    </w:p>
    <w:p>
      <w:pPr>
        <w:pStyle w:val="ListParagraph"/>
        <w:numPr>
          <w:ilvl w:val="0"/>
          <w:numId w:val="2"/>
        </w:numPr>
        <w:spacing w:after="100"/>
      </w:pPr>
      <w:r>
        <w:t xml:space="preserve">Search for "vector" and enable it. (The included migration also tries to enable this automatically, but it's worth confirming here.)</w:t>
      </w:r>
    </w:p>
    <w:p>
      <w:pPr>
        <w:pStyle w:val="Heading2"/>
        <w:spacing w:after="160" w:before="360"/>
      </w:pPr>
      <w:r>
        <w:t xml:space="preserve">2.3 Get your connection strings</w:t>
      </w:r>
    </w:p>
    <w:p>
      <w:pPr>
        <w:pStyle w:val="ListParagraph"/>
        <w:numPr>
          <w:ilvl w:val="0"/>
          <w:numId w:val="2"/>
        </w:numPr>
        <w:spacing w:after="100"/>
      </w:pPr>
      <w:r>
        <w:t xml:space="preserve">Go to Project Settings → Database → Connection string.</w:t>
      </w:r>
    </w:p>
    <w:p>
      <w:pPr>
        <w:pStyle w:val="ListParagraph"/>
        <w:numPr>
          <w:ilvl w:val="0"/>
          <w:numId w:val="2"/>
        </w:numPr>
        <w:spacing w:after="100"/>
      </w:pPr>
      <w:r>
        <w:t xml:space="preserve">Copy the "Transaction" pooler connection string — this becomes DATABASE_URL.</w:t>
      </w:r>
    </w:p>
    <w:p>
      <w:pPr>
        <w:pStyle w:val="ListParagraph"/>
        <w:numPr>
          <w:ilvl w:val="0"/>
          <w:numId w:val="2"/>
        </w:numPr>
        <w:spacing w:after="100"/>
      </w:pPr>
      <w:r>
        <w:t xml:space="preserve">Copy the "Session" (direct) connection string — this becomes DIRECT_URL.</w:t>
      </w:r>
    </w:p>
    <w:tbl>
      <w:tblPr>
        <w:tblW w:type="pct" w:w="100%"/>
        <w:tblBorders>
          <w:top w:val="single" w:color="F5CB8C" w:sz="2"/>
          <w:left w:val="single" w:color="B45309" w:sz="12"/>
          <w:bottom w:val="single" w:color="F5CB8C" w:sz="2"/>
          <w:right w:val="single" w:color="F5CB8C" w:sz="2"/>
          <w:insideH w:val="single" w:color="auto" w:sz="4"/>
          <w:insideV w:val="single" w:color="auto" w:sz="4"/>
        </w:tblBorders>
      </w:tblPr>
      <w:tblGrid>
        <w:gridCol w:w="100"/>
      </w:tblGrid>
      <w:tr>
        <w:tc>
          <w:tcPr>
            <w:shd w:fill="FEF3E2" w:val="clear"/>
            <w:tcMar>
              <w:top w:type="dxa" w:w="140"/>
              <w:left w:type="dxa" w:w="220"/>
              <w:bottom w:type="dxa" w:w="140"/>
              <w:right w:type="dxa" w:w="220"/>
            </w:tcMar>
          </w:tcPr>
          <w:p>
            <w:r>
              <w:rPr>
                <w:b/>
                <w:bCs/>
                <w:color w:val="92400E"/>
                <w:sz w:val="21"/>
                <w:szCs w:val="21"/>
              </w:rPr>
              <w:t xml:space="preserve">Why two URLs: </w:t>
            </w:r>
            <w:r>
              <w:rPr>
                <w:color w:val="78350F"/>
                <w:sz w:val="21"/>
                <w:szCs w:val="21"/>
              </w:rPr>
              <w:t xml:space="preserve">The pooled connection is for the running app (handles many short-lived serverless connections); the direct connection is for running migrations. Using the wrong one for migrations is a common source of confusing errors.</w:t>
            </w:r>
          </w:p>
        </w:tc>
      </w:tr>
    </w:tbl>
    <w:p>
      <w:pPr>
        <w:pStyle w:val="Heading2"/>
        <w:spacing w:after="160" w:before="360"/>
      </w:pPr>
      <w:r>
        <w:t xml:space="preserve">2.4 Get your API keys</w:t>
      </w:r>
    </w:p>
    <w:p>
      <w:pPr>
        <w:pStyle w:val="ListParagraph"/>
        <w:numPr>
          <w:ilvl w:val="0"/>
          <w:numId w:val="2"/>
        </w:numPr>
        <w:spacing w:after="100"/>
      </w:pPr>
      <w:r>
        <w:t xml:space="preserve">Go to Project Settings → API.</w:t>
      </w:r>
    </w:p>
    <w:p>
      <w:pPr>
        <w:pStyle w:val="ListParagraph"/>
        <w:numPr>
          <w:ilvl w:val="0"/>
          <w:numId w:val="2"/>
        </w:numPr>
        <w:spacing w:after="100"/>
      </w:pPr>
      <w:r>
        <w:t xml:space="preserve">Copy the Project URL → NEXT_PUBLIC_SUPABASE_URL.</w:t>
      </w:r>
    </w:p>
    <w:p>
      <w:pPr>
        <w:pStyle w:val="ListParagraph"/>
        <w:numPr>
          <w:ilvl w:val="0"/>
          <w:numId w:val="2"/>
        </w:numPr>
        <w:spacing w:after="100"/>
      </w:pPr>
      <w:r>
        <w:t xml:space="preserve">Copy the "anon public" key → NEXT_PUBLIC_SUPABASE_ANON_KEY.</w:t>
      </w:r>
    </w:p>
    <w:p>
      <w:pPr>
        <w:pStyle w:val="ListParagraph"/>
        <w:numPr>
          <w:ilvl w:val="0"/>
          <w:numId w:val="2"/>
        </w:numPr>
        <w:spacing w:after="100"/>
      </w:pPr>
      <w:r>
        <w:t xml:space="preserve">Copy the "service_role" key → SUPABASE_SERVICE_ROLE_KEY. Treat this like a master password — never expose it to the browser or commit it.</w:t>
      </w:r>
    </w:p>
    <w:p>
      <w:pPr>
        <w:pStyle w:val="Heading2"/>
        <w:spacing w:after="160" w:before="360"/>
      </w:pPr>
      <w:r>
        <w:t xml:space="preserve">2.5 Create the image storage bucket</w:t>
      </w:r>
    </w:p>
    <w:p>
      <w:pPr>
        <w:pStyle w:val="ListParagraph"/>
        <w:numPr>
          <w:ilvl w:val="0"/>
          <w:numId w:val="2"/>
        </w:numPr>
        <w:spacing w:after="100"/>
      </w:pPr>
      <w:r>
        <w:t xml:space="preserve">Go to Storage → Create a new bucket.</w:t>
      </w:r>
    </w:p>
    <w:p>
      <w:pPr>
        <w:pStyle w:val="ListParagraph"/>
        <w:numPr>
          <w:ilvl w:val="0"/>
          <w:numId w:val="2"/>
        </w:numPr>
        <w:spacing w:after="100"/>
      </w:pPr>
      <w:r>
        <w:t xml:space="preserve">Name it exactly "portfolio-assets" (matches lib/supabase.ts — rename there too if you use a different name).</w:t>
      </w:r>
    </w:p>
    <w:p>
      <w:pPr>
        <w:pStyle w:val="ListParagraph"/>
        <w:numPr>
          <w:ilvl w:val="0"/>
          <w:numId w:val="2"/>
        </w:numPr>
        <w:spacing w:after="100"/>
      </w:pPr>
      <w:r>
        <w:t xml:space="preserve">Make the bucket public (so uploaded images render on the live site without extra signed-URL logic).</w:t>
      </w:r>
    </w:p>
    <w:p>
      <w:pPr>
        <w:spacing w:after="120"/>
      </w:pPr>
    </w:p>
    <w:p>
      <w:pPr>
        <w:pStyle w:val="Heading1"/>
        <w:spacing w:after="240" w:before="480"/>
      </w:pPr>
      <w:r>
        <w:t xml:space="preserve">3. Fill in your environment variables</w:t>
      </w:r>
    </w:p>
    <w:p>
      <w:pPr>
        <w:spacing w:after="160"/>
      </w:pPr>
      <w:r>
        <w:rPr>
          <w:sz w:val="22"/>
          <w:szCs w:val="22"/>
        </w:rPr>
        <w:t xml:space="preserve">Copy .env.example to .env in the project root, then fill in each value. Here’s what each one is and where it comes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shd w:fill="1F2937"/>
            <w:tcMar>
              <w:top w:type="dxa" w:w="100"/>
              <w:left w:type="dxa" w:w="120"/>
              <w:bottom w:type="dxa" w:w="100"/>
              <w:right w:type="dxa" w:w="120"/>
            </w:tcMar>
          </w:tcPr>
          <w:p>
            <w:r>
              <w:rPr>
                <w:b/>
                <w:bCs/>
                <w:color w:val="FFFFFF"/>
                <w:sz w:val="20"/>
                <w:szCs w:val="20"/>
              </w:rPr>
              <w:t xml:space="preserve">Variable</w:t>
            </w:r>
          </w:p>
        </w:tc>
        <w:tc>
          <w:tcPr>
            <w:tcW w:type="pct" w:w="66%"/>
            <w:shd w:fill="1F2937"/>
            <w:tcMar>
              <w:top w:type="dxa" w:w="100"/>
              <w:left w:type="dxa" w:w="120"/>
              <w:bottom w:type="dxa" w:w="100"/>
              <w:right w:type="dxa" w:w="120"/>
            </w:tcMar>
          </w:tcPr>
          <w:p>
            <w:r>
              <w:rPr>
                <w:b/>
                <w:bCs/>
                <w:color w:val="FFFFFF"/>
                <w:sz w:val="20"/>
                <w:szCs w:val="20"/>
              </w:rPr>
              <w:t xml:space="preserve">Where it comes from</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DATABASE_URL / DIRECT_URL</w:t>
            </w:r>
          </w:p>
        </w:tc>
        <w:tc>
          <w:tcPr>
            <w:tcW w:type="pct" w:w="66%"/>
            <w:tcMar>
              <w:top w:type="dxa" w:w="90"/>
              <w:left w:type="dxa" w:w="120"/>
              <w:bottom w:type="dxa" w:w="90"/>
              <w:right w:type="dxa" w:w="120"/>
            </w:tcMar>
          </w:tcPr>
          <w:p>
            <w:r>
              <w:rPr>
                <w:sz w:val="20"/>
                <w:szCs w:val="20"/>
              </w:rPr>
              <w:t xml:space="preserve">Supabase → §2.3 above</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NEXT_PUBLIC_SUPABASE_URL / _ANON_KEY / SUPABASE_SERVICE_ROLE_KEY</w:t>
            </w:r>
          </w:p>
        </w:tc>
        <w:tc>
          <w:tcPr>
            <w:tcW w:type="pct" w:w="66%"/>
            <w:tcMar>
              <w:top w:type="dxa" w:w="90"/>
              <w:left w:type="dxa" w:w="120"/>
              <w:bottom w:type="dxa" w:w="90"/>
              <w:right w:type="dxa" w:w="120"/>
            </w:tcMar>
          </w:tcPr>
          <w:p>
            <w:r>
              <w:rPr>
                <w:sz w:val="20"/>
                <w:szCs w:val="20"/>
              </w:rPr>
              <w:t xml:space="preserve">Supabase → §2.4 above</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AUTH_SECRET</w:t>
            </w:r>
          </w:p>
        </w:tc>
        <w:tc>
          <w:tcPr>
            <w:tcW w:type="pct" w:w="66%"/>
            <w:tcMar>
              <w:top w:type="dxa" w:w="90"/>
              <w:left w:type="dxa" w:w="120"/>
              <w:bottom w:type="dxa" w:w="90"/>
              <w:right w:type="dxa" w:w="120"/>
            </w:tcMar>
          </w:tcPr>
          <w:p>
            <w:r>
              <w:rPr>
                <w:sz w:val="20"/>
                <w:szCs w:val="20"/>
              </w:rPr>
              <w:t xml:space="preserve">Generate locally: openssl rand -base64 32</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NEXTAUTH_URL</w:t>
            </w:r>
          </w:p>
        </w:tc>
        <w:tc>
          <w:tcPr>
            <w:tcW w:type="pct" w:w="66%"/>
            <w:tcMar>
              <w:top w:type="dxa" w:w="90"/>
              <w:left w:type="dxa" w:w="120"/>
              <w:bottom w:type="dxa" w:w="90"/>
              <w:right w:type="dxa" w:w="120"/>
            </w:tcMar>
          </w:tcPr>
          <w:p>
            <w:r>
              <w:rPr>
                <w:sz w:val="20"/>
                <w:szCs w:val="20"/>
              </w:rPr>
              <w:t xml:space="preserve">http://localhost:3000 for local dev; your real domain in production</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OPENAI_API_KEY</w:t>
            </w:r>
          </w:p>
        </w:tc>
        <w:tc>
          <w:tcPr>
            <w:tcW w:type="pct" w:w="66%"/>
            <w:tcMar>
              <w:top w:type="dxa" w:w="90"/>
              <w:left w:type="dxa" w:w="120"/>
              <w:bottom w:type="dxa" w:w="90"/>
              <w:right w:type="dxa" w:w="120"/>
            </w:tcMar>
          </w:tcPr>
          <w:p>
            <w:r>
              <w:rPr>
                <w:sz w:val="20"/>
                <w:szCs w:val="20"/>
              </w:rPr>
              <w:t xml:space="preserve">platform.openai.com → API keys (see §4)</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RESEND_API_KEY / EMAIL_FROM / EMAIL_TO_ADMIN</w:t>
            </w:r>
          </w:p>
        </w:tc>
        <w:tc>
          <w:tcPr>
            <w:tcW w:type="pct" w:w="66%"/>
            <w:tcMar>
              <w:top w:type="dxa" w:w="90"/>
              <w:left w:type="dxa" w:w="120"/>
              <w:bottom w:type="dxa" w:w="90"/>
              <w:right w:type="dxa" w:w="120"/>
            </w:tcMar>
          </w:tcPr>
          <w:p>
            <w:r>
              <w:rPr>
                <w:sz w:val="20"/>
                <w:szCs w:val="20"/>
              </w:rPr>
              <w:t xml:space="preserve">resend.com (see §5)</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GOOGLE_CLIENT_ID / _SECRET / _REFRESH_TOKEN / _CALENDAR_ID</w:t>
            </w:r>
          </w:p>
        </w:tc>
        <w:tc>
          <w:tcPr>
            <w:tcW w:type="pct" w:w="66%"/>
            <w:tcMar>
              <w:top w:type="dxa" w:w="90"/>
              <w:left w:type="dxa" w:w="120"/>
              <w:bottom w:type="dxa" w:w="90"/>
              <w:right w:type="dxa" w:w="120"/>
            </w:tcMar>
          </w:tcPr>
          <w:p>
            <w:r>
              <w:rPr>
                <w:sz w:val="20"/>
                <w:szCs w:val="20"/>
              </w:rPr>
              <w:t xml:space="preserve">Google Cloud Console (see §6)</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NEXT_PUBLIC_POSTHOG_KEY / _HOST</w:t>
            </w:r>
          </w:p>
        </w:tc>
        <w:tc>
          <w:tcPr>
            <w:tcW w:type="pct" w:w="66%"/>
            <w:tcMar>
              <w:top w:type="dxa" w:w="90"/>
              <w:left w:type="dxa" w:w="120"/>
              <w:bottom w:type="dxa" w:w="90"/>
              <w:right w:type="dxa" w:w="120"/>
            </w:tcMar>
          </w:tcPr>
          <w:p>
            <w:r>
              <w:rPr>
                <w:sz w:val="20"/>
                <w:szCs w:val="20"/>
              </w:rPr>
              <w:t xml:space="preserve">posthog.com — optional (see §7)</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NEXT_PUBLIC_SITE_URL / NEXT_PUBLIC_SITE_NAME</w:t>
            </w:r>
          </w:p>
        </w:tc>
        <w:tc>
          <w:tcPr>
            <w:tcW w:type="pct" w:w="66%"/>
            <w:tcMar>
              <w:top w:type="dxa" w:w="90"/>
              <w:left w:type="dxa" w:w="120"/>
              <w:bottom w:type="dxa" w:w="90"/>
              <w:right w:type="dxa" w:w="120"/>
            </w:tcMar>
          </w:tcPr>
          <w:p>
            <w:r>
              <w:rPr>
                <w:sz w:val="20"/>
                <w:szCs w:val="20"/>
              </w:rPr>
              <w:t xml:space="preserve">Your real site URL and name</w:t>
            </w:r>
          </w:p>
        </w:tc>
      </w:tr>
      <w:tr>
        <w:tc>
          <w:tcPr>
            <w:tcW w:type="pct" w:w="34%"/>
            <w:tcMar>
              <w:top w:type="dxa" w:w="90"/>
              <w:left w:type="dxa" w:w="120"/>
              <w:bottom w:type="dxa" w:w="90"/>
              <w:right w:type="dxa" w:w="120"/>
            </w:tcMar>
          </w:tcPr>
          <w:p>
            <w:r>
              <w:rPr>
                <w:rFonts w:ascii="Consolas" w:cs="Consolas" w:eastAsia="Consolas" w:hAnsi="Consolas"/>
                <w:sz w:val="20"/>
                <w:szCs w:val="20"/>
              </w:rPr>
              <w:t xml:space="preserve">ADMIN_SEED_EMAIL / ADMIN_SEED_PASSWORD</w:t>
            </w:r>
          </w:p>
        </w:tc>
        <w:tc>
          <w:tcPr>
            <w:tcW w:type="pct" w:w="66%"/>
            <w:tcMar>
              <w:top w:type="dxa" w:w="90"/>
              <w:left w:type="dxa" w:w="120"/>
              <w:bottom w:type="dxa" w:w="90"/>
              <w:right w:type="dxa" w:w="120"/>
            </w:tcMar>
          </w:tcPr>
          <w:p>
            <w:r>
              <w:rPr>
                <w:sz w:val="20"/>
                <w:szCs w:val="20"/>
              </w:rPr>
              <w:t xml:space="preserve">Whatever you want your first login to be — change the password after first sign-in</w:t>
            </w:r>
          </w:p>
        </w:tc>
      </w:tr>
    </w:tbl>
    <w:p>
      <w:pPr>
        <w:spacing w:after="200"/>
      </w:pPr>
    </w:p>
    <w:p>
      <w:pPr>
        <w:pStyle w:val="Heading1"/>
        <w:spacing w:after="240" w:before="480"/>
      </w:pPr>
      <w:r>
        <w:t xml:space="preserve">4. OpenAI setup</w:t>
      </w:r>
    </w:p>
    <w:p>
      <w:pPr>
        <w:pStyle w:val="ListParagraph"/>
        <w:numPr>
          <w:ilvl w:val="0"/>
          <w:numId w:val="2"/>
        </w:numPr>
        <w:spacing w:after="100"/>
      </w:pPr>
      <w:r>
        <w:t xml:space="preserve">Go to platform.openai.com and create an API key under API keys.</w:t>
      </w:r>
    </w:p>
    <w:p>
      <w:pPr>
        <w:pStyle w:val="ListParagraph"/>
        <w:numPr>
          <w:ilvl w:val="0"/>
          <w:numId w:val="2"/>
        </w:numPr>
        <w:spacing w:after="100"/>
      </w:pPr>
      <w:r>
        <w:t xml:space="preserve">Add a small amount of billing credit (the assistant uses gpt-4o-mini and text-embedding-3-small, both inexpensive — a personal site's traffic typically costs a few dollars a month at most).</w:t>
      </w:r>
    </w:p>
    <w:p>
      <w:pPr>
        <w:pStyle w:val="ListParagraph"/>
        <w:numPr>
          <w:ilvl w:val="0"/>
          <w:numId w:val="2"/>
        </w:numPr>
        <w:spacing w:after="100"/>
      </w:pPr>
      <w:r>
        <w:t xml:space="preserve">Paste the key into OPENAI_API_KEY in .env.</w:t>
      </w:r>
    </w:p>
    <w:p>
      <w:pPr>
        <w:spacing w:after="120"/>
      </w:pPr>
    </w:p>
    <w:p>
      <w:pPr>
        <w:pStyle w:val="Heading1"/>
        <w:spacing w:after="240" w:before="480"/>
      </w:pPr>
      <w:r>
        <w:t xml:space="preserve">5. Resend (email) setup</w:t>
      </w:r>
    </w:p>
    <w:p>
      <w:pPr>
        <w:pStyle w:val="ListParagraph"/>
        <w:numPr>
          <w:ilvl w:val="0"/>
          <w:numId w:val="2"/>
        </w:numPr>
        <w:spacing w:after="100"/>
      </w:pPr>
      <w:r>
        <w:t xml:space="preserve">Create a Resend account and verify a sending domain (or use their test domain while developing).</w:t>
      </w:r>
    </w:p>
    <w:p>
      <w:pPr>
        <w:pStyle w:val="ListParagraph"/>
        <w:numPr>
          <w:ilvl w:val="0"/>
          <w:numId w:val="2"/>
        </w:numPr>
        <w:spacing w:after="100"/>
      </w:pPr>
      <w:r>
        <w:t xml:space="preserve">Create an API key → RESEND_API_KEY.</w:t>
      </w:r>
    </w:p>
    <w:p>
      <w:pPr>
        <w:pStyle w:val="ListParagraph"/>
        <w:numPr>
          <w:ilvl w:val="0"/>
          <w:numId w:val="2"/>
        </w:numPr>
        <w:spacing w:after="100"/>
      </w:pPr>
      <w:r>
        <w:t xml:space="preserve">Set EMAIL_FROM to an address on your verified domain, e.g. "You &lt;you@yourdomain.com&gt;".</w:t>
      </w:r>
    </w:p>
    <w:p>
      <w:pPr>
        <w:pStyle w:val="ListParagraph"/>
        <w:numPr>
          <w:ilvl w:val="0"/>
          <w:numId w:val="2"/>
        </w:numPr>
        <w:spacing w:after="100"/>
      </w:pPr>
      <w:r>
        <w:t xml:space="preserve">Set EMAIL_TO_ADMIN to the inbox that should receive booking and contact-form notifications — usually your own email.</w:t>
      </w:r>
    </w:p>
    <w:p>
      <w:pPr>
        <w:spacing w:after="120"/>
      </w:pPr>
    </w:p>
    <w:p>
      <w:pPr>
        <w:pStyle w:val="Heading1"/>
        <w:spacing w:after="240" w:before="480"/>
      </w:pPr>
      <w:r>
        <w:t xml:space="preserve">6. Google Calendar setup</w:t>
      </w:r>
    </w:p>
    <w:p>
      <w:pPr>
        <w:spacing w:after="160"/>
      </w:pPr>
      <w:r>
        <w:rPr>
          <w:sz w:val="22"/>
          <w:szCs w:val="22"/>
        </w:rPr>
        <w:t xml:space="preserve">This is the fiddliest integration — take it slowly. It lets the booking system check your real availability and create calendar events with a Meet link automatically.</w:t>
      </w:r>
    </w:p>
    <w:p>
      <w:pPr>
        <w:pStyle w:val="Heading2"/>
        <w:spacing w:after="160" w:before="360"/>
      </w:pPr>
      <w:r>
        <w:t xml:space="preserve">6.1 Create OAuth credentials</w:t>
      </w:r>
    </w:p>
    <w:p>
      <w:pPr>
        <w:pStyle w:val="ListParagraph"/>
        <w:numPr>
          <w:ilvl w:val="0"/>
          <w:numId w:val="2"/>
        </w:numPr>
        <w:spacing w:after="100"/>
      </w:pPr>
      <w:r>
        <w:t xml:space="preserve">In the Google Cloud Console, create a new project (or use an existing one).</w:t>
      </w:r>
    </w:p>
    <w:p>
      <w:pPr>
        <w:pStyle w:val="ListParagraph"/>
        <w:numPr>
          <w:ilvl w:val="0"/>
          <w:numId w:val="2"/>
        </w:numPr>
        <w:spacing w:after="100"/>
      </w:pPr>
      <w:r>
        <w:t xml:space="preserve">Enable the Google Calendar API under APIs &amp; Services → Library.</w:t>
      </w:r>
    </w:p>
    <w:p>
      <w:pPr>
        <w:pStyle w:val="ListParagraph"/>
        <w:numPr>
          <w:ilvl w:val="0"/>
          <w:numId w:val="2"/>
        </w:numPr>
        <w:spacing w:after="100"/>
      </w:pPr>
      <w:r>
        <w:t xml:space="preserve">Under APIs &amp; Services → OAuth consent screen, configure it (External is fine for personal use; you can leave it in "Testing" mode).</w:t>
      </w:r>
    </w:p>
    <w:p>
      <w:pPr>
        <w:pStyle w:val="ListParagraph"/>
        <w:numPr>
          <w:ilvl w:val="0"/>
          <w:numId w:val="2"/>
        </w:numPr>
        <w:spacing w:after="100"/>
      </w:pPr>
      <w:r>
        <w:t xml:space="preserve">Under APIs &amp; Services → Credentials, create an OAuth 2.0 Client ID (type: Web application). Add http://localhost as an authorized redirect URI for now.</w:t>
      </w:r>
    </w:p>
    <w:p>
      <w:pPr>
        <w:pStyle w:val="ListParagraph"/>
        <w:numPr>
          <w:ilvl w:val="0"/>
          <w:numId w:val="2"/>
        </w:numPr>
        <w:spacing w:after="100"/>
      </w:pPr>
      <w:r>
        <w:t xml:space="preserve">Copy the Client ID and Client Secret → GOOGLE_CLIENT_ID / GOOGLE_CLIENT_SECRET.</w:t>
      </w:r>
    </w:p>
    <w:p>
      <w:pPr>
        <w:pStyle w:val="Heading2"/>
        <w:spacing w:after="160" w:before="360"/>
      </w:pPr>
      <w:r>
        <w:t xml:space="preserve">6.2 Get a refresh token</w:t>
      </w:r>
    </w:p>
    <w:p>
      <w:pPr>
        <w:spacing w:after="160"/>
      </w:pPr>
      <w:r>
        <w:rPr>
          <w:sz w:val="22"/>
          <w:szCs w:val="22"/>
        </w:rPr>
        <w:t xml:space="preserve">This is a one-time step to authorize the app to manage your calendar without you logging in every time.</w:t>
      </w:r>
    </w:p>
    <w:p>
      <w:pPr>
        <w:pStyle w:val="ListParagraph"/>
        <w:numPr>
          <w:ilvl w:val="0"/>
          <w:numId w:val="2"/>
        </w:numPr>
        <w:spacing w:after="100"/>
      </w:pPr>
      <w:r>
        <w:t xml:space="preserve">Go to Google's OAuth 2.0 Playground (developers.google.com/oauthplayground).</w:t>
      </w:r>
    </w:p>
    <w:p>
      <w:pPr>
        <w:pStyle w:val="ListParagraph"/>
        <w:numPr>
          <w:ilvl w:val="0"/>
          <w:numId w:val="2"/>
        </w:numPr>
        <w:spacing w:after="100"/>
      </w:pPr>
      <w:r>
        <w:t xml:space="preserve">Click the gear icon → check "Use your own OAuth credentials" → paste your Client ID and Secret.</w:t>
      </w:r>
    </w:p>
    <w:p>
      <w:pPr>
        <w:pStyle w:val="ListParagraph"/>
        <w:numPr>
          <w:ilvl w:val="0"/>
          <w:numId w:val="2"/>
        </w:numPr>
        <w:spacing w:after="100"/>
      </w:pPr>
      <w:r>
        <w:t xml:space="preserve">In Step 1, find and select the Calendar API v3 scope "https://www.googleapis.com/auth/calendar" → Authorize APIs → sign in with the Google account whose calendar you want to use.</w:t>
      </w:r>
    </w:p>
    <w:p>
      <w:pPr>
        <w:pStyle w:val="ListParagraph"/>
        <w:numPr>
          <w:ilvl w:val="0"/>
          <w:numId w:val="2"/>
        </w:numPr>
        <w:spacing w:after="100"/>
      </w:pPr>
      <w:r>
        <w:t xml:space="preserve">In Step 2, click "Exchange authorization code for tokens".</w:t>
      </w:r>
    </w:p>
    <w:p>
      <w:pPr>
        <w:pStyle w:val="ListParagraph"/>
        <w:numPr>
          <w:ilvl w:val="0"/>
          <w:numId w:val="2"/>
        </w:numPr>
        <w:spacing w:after="100"/>
      </w:pPr>
      <w:r>
        <w:t xml:space="preserve">Copy the Refresh token shown → GOOGLE_REFRESH_TOKEN.</w:t>
      </w:r>
    </w:p>
    <w:p>
      <w:pPr>
        <w:pStyle w:val="Heading2"/>
        <w:spacing w:after="160" w:before="360"/>
      </w:pPr>
      <w:r>
        <w:t xml:space="preserve">6.3 Set the calendar ID</w:t>
      </w:r>
    </w:p>
    <w:p>
      <w:pPr>
        <w:spacing w:after="160"/>
      </w:pPr>
      <w:r>
        <w:rPr>
          <w:sz w:val="22"/>
          <w:szCs w:val="22"/>
        </w:rPr>
        <w:t xml:space="preserve">GOOGLE_CALENDAR_ID can stay as "primary" unless you want bookings on a dedicated calendar — in that case, use that calendar’s ID from its settings page.</w:t>
      </w:r>
    </w:p>
    <w:tbl>
      <w:tblPr>
        <w:tblW w:type="pct" w:w="100%"/>
        <w:tblBorders>
          <w:top w:val="single" w:color="F5CB8C" w:sz="2"/>
          <w:left w:val="single" w:color="B45309" w:sz="12"/>
          <w:bottom w:val="single" w:color="F5CB8C" w:sz="2"/>
          <w:right w:val="single" w:color="F5CB8C" w:sz="2"/>
          <w:insideH w:val="single" w:color="auto" w:sz="4"/>
          <w:insideV w:val="single" w:color="auto" w:sz="4"/>
        </w:tblBorders>
      </w:tblPr>
      <w:tblGrid>
        <w:gridCol w:w="100"/>
      </w:tblGrid>
      <w:tr>
        <w:tc>
          <w:tcPr>
            <w:shd w:fill="FEF3E2" w:val="clear"/>
            <w:tcMar>
              <w:top w:type="dxa" w:w="140"/>
              <w:left w:type="dxa" w:w="220"/>
              <w:bottom w:type="dxa" w:w="140"/>
              <w:right w:type="dxa" w:w="220"/>
            </w:tcMar>
          </w:tcPr>
          <w:p>
            <w:r>
              <w:rPr>
                <w:b/>
                <w:bCs/>
                <w:color w:val="92400E"/>
                <w:sz w:val="21"/>
                <w:szCs w:val="21"/>
              </w:rPr>
              <w:t xml:space="preserve">If you skip this section: </w:t>
            </w:r>
            <w:r>
              <w:rPr>
                <w:color w:val="78350F"/>
                <w:sz w:val="21"/>
                <w:szCs w:val="21"/>
              </w:rPr>
              <w:t xml:space="preserve">The booking page still works without Google Calendar configured — it falls back to checking only the bookings already stored in your own database. You just won't get calendar sync or Meet links until it's connected.</w:t>
            </w:r>
          </w:p>
        </w:tc>
      </w:tr>
    </w:tbl>
    <w:p>
      <w:pPr>
        <w:spacing w:after="120"/>
      </w:pPr>
    </w:p>
    <w:p>
      <w:pPr>
        <w:pStyle w:val="Heading1"/>
        <w:spacing w:after="240" w:before="480"/>
      </w:pPr>
      <w:r>
        <w:t xml:space="preserve">7. PostHog (optional)</w:t>
      </w:r>
    </w:p>
    <w:p>
      <w:pPr>
        <w:spacing w:after="160"/>
      </w:pPr>
      <w:r>
        <w:rPr>
          <w:sz w:val="22"/>
          <w:szCs w:val="22"/>
        </w:rPr>
        <w:t xml:space="preserve">Skip this section entirely if you're happy with the built-in analytics at /admin/analytics — it works with zero extra setup.</w:t>
      </w:r>
    </w:p>
    <w:p>
      <w:pPr>
        <w:pStyle w:val="ListParagraph"/>
        <w:numPr>
          <w:ilvl w:val="0"/>
          <w:numId w:val="2"/>
        </w:numPr>
        <w:spacing w:after="100"/>
      </w:pPr>
      <w:r>
        <w:t xml:space="preserve">Create a PostHog project at posthog.com.</w:t>
      </w:r>
    </w:p>
    <w:p>
      <w:pPr>
        <w:pStyle w:val="ListParagraph"/>
        <w:numPr>
          <w:ilvl w:val="0"/>
          <w:numId w:val="2"/>
        </w:numPr>
        <w:spacing w:after="100"/>
      </w:pPr>
      <w:r>
        <w:t xml:space="preserve">Copy the Project API Key → NEXT_PUBLIC_POSTHOG_KEY, and the host URL → NEXT_PUBLIC_POSTHOG_HOST.</w:t>
      </w:r>
    </w:p>
    <w:p>
      <w:pPr>
        <w:spacing w:after="120"/>
      </w:pPr>
    </w:p>
    <w:p>
      <w:pPr>
        <w:pStyle w:val="Heading1"/>
        <w:spacing w:after="240" w:before="480"/>
      </w:pPr>
      <w:r>
        <w:t xml:space="preserve">8. Install, migrate, seed, and run</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11827"/>
                <w:sz w:val="19"/>
                <w:szCs w:val="19"/>
              </w:rPr>
              <w:t xml:space="preserve">npm install</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npx prisma migrate dev --name init</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npm run db:seed</w:t>
            </w:r>
          </w:p>
          <w:p>
            <w:pPr>
              <w:spacing w:after="0"/>
            </w:pPr>
            <w:r>
              <w:rPr>
                <w:rFonts w:ascii="Consolas" w:cs="Consolas" w:eastAsia="Consolas" w:hAnsi="Consolas"/>
                <w:color w:val="111827"/>
                <w:sz w:val="19"/>
                <w:szCs w:val="19"/>
              </w:rPr>
              <w:t xml:space="preserve"> </w:t>
            </w:r>
          </w:p>
          <w:p>
            <w:pPr>
              <w:spacing w:after="0"/>
            </w:pPr>
            <w:r>
              <w:rPr>
                <w:rFonts w:ascii="Consolas" w:cs="Consolas" w:eastAsia="Consolas" w:hAnsi="Consolas"/>
                <w:color w:val="111827"/>
                <w:sz w:val="19"/>
                <w:szCs w:val="19"/>
              </w:rPr>
              <w:t xml:space="preserve">npm run dev</w:t>
            </w:r>
          </w:p>
        </w:tc>
      </w:tr>
    </w:tbl>
    <w:p>
      <w:pPr>
        <w:spacing w:after="160"/>
      </w:pPr>
      <w:r>
        <w:rPr>
          <w:sz w:val="22"/>
          <w:szCs w:val="22"/>
        </w:rPr>
        <w:t xml:space="preserve">Then open http://localhost:3000 for the site, and http://localhost:3000/admin/login for the dashboard. The seed script prints your first admin email/password in the terminal — sign in and change the password immediately (via your own flow, or directly in the database for now).</w:t>
      </w:r>
    </w:p>
    <w:p>
      <w:pPr>
        <w:spacing w:after="120"/>
      </w:pPr>
    </w:p>
    <w:p>
      <w:pPr>
        <w:pStyle w:val="Heading1"/>
        <w:spacing w:after="240" w:before="480"/>
      </w:pPr>
      <w:r>
        <w:t xml:space="preserve">9. Replace the placeholder content</w:t>
      </w:r>
    </w:p>
    <w:p>
      <w:pPr>
        <w:spacing w:after="160"/>
      </w:pPr>
      <w:r>
        <w:rPr>
          <w:sz w:val="22"/>
          <w:szCs w:val="22"/>
        </w:rPr>
        <w:t xml:space="preserve">Everything below currently contains generic placeholder text so the app runs out of the box. Nothing here is dangerous to leave temporarily, but it should all be replaced before you share the site publicly.</w:t>
      </w:r>
    </w:p>
    <w:p>
      <w:pPr>
        <w:pStyle w:val="Heading2"/>
        <w:spacing w:after="160" w:before="360"/>
      </w:pPr>
      <w:r>
        <w:t xml:space="preserve">9.1 Site identity (code — requires a redeploy after editing)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2937"/>
            <w:tcMar>
              <w:top w:type="dxa" w:w="100"/>
              <w:left w:type="dxa" w:w="120"/>
              <w:bottom w:type="dxa" w:w="100"/>
              <w:right w:type="dxa" w:w="120"/>
            </w:tcMar>
          </w:tcPr>
          <w:p>
            <w:r>
              <w:rPr>
                <w:b/>
                <w:bCs/>
                <w:color w:val="FFFFFF"/>
                <w:sz w:val="19"/>
                <w:szCs w:val="19"/>
              </w:rPr>
              <w:t xml:space="preserve">Location</w:t>
            </w:r>
          </w:p>
        </w:tc>
        <w:tc>
          <w:tcPr>
            <w:shd w:fill="1F2937"/>
            <w:tcMar>
              <w:top w:type="dxa" w:w="100"/>
              <w:left w:type="dxa" w:w="120"/>
              <w:bottom w:type="dxa" w:w="100"/>
              <w:right w:type="dxa" w:w="120"/>
            </w:tcMar>
          </w:tcPr>
          <w:p>
            <w:r>
              <w:rPr>
                <w:b/>
                <w:bCs/>
                <w:color w:val="FFFFFF"/>
                <w:sz w:val="19"/>
                <w:szCs w:val="19"/>
              </w:rPr>
              <w:t xml:space="preserve">Field</w:t>
            </w:r>
          </w:p>
        </w:tc>
        <w:tc>
          <w:tcPr>
            <w:shd w:fill="1F2937"/>
            <w:tcMar>
              <w:top w:type="dxa" w:w="100"/>
              <w:left w:type="dxa" w:w="120"/>
              <w:bottom w:type="dxa" w:w="100"/>
              <w:right w:type="dxa" w:w="120"/>
            </w:tcMar>
          </w:tcPr>
          <w:p>
            <w:r>
              <w:rPr>
                <w:b/>
                <w:bCs/>
                <w:color w:val="FFFFFF"/>
                <w:sz w:val="19"/>
                <w:szCs w:val="19"/>
              </w:rPr>
              <w:t xml:space="preserve">Notes</w:t>
            </w:r>
          </w:p>
        </w:tc>
      </w:tr>
      <w:tr>
        <w:tc>
          <w:tcPr>
            <w:tcMar>
              <w:top w:type="dxa" w:w="90"/>
              <w:left w:type="dxa" w:w="120"/>
              <w:bottom w:type="dxa" w:w="90"/>
              <w:right w:type="dxa" w:w="120"/>
            </w:tcMar>
          </w:tcPr>
          <w:p>
            <w:r>
              <w:rPr>
                <w:rFonts w:ascii="Consolas" w:cs="Consolas" w:eastAsia="Consolas" w:hAnsi="Consolas"/>
                <w:sz w:val="19"/>
                <w:szCs w:val="19"/>
              </w:rPr>
              <w:t xml:space="preserve">lib/constants.ts</w:t>
            </w:r>
          </w:p>
        </w:tc>
        <w:tc>
          <w:tcPr>
            <w:tcMar>
              <w:top w:type="dxa" w:w="90"/>
              <w:left w:type="dxa" w:w="120"/>
              <w:bottom w:type="dxa" w:w="90"/>
              <w:right w:type="dxa" w:w="120"/>
            </w:tcMar>
          </w:tcPr>
          <w:p>
            <w:r>
              <w:rPr>
                <w:sz w:val="19"/>
                <w:szCs w:val="19"/>
              </w:rPr>
              <w:t xml:space="preserve">SITE.name</w:t>
            </w:r>
          </w:p>
        </w:tc>
        <w:tc>
          <w:tcPr>
            <w:tcMar>
              <w:top w:type="dxa" w:w="90"/>
              <w:left w:type="dxa" w:w="120"/>
              <w:bottom w:type="dxa" w:w="90"/>
              <w:right w:type="dxa" w:w="120"/>
            </w:tcMar>
          </w:tcPr>
          <w:p>
            <w:r>
              <w:rPr>
                <w:sz w:val="19"/>
                <w:szCs w:val="19"/>
              </w:rPr>
              <w:t xml:space="preserve">Your real name</w:t>
            </w:r>
          </w:p>
        </w:tc>
      </w:tr>
      <w:tr>
        <w:tc>
          <w:tcPr>
            <w:tcMar>
              <w:top w:type="dxa" w:w="90"/>
              <w:left w:type="dxa" w:w="120"/>
              <w:bottom w:type="dxa" w:w="90"/>
              <w:right w:type="dxa" w:w="120"/>
            </w:tcMar>
          </w:tcPr>
          <w:p>
            <w:r>
              <w:rPr>
                <w:rFonts w:ascii="Consolas" w:cs="Consolas" w:eastAsia="Consolas" w:hAnsi="Consolas"/>
                <w:sz w:val="19"/>
                <w:szCs w:val="19"/>
              </w:rPr>
              <w:t xml:space="preserve">lib/constants.ts</w:t>
            </w:r>
          </w:p>
        </w:tc>
        <w:tc>
          <w:tcPr>
            <w:tcMar>
              <w:top w:type="dxa" w:w="90"/>
              <w:left w:type="dxa" w:w="120"/>
              <w:bottom w:type="dxa" w:w="90"/>
              <w:right w:type="dxa" w:w="120"/>
            </w:tcMar>
          </w:tcPr>
          <w:p>
            <w:r>
              <w:rPr>
                <w:sz w:val="19"/>
                <w:szCs w:val="19"/>
              </w:rPr>
              <w:t xml:space="preserve">SITE.tagline</w:t>
            </w:r>
          </w:p>
        </w:tc>
        <w:tc>
          <w:tcPr>
            <w:tcMar>
              <w:top w:type="dxa" w:w="90"/>
              <w:left w:type="dxa" w:w="120"/>
              <w:bottom w:type="dxa" w:w="90"/>
              <w:right w:type="dxa" w:w="120"/>
            </w:tcMar>
          </w:tcPr>
          <w:p>
            <w:r>
              <w:rPr>
                <w:sz w:val="19"/>
                <w:szCs w:val="19"/>
              </w:rPr>
              <w:t xml:space="preserve">One-line positioning statement</w:t>
            </w:r>
          </w:p>
        </w:tc>
      </w:tr>
      <w:tr>
        <w:tc>
          <w:tcPr>
            <w:tcMar>
              <w:top w:type="dxa" w:w="90"/>
              <w:left w:type="dxa" w:w="120"/>
              <w:bottom w:type="dxa" w:w="90"/>
              <w:right w:type="dxa" w:w="120"/>
            </w:tcMar>
          </w:tcPr>
          <w:p>
            <w:r>
              <w:rPr>
                <w:rFonts w:ascii="Consolas" w:cs="Consolas" w:eastAsia="Consolas" w:hAnsi="Consolas"/>
                <w:sz w:val="19"/>
                <w:szCs w:val="19"/>
              </w:rPr>
              <w:t xml:space="preserve">lib/constants.ts</w:t>
            </w:r>
          </w:p>
        </w:tc>
        <w:tc>
          <w:tcPr>
            <w:tcMar>
              <w:top w:type="dxa" w:w="90"/>
              <w:left w:type="dxa" w:w="120"/>
              <w:bottom w:type="dxa" w:w="90"/>
              <w:right w:type="dxa" w:w="120"/>
            </w:tcMar>
          </w:tcPr>
          <w:p>
            <w:r>
              <w:rPr>
                <w:sz w:val="19"/>
                <w:szCs w:val="19"/>
              </w:rPr>
              <w:t xml:space="preserve">SITE.shortBio / longBio</w:t>
            </w:r>
          </w:p>
        </w:tc>
        <w:tc>
          <w:tcPr>
            <w:tcMar>
              <w:top w:type="dxa" w:w="90"/>
              <w:left w:type="dxa" w:w="120"/>
              <w:bottom w:type="dxa" w:w="90"/>
              <w:right w:type="dxa" w:w="120"/>
            </w:tcMar>
          </w:tcPr>
          <w:p>
            <w:r>
              <w:rPr>
                <w:sz w:val="19"/>
                <w:szCs w:val="19"/>
              </w:rPr>
              <w:t xml:space="preserve">Hero subhead + About page bio</w:t>
            </w:r>
          </w:p>
        </w:tc>
      </w:tr>
      <w:tr>
        <w:tc>
          <w:tcPr>
            <w:tcMar>
              <w:top w:type="dxa" w:w="90"/>
              <w:left w:type="dxa" w:w="120"/>
              <w:bottom w:type="dxa" w:w="90"/>
              <w:right w:type="dxa" w:w="120"/>
            </w:tcMar>
          </w:tcPr>
          <w:p>
            <w:r>
              <w:rPr>
                <w:rFonts w:ascii="Consolas" w:cs="Consolas" w:eastAsia="Consolas" w:hAnsi="Consolas"/>
                <w:sz w:val="19"/>
                <w:szCs w:val="19"/>
              </w:rPr>
              <w:t xml:space="preserve">lib/constants.ts</w:t>
            </w:r>
          </w:p>
        </w:tc>
        <w:tc>
          <w:tcPr>
            <w:tcMar>
              <w:top w:type="dxa" w:w="90"/>
              <w:left w:type="dxa" w:w="120"/>
              <w:bottom w:type="dxa" w:w="90"/>
              <w:right w:type="dxa" w:w="120"/>
            </w:tcMar>
          </w:tcPr>
          <w:p>
            <w:r>
              <w:rPr>
                <w:sz w:val="19"/>
                <w:szCs w:val="19"/>
              </w:rPr>
              <w:t xml:space="preserve">SITE.email / location</w:t>
            </w:r>
          </w:p>
        </w:tc>
        <w:tc>
          <w:tcPr>
            <w:tcMar>
              <w:top w:type="dxa" w:w="90"/>
              <w:left w:type="dxa" w:w="120"/>
              <w:bottom w:type="dxa" w:w="90"/>
              <w:right w:type="dxa" w:w="120"/>
            </w:tcMar>
          </w:tcPr>
          <w:p>
            <w:r>
              <w:rPr>
                <w:sz w:val="19"/>
                <w:szCs w:val="19"/>
              </w:rPr>
              <w:t xml:space="preserve">Real contact details</w:t>
            </w:r>
          </w:p>
        </w:tc>
      </w:tr>
      <w:tr>
        <w:tc>
          <w:tcPr>
            <w:tcMar>
              <w:top w:type="dxa" w:w="90"/>
              <w:left w:type="dxa" w:w="120"/>
              <w:bottom w:type="dxa" w:w="90"/>
              <w:right w:type="dxa" w:w="120"/>
            </w:tcMar>
          </w:tcPr>
          <w:p>
            <w:r>
              <w:rPr>
                <w:rFonts w:ascii="Consolas" w:cs="Consolas" w:eastAsia="Consolas" w:hAnsi="Consolas"/>
                <w:sz w:val="19"/>
                <w:szCs w:val="19"/>
              </w:rPr>
              <w:t xml:space="preserve">lib/constants.ts</w:t>
            </w:r>
          </w:p>
        </w:tc>
        <w:tc>
          <w:tcPr>
            <w:tcMar>
              <w:top w:type="dxa" w:w="90"/>
              <w:left w:type="dxa" w:w="120"/>
              <w:bottom w:type="dxa" w:w="90"/>
              <w:right w:type="dxa" w:w="120"/>
            </w:tcMar>
          </w:tcPr>
          <w:p>
            <w:r>
              <w:rPr>
                <w:sz w:val="19"/>
                <w:szCs w:val="19"/>
              </w:rPr>
              <w:t xml:space="preserve">SITE.avatarUrl</w:t>
            </w:r>
          </w:p>
        </w:tc>
        <w:tc>
          <w:tcPr>
            <w:tcMar>
              <w:top w:type="dxa" w:w="90"/>
              <w:left w:type="dxa" w:w="120"/>
              <w:bottom w:type="dxa" w:w="90"/>
              <w:right w:type="dxa" w:w="120"/>
            </w:tcMar>
          </w:tcPr>
          <w:p>
            <w:r>
              <w:rPr>
                <w:sz w:val="19"/>
                <w:szCs w:val="19"/>
              </w:rPr>
              <w:t xml:space="preserve">Add a photo to public/images/ and point this at it</w:t>
            </w:r>
          </w:p>
        </w:tc>
      </w:tr>
      <w:tr>
        <w:tc>
          <w:tcPr>
            <w:tcMar>
              <w:top w:type="dxa" w:w="90"/>
              <w:left w:type="dxa" w:w="120"/>
              <w:bottom w:type="dxa" w:w="90"/>
              <w:right w:type="dxa" w:w="120"/>
            </w:tcMar>
          </w:tcPr>
          <w:p>
            <w:r>
              <w:rPr>
                <w:rFonts w:ascii="Consolas" w:cs="Consolas" w:eastAsia="Consolas" w:hAnsi="Consolas"/>
                <w:sz w:val="19"/>
                <w:szCs w:val="19"/>
              </w:rPr>
              <w:t xml:space="preserve">lib/constants.ts</w:t>
            </w:r>
          </w:p>
        </w:tc>
        <w:tc>
          <w:tcPr>
            <w:tcMar>
              <w:top w:type="dxa" w:w="90"/>
              <w:left w:type="dxa" w:w="120"/>
              <w:bottom w:type="dxa" w:w="90"/>
              <w:right w:type="dxa" w:w="120"/>
            </w:tcMar>
          </w:tcPr>
          <w:p>
            <w:r>
              <w:rPr>
                <w:sz w:val="19"/>
                <w:szCs w:val="19"/>
              </w:rPr>
              <w:t xml:space="preserve">SITE.resumeUrl</w:t>
            </w:r>
          </w:p>
        </w:tc>
        <w:tc>
          <w:tcPr>
            <w:tcMar>
              <w:top w:type="dxa" w:w="90"/>
              <w:left w:type="dxa" w:w="120"/>
              <w:bottom w:type="dxa" w:w="90"/>
              <w:right w:type="dxa" w:w="120"/>
            </w:tcMar>
          </w:tcPr>
          <w:p>
            <w:r>
              <w:rPr>
                <w:sz w:val="19"/>
                <w:szCs w:val="19"/>
              </w:rPr>
              <w:t xml:space="preserve">Add your resume PDF to /public</w:t>
            </w:r>
          </w:p>
        </w:tc>
      </w:tr>
      <w:tr>
        <w:tc>
          <w:tcPr>
            <w:tcMar>
              <w:top w:type="dxa" w:w="90"/>
              <w:left w:type="dxa" w:w="120"/>
              <w:bottom w:type="dxa" w:w="90"/>
              <w:right w:type="dxa" w:w="120"/>
            </w:tcMar>
          </w:tcPr>
          <w:p>
            <w:r>
              <w:rPr>
                <w:rFonts w:ascii="Consolas" w:cs="Consolas" w:eastAsia="Consolas" w:hAnsi="Consolas"/>
                <w:sz w:val="19"/>
                <w:szCs w:val="19"/>
              </w:rPr>
              <w:t xml:space="preserve">lib/constants.ts</w:t>
            </w:r>
          </w:p>
        </w:tc>
        <w:tc>
          <w:tcPr>
            <w:tcMar>
              <w:top w:type="dxa" w:w="90"/>
              <w:left w:type="dxa" w:w="120"/>
              <w:bottom w:type="dxa" w:w="90"/>
              <w:right w:type="dxa" w:w="120"/>
            </w:tcMar>
          </w:tcPr>
          <w:p>
            <w:r>
              <w:rPr>
                <w:sz w:val="19"/>
                <w:szCs w:val="19"/>
              </w:rPr>
              <w:t xml:space="preserve">SUGGESTED_PROMPTS</w:t>
            </w:r>
          </w:p>
        </w:tc>
        <w:tc>
          <w:tcPr>
            <w:tcMar>
              <w:top w:type="dxa" w:w="90"/>
              <w:left w:type="dxa" w:w="120"/>
              <w:bottom w:type="dxa" w:w="90"/>
              <w:right w:type="dxa" w:w="120"/>
            </w:tcMar>
          </w:tcPr>
          <w:p>
            <w:r>
              <w:rPr>
                <w:sz w:val="19"/>
                <w:szCs w:val="19"/>
              </w:rPr>
              <w:t xml:space="preserve">Prompts shown before a visitor types in the assistant</w:t>
            </w:r>
          </w:p>
        </w:tc>
      </w:tr>
      <w:tr>
        <w:tc>
          <w:tcPr>
            <w:tcMar>
              <w:top w:type="dxa" w:w="90"/>
              <w:left w:type="dxa" w:w="120"/>
              <w:bottom w:type="dxa" w:w="90"/>
              <w:right w:type="dxa" w:w="120"/>
            </w:tcMar>
          </w:tcPr>
          <w:p>
            <w:r>
              <w:rPr>
                <w:rFonts w:ascii="Consolas" w:cs="Consolas" w:eastAsia="Consolas" w:hAnsi="Consolas"/>
                <w:sz w:val="19"/>
                <w:szCs w:val="19"/>
              </w:rPr>
              <w:t xml:space="preserve">lib/constants.ts</w:t>
            </w:r>
          </w:p>
        </w:tc>
        <w:tc>
          <w:tcPr>
            <w:tcMar>
              <w:top w:type="dxa" w:w="90"/>
              <w:left w:type="dxa" w:w="120"/>
              <w:bottom w:type="dxa" w:w="90"/>
              <w:right w:type="dxa" w:w="120"/>
            </w:tcMar>
          </w:tcPr>
          <w:p>
            <w:r>
              <w:rPr>
                <w:sz w:val="19"/>
                <w:szCs w:val="19"/>
              </w:rPr>
              <w:t xml:space="preserve">FAQS</w:t>
            </w:r>
          </w:p>
        </w:tc>
        <w:tc>
          <w:tcPr>
            <w:tcMar>
              <w:top w:type="dxa" w:w="90"/>
              <w:left w:type="dxa" w:w="120"/>
              <w:bottom w:type="dxa" w:w="90"/>
              <w:right w:type="dxa" w:w="120"/>
            </w:tcMar>
          </w:tcPr>
          <w:p>
            <w:r>
              <w:rPr>
                <w:sz w:val="19"/>
                <w:szCs w:val="19"/>
              </w:rPr>
              <w:t xml:space="preserve">Also feeds the AI assistant's knowledge base</w:t>
            </w:r>
          </w:p>
        </w:tc>
      </w:tr>
      <w:tr>
        <w:tc>
          <w:tcPr>
            <w:tcMar>
              <w:top w:type="dxa" w:w="90"/>
              <w:left w:type="dxa" w:w="120"/>
              <w:bottom w:type="dxa" w:w="90"/>
              <w:right w:type="dxa" w:w="120"/>
            </w:tcMar>
          </w:tcPr>
          <w:p>
            <w:r>
              <w:rPr>
                <w:rFonts w:ascii="Consolas" w:cs="Consolas" w:eastAsia="Consolas" w:hAnsi="Consolas"/>
                <w:sz w:val="19"/>
                <w:szCs w:val="19"/>
              </w:rPr>
              <w:t xml:space="preserve">public/images/</w:t>
            </w:r>
          </w:p>
        </w:tc>
        <w:tc>
          <w:tcPr>
            <w:tcMar>
              <w:top w:type="dxa" w:w="90"/>
              <w:left w:type="dxa" w:w="120"/>
              <w:bottom w:type="dxa" w:w="90"/>
              <w:right w:type="dxa" w:w="120"/>
            </w:tcMar>
          </w:tcPr>
          <w:p>
            <w:r>
              <w:rPr>
                <w:sz w:val="19"/>
                <w:szCs w:val="19"/>
              </w:rPr>
              <w:t xml:space="preserve">og-default.jpg</w:t>
            </w:r>
          </w:p>
        </w:tc>
        <w:tc>
          <w:tcPr>
            <w:tcMar>
              <w:top w:type="dxa" w:w="90"/>
              <w:left w:type="dxa" w:w="120"/>
              <w:bottom w:type="dxa" w:w="90"/>
              <w:right w:type="dxa" w:w="120"/>
            </w:tcMar>
          </w:tcPr>
          <w:p>
            <w:r>
              <w:rPr>
                <w:sz w:val="19"/>
                <w:szCs w:val="19"/>
              </w:rPr>
              <w:t xml:space="preserve">1200×630 social share image</w:t>
            </w:r>
          </w:p>
        </w:tc>
      </w:tr>
    </w:tbl>
    <w:p>
      <w:pPr>
        <w:spacing w:after="200"/>
      </w:pPr>
    </w:p>
    <w:p>
      <w:pPr>
        <w:pStyle w:val="Heading2"/>
        <w:spacing w:after="160" w:before="360"/>
      </w:pPr>
      <w:r>
        <w:t xml:space="preserve">9.2 Content (via the admin dashboard — no redeploy needed)</w:t>
      </w:r>
    </w:p>
    <w:p>
      <w:pPr>
        <w:pStyle w:val="ListParagraph"/>
        <w:numPr>
          <w:ilvl w:val="0"/>
          <w:numId w:val="3"/>
        </w:numPr>
        <w:spacing w:after="80"/>
      </w:pPr>
      <w:r>
        <w:t xml:space="preserve">/admin/projects — replace the two seeded example projects with your real work</w:t>
      </w:r>
    </w:p>
    <w:p>
      <w:pPr>
        <w:pStyle w:val="ListParagraph"/>
        <w:numPr>
          <w:ilvl w:val="0"/>
          <w:numId w:val="3"/>
        </w:numPr>
        <w:spacing w:after="80"/>
      </w:pPr>
      <w:r>
        <w:t xml:space="preserve">/admin/blog — replace or delete the seeded "Welcome" post</w:t>
      </w:r>
    </w:p>
    <w:p>
      <w:pPr>
        <w:pStyle w:val="ListParagraph"/>
        <w:numPr>
          <w:ilvl w:val="0"/>
          <w:numId w:val="3"/>
        </w:numPr>
        <w:spacing w:after="80"/>
      </w:pPr>
      <w:r>
        <w:t xml:space="preserve">Skills, Experience, Education, Testimonials, Social Links — currently seeded with placeholders directly in the database; there's no dedicated admin UI for these yet (by design, to keep the CMS scope focused on projects/blog/bookings) — edit them via `npx prisma studio`, or extend the admin dashboard with a settings page following the same pattern as the projects/blog forms</w:t>
      </w:r>
    </w:p>
    <w:p>
      <w:pPr>
        <w:pStyle w:val="ListParagraph"/>
        <w:numPr>
          <w:ilvl w:val="0"/>
          <w:numId w:val="3"/>
        </w:numPr>
        <w:spacing w:after="80"/>
      </w:pPr>
      <w:r>
        <w:t xml:space="preserve">Availability rules — same as above; defaults to Mon–Fri, 9am–5pm UTC</w:t>
      </w:r>
    </w:p>
    <w:p>
      <w:pPr>
        <w:spacing w:after="120"/>
      </w:pPr>
    </w:p>
    <w:p>
      <w:pPr>
        <w:pStyle w:val="Heading2"/>
        <w:spacing w:after="160" w:before="360"/>
      </w:pPr>
      <w:r>
        <w:t xml:space="preserve">9.3 After editing content</w:t>
      </w:r>
    </w:p>
    <w:p>
      <w:pPr>
        <w:spacing w:after="160"/>
      </w:pPr>
      <w:r>
        <w:rPr>
          <w:sz w:val="22"/>
          <w:szCs w:val="22"/>
        </w:rPr>
        <w:t xml:space="preserve">Go to /admin/knowledge-base and click "Sync knowledge base" — this re-embeds your bio and FAQs (projects/blog posts re-index automatically whenever you save them from the admin dashboard).</w:t>
      </w:r>
    </w:p>
    <w:p>
      <w:pPr>
        <w:spacing w:after="120"/>
      </w:pPr>
    </w:p>
    <w:p>
      <w:pPr>
        <w:pStyle w:val="Heading1"/>
        <w:spacing w:after="240" w:before="480"/>
      </w:pPr>
      <w:r>
        <w:t xml:space="preserve">10. Deploying</w:t>
      </w:r>
    </w:p>
    <w:p>
      <w:pPr>
        <w:spacing w:after="160"/>
      </w:pPr>
      <w:r>
        <w:rPr>
          <w:sz w:val="22"/>
          <w:szCs w:val="22"/>
        </w:rPr>
        <w:t xml:space="preserve">Full instructions are in DEPLOYMENT.md. In short: push to Git, import into Vercel, add every environment variable from §3 with production values, run </w:t>
      </w:r>
    </w:p>
    <w:tbl>
      <w:tblPr>
        <w:tblW w:type="pct" w:w="100%"/>
        <w:tblBorders>
          <w:top w:val="single" w:color="D1D5DB" w:sz="2"/>
          <w:left w:val="single" w:color="D1D5DB" w:sz="2"/>
          <w:bottom w:val="single" w:color="D1D5DB" w:sz="2"/>
          <w:right w:val="single" w:color="D1D5DB" w:sz="2"/>
          <w:insideH w:val="single" w:color="auto" w:sz="4"/>
          <w:insideV w:val="single" w:color="auto" w:sz="4"/>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11827"/>
                <w:sz w:val="19"/>
                <w:szCs w:val="19"/>
              </w:rPr>
              <w:t xml:space="preserve">npx prisma migrate deploy</w:t>
            </w:r>
          </w:p>
        </w:tc>
      </w:tr>
    </w:tbl>
    <w:p>
      <w:pPr>
        <w:spacing w:after="160"/>
      </w:pPr>
      <w:r>
        <w:rPr>
          <w:sz w:val="22"/>
          <w:szCs w:val="22"/>
        </w:rPr>
        <w:t xml:space="preserve">against your production database, and deploy.</w:t>
      </w:r>
    </w:p>
    <w:p>
      <w:pPr>
        <w:spacing w:after="120"/>
      </w:pPr>
    </w:p>
    <w:p>
      <w:pPr>
        <w:pStyle w:val="Heading1"/>
        <w:spacing w:after="240" w:before="480"/>
      </w:pPr>
      <w:r>
        <w:t xml:space="preserve">11. Ongoing maintenance</w:t>
      </w:r>
    </w:p>
    <w:p>
      <w:pPr>
        <w:pStyle w:val="ListParagraph"/>
        <w:numPr>
          <w:ilvl w:val="0"/>
          <w:numId w:val="3"/>
        </w:numPr>
        <w:spacing w:after="80"/>
      </w:pPr>
      <w:r>
        <w:t xml:space="preserve">New project or post → add it in /admin, mark it Published — it's live and indexed for the AI assistant immediately.</w:t>
      </w:r>
    </w:p>
    <w:p>
      <w:pPr>
        <w:pStyle w:val="ListParagraph"/>
        <w:numPr>
          <w:ilvl w:val="0"/>
          <w:numId w:val="3"/>
        </w:numPr>
        <w:spacing w:after="80"/>
      </w:pPr>
      <w:r>
        <w:t xml:space="preserve">Bio or FAQ change → edit lib/constants.ts, redeploy, then click "Sync knowledge base".</w:t>
      </w:r>
    </w:p>
    <w:p>
      <w:pPr>
        <w:pStyle w:val="ListParagraph"/>
        <w:numPr>
          <w:ilvl w:val="0"/>
          <w:numId w:val="3"/>
        </w:numPr>
        <w:spacing w:after="80"/>
      </w:pPr>
      <w:r>
        <w:t xml:space="preserve">One-off fact for the assistant → /admin/knowledge-base → "Add a custom knowledge entry" (no redeploy needed).</w:t>
      </w:r>
    </w:p>
    <w:p>
      <w:pPr>
        <w:pStyle w:val="ListParagraph"/>
        <w:numPr>
          <w:ilvl w:val="0"/>
          <w:numId w:val="3"/>
        </w:numPr>
        <w:spacing w:after="80"/>
      </w:pPr>
      <w:r>
        <w:t xml:space="preserve">Check /admin/messages periodically for contact-form submissions (also emailed to you directly).</w:t>
      </w:r>
    </w:p>
    <w:p>
      <w:pPr>
        <w:pStyle w:val="ListParagraph"/>
        <w:numPr>
          <w:ilvl w:val="0"/>
          <w:numId w:val="3"/>
        </w:numPr>
        <w:spacing w:after="80"/>
      </w:pPr>
      <w:r>
        <w:t xml:space="preserve">Check /admin/bookings for upcoming calls.</w:t>
      </w:r>
    </w:p>
    <w:p>
      <w:pPr>
        <w:spacing w:after="300"/>
      </w:pPr>
    </w:p>
    <w:p>
      <w:pPr>
        <w:spacing w:after="160"/>
      </w:pPr>
      <w:r>
        <w:rPr>
          <w:i/>
          <w:iCs/>
          <w:color w:val="6B7280"/>
          <w:sz w:val="22"/>
          <w:szCs w:val="22"/>
        </w:rPr>
        <w:t xml:space="preserve">That's everything. See README.md for the technical reference and ARCHITECTURE.md for how the pieces fit together.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11827"/>
      <w:sz w:val="56"/>
      <w:szCs w:val="56"/>
    </w:rPr>
  </w:style>
  <w:style w:type="paragraph" w:styleId="Heading1">
    <w:name w:val="Heading 1"/>
    <w:basedOn w:val="Normal"/>
    <w:next w:val="Normal"/>
    <w:qFormat/>
    <w:pPr>
      <w:spacing w:after="200" w:before="480"/>
      <w:outlineLvl w:val="0"/>
    </w:pPr>
    <w:rPr>
      <w:b/>
      <w:bCs/>
      <w:color w:val="B45309"/>
      <w:sz w:val="32"/>
      <w:szCs w:val="32"/>
    </w:rPr>
  </w:style>
  <w:style w:type="paragraph" w:styleId="Heading2">
    <w:name w:val="Heading 2"/>
    <w:basedOn w:val="Normal"/>
    <w:next w:val="Normal"/>
    <w:qFormat/>
    <w:pPr>
      <w:spacing w:after="140" w:before="320"/>
      <w:outlineLvl w:val="1"/>
    </w:pPr>
    <w:rPr>
      <w:b/>
      <w:bCs/>
      <w:color w:val="111827"/>
      <w:sz w:val="26"/>
      <w:szCs w:val="26"/>
    </w:rPr>
  </w:style>
  <w:style w:type="paragraph" w:styleId="Heading3">
    <w:name w:val="Heading 3"/>
    <w:basedOn w:val="Normal"/>
    <w:next w:val="Normal"/>
    <w:qFormat/>
    <w:pPr>
      <w:spacing w:after="100" w:before="260"/>
      <w:outlineLvl w:val="2"/>
    </w:pPr>
    <w:rPr>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2026-07-04T08:31:33.369Z</dcterms:created>
  <dcterms:modified xsi:type="dcterms:W3CDTF">2026-07-04T08:31:33.370Z</dcterms:modified>
</cp:coreProperties>
</file>

<file path=docProps/custom.xml><?xml version="1.0" encoding="utf-8"?>
<Properties xmlns="http://schemas.openxmlformats.org/officeDocument/2006/custom-properties" xmlns:vt="http://schemas.openxmlformats.org/officeDocument/2006/docPropsVTypes"/>
</file>