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RM-201 CO2 Ventilation Control</w:t>
        <w:br/>
        <w:t>Control Sequence and Modeling Notes</w:t>
      </w:r>
    </w:p>
    <w:p>
      <w:pPr>
        <w:jc w:val="center"/>
      </w:pPr>
      <w:r>
        <w:rPr>
          <w:b/>
        </w:rPr>
        <w:t>Document CDS-IAQ-02 / MOD-NT-03 - Rev B</w:t>
        <w:br/>
        <w:t>Issued 2026-03-01</w:t>
      </w:r>
    </w:p>
    <w:p>
      <w:pPr>
        <w:pStyle w:val="Heading1"/>
      </w:pPr>
      <w:r>
        <w:t>1. Purpose and model boundary</w:t>
      </w:r>
    </w:p>
    <w:p>
      <w:r>
        <w:t>This note defines the functional control interpretation for the single-zone room CO2 demonstration. The room is represented as one perfectly mixed 100 m3 air volume. Outdoor air enters through a controlled mass-flow source and supply duct. Room air leaves through an exhaust duct to an ideal pressure boundary. Occupants are represented as a separate trace-substance mass source.</w:t>
      </w:r>
    </w:p>
    <w:p>
      <w:r>
        <w:drawing>
          <wp:inline xmlns:a="http://schemas.openxmlformats.org/drawingml/2006/main" xmlns:pic="http://schemas.openxmlformats.org/drawingml/2006/picture">
            <wp:extent cx="5303520" cy="5272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ference_contro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7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1 - Legacy graphical simulation model used as topology evidence.</w:t>
      </w:r>
    </w:p>
    <w:p>
      <w:pPr>
        <w:pStyle w:val="Heading1"/>
      </w:pPr>
      <w:r>
        <w:t>2. Concentration conventions</w:t>
      </w:r>
    </w:p>
    <w:p>
      <w:pPr>
        <w:pStyle w:val="ListBullet"/>
      </w:pPr>
      <w:r>
        <w:t>The owner compliance limit is 1000 ppm absolute room CO2. Under the project molecular-weight convention this is represented by the rounded trace-substance mass fraction C_nominal = 1.519E-3 kg/kg.</w:t>
      </w:r>
    </w:p>
    <w:p>
      <w:pPr>
        <w:pStyle w:val="ListBullet"/>
      </w:pPr>
      <w:r>
        <w:t>Outdoor air is 300 ppm and is implemented as C_out = 0.3*C_nominal = 4.557E-4 kg/kg.</w:t>
      </w:r>
    </w:p>
    <w:p>
      <w:pPr>
        <w:pStyle w:val="ListBullet"/>
      </w:pPr>
      <w:r>
        <w:t>The room sensor output is a trace-substance mass fraction in kg/kg. gainSensor multiplies it by 1/C_nominal so that 1000 ppm becomes the normalized value 1.0.</w:t>
      </w:r>
    </w:p>
    <w:p>
      <w:pPr>
        <w:pStyle w:val="ListBullet"/>
      </w:pPr>
      <w:r>
        <w:t>CO2Set therefore has value 1.0. This is a normalized controller signal, not 1 ppm and not 1 kg/kg.</w:t>
      </w:r>
    </w:p>
    <w:p>
      <w:pPr>
        <w:pStyle w:val="Heading1"/>
      </w:pPr>
      <w:r>
        <w:t>3. Occupant source implementation</w:t>
      </w:r>
    </w:p>
    <w:p>
      <w:r>
        <w:t>At the design activity level, one person emits approximately 8.18E-6 kg/s of CO2. Directly adding this as a carrier-fluid source would also add carrier mass to the room energy and mass balances. The simulation therefore uses an intentionally high trace concentration at the people source and a proportionally reduced carrier flow:</w:t>
      </w:r>
    </w:p>
    <w:p>
      <w:pPr>
        <w:jc w:val="center"/>
      </w:pPr>
      <w:r>
        <w:rPr>
          <w:b/>
        </w:rPr>
        <w:t>m_peopleSource = (8.18E-6 / 100) * nPeo   kg/s</w:t>
      </w:r>
    </w:p>
    <w:p>
      <w:r>
        <w:t>with peopleSource.C = 100 kg/kg. The trace-substance injection is m_peopleSource * C = nPeo * 8.18E-6 kg/s. The 100 kg/kg value is a numerical device only and must not be interpreted as a physical room concentration.</w:t>
      </w:r>
    </w:p>
    <w:p>
      <w:pPr>
        <w:pStyle w:val="Heading1"/>
      </w:pPr>
      <w:r>
        <w:t>4. Ventilation control path</w:t>
      </w:r>
    </w:p>
    <w:p>
      <w:pPr>
        <w:pStyle w:val="ListNumber"/>
      </w:pPr>
      <w:r>
        <w:t>Measure room CO2 mass fraction at traceVolume.</w:t>
      </w:r>
    </w:p>
    <w:p>
      <w:pPr>
        <w:pStyle w:val="ListNumber"/>
      </w:pPr>
      <w:r>
        <w:t>Normalize the measurement using gainSensor = 1/1.519E-3.</w:t>
      </w:r>
    </w:p>
    <w:p>
      <w:pPr>
        <w:pStyle w:val="ListNumber"/>
      </w:pPr>
      <w:r>
        <w:t>Compare normalized feedback with CO2Set = 1.0.</w:t>
      </w:r>
    </w:p>
    <w:p>
      <w:pPr>
        <w:pStyle w:val="ListNumber"/>
      </w:pPr>
      <w:r>
        <w:t>Generate an ACH command. Effective reference-run tuning after CR-IAQ-007 is Kp=6.0, bias=3.5 ACH, integral disabled, output limited to 0.2..6.0 ACH.</w:t>
      </w:r>
    </w:p>
    <w:p>
      <w:pPr>
        <w:pStyle w:val="ListNumber"/>
      </w:pPr>
      <w:r>
        <w:t>Convert ACH to mass-flow magnitude using V*rho/3600 = 100*1.2/3600 = 0.033333 kg/s per ACH.</w:t>
      </w:r>
    </w:p>
    <w:p>
      <w:pPr>
        <w:pStyle w:val="ListNumber"/>
      </w:pPr>
      <w:r>
        <w:t>Apply a negative sign to the Modelica source command because negative source m_flow denotes flow from the source into the connected duct. Report physical outdoor-air flow as a positive quantity.</w:t>
      </w:r>
    </w:p>
    <w:p>
      <w:pPr>
        <w:pStyle w:val="Heading1"/>
        <w:pageBreakBefore/>
      </w:pPr>
      <w:r>
        <w:t>5. State / mode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2045"/>
            <w:shd w:fill="1F4E78"/>
          </w:tcPr>
          <w:p>
            <w:r>
              <w:t>Mode</w:t>
            </w:r>
          </w:p>
        </w:tc>
        <w:tc>
          <w:tcPr>
            <w:tcW w:type="dxa" w:w="2045"/>
            <w:shd w:fill="1F4E78"/>
          </w:tcPr>
          <w:p>
            <w:r>
              <w:t>Entry condition</w:t>
            </w:r>
          </w:p>
        </w:tc>
        <w:tc>
          <w:tcPr>
            <w:tcW w:type="dxa" w:w="2045"/>
            <w:shd w:fill="1F4E78"/>
          </w:tcPr>
          <w:p>
            <w:r>
              <w:t>Control output</w:t>
            </w:r>
          </w:p>
        </w:tc>
        <w:tc>
          <w:tcPr>
            <w:tcW w:type="dxa" w:w="2045"/>
            <w:shd w:fill="1F4E78"/>
          </w:tcPr>
          <w:p>
            <w:r>
              <w:t>Exit condition</w:t>
            </w:r>
          </w:p>
        </w:tc>
        <w:tc>
          <w:tcPr>
            <w:tcW w:type="dxa" w:w="2045"/>
            <w:shd w:fill="1F4E78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r>
              <w:t>AUTO_MIN</w:t>
            </w:r>
          </w:p>
        </w:tc>
        <w:tc>
          <w:tcPr>
            <w:tcW w:type="dxa" w:w="2045"/>
            <w:vAlign w:val="top"/>
          </w:tcPr>
          <w:p>
            <w:r>
              <w:t>CO2 sufficiently below setpoint</w:t>
            </w:r>
          </w:p>
        </w:tc>
        <w:tc>
          <w:tcPr>
            <w:tcW w:type="dxa" w:w="2045"/>
            <w:vAlign w:val="top"/>
          </w:tcPr>
          <w:p>
            <w:r>
              <w:t>0.2 ACH lower limit</w:t>
            </w:r>
          </w:p>
        </w:tc>
        <w:tc>
          <w:tcPr>
            <w:tcW w:type="dxa" w:w="2045"/>
            <w:vAlign w:val="top"/>
          </w:tcPr>
          <w:p>
            <w:r>
              <w:t>P-law requests &gt;0.2 ACH</w:t>
            </w:r>
          </w:p>
        </w:tc>
        <w:tc>
          <w:tcPr>
            <w:tcW w:type="dxa" w:w="2045"/>
            <w:vAlign w:val="top"/>
          </w:tcPr>
          <w:p>
            <w:r>
              <w:t>Common while unoccupied.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r>
              <w:t>AUTO_CO2</w:t>
            </w:r>
          </w:p>
        </w:tc>
        <w:tc>
          <w:tcPr>
            <w:tcW w:type="dxa" w:w="2045"/>
            <w:vAlign w:val="top"/>
          </w:tcPr>
          <w:p>
            <w:r>
              <w:t>0.2 &lt; requested ACH &lt; 6.0</w:t>
            </w:r>
          </w:p>
        </w:tc>
        <w:tc>
          <w:tcPr>
            <w:tcW w:type="dxa" w:w="2045"/>
            <w:vAlign w:val="top"/>
          </w:tcPr>
          <w:p>
            <w:r>
              <w:t>Bias + Kp*(C/Cnom-1)</w:t>
            </w:r>
          </w:p>
        </w:tc>
        <w:tc>
          <w:tcPr>
            <w:tcW w:type="dxa" w:w="2045"/>
            <w:vAlign w:val="top"/>
          </w:tcPr>
          <w:p>
            <w:r>
              <w:t>Saturation or operating condition changes</w:t>
            </w:r>
          </w:p>
        </w:tc>
        <w:tc>
          <w:tcPr>
            <w:tcW w:type="dxa" w:w="2045"/>
            <w:vAlign w:val="top"/>
          </w:tcPr>
          <w:p>
            <w:r>
              <w:t>Baseline occupied regulation.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r>
              <w:t>AUTO_MAX</w:t>
            </w:r>
          </w:p>
        </w:tc>
        <w:tc>
          <w:tcPr>
            <w:tcW w:type="dxa" w:w="2045"/>
            <w:vAlign w:val="top"/>
          </w:tcPr>
          <w:p>
            <w:r>
              <w:t>Requested ACH &gt;= 6.0</w:t>
            </w:r>
          </w:p>
        </w:tc>
        <w:tc>
          <w:tcPr>
            <w:tcW w:type="dxa" w:w="2045"/>
            <w:vAlign w:val="top"/>
          </w:tcPr>
          <w:p>
            <w:r>
              <w:t>6.0 ACH</w:t>
            </w:r>
          </w:p>
        </w:tc>
        <w:tc>
          <w:tcPr>
            <w:tcW w:type="dxa" w:w="2045"/>
            <w:vAlign w:val="top"/>
          </w:tcPr>
          <w:p>
            <w:r>
              <w:t>Requested value falls below maximum</w:t>
            </w:r>
          </w:p>
        </w:tc>
        <w:tc>
          <w:tcPr>
            <w:tcW w:type="dxa" w:w="2045"/>
            <w:vAlign w:val="top"/>
          </w:tcPr>
          <w:p>
            <w:r>
              <w:t>Not expected in baseline run.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r>
              <w:t>SENSOR_FAULT</w:t>
            </w:r>
          </w:p>
        </w:tc>
        <w:tc>
          <w:tcPr>
            <w:tcW w:type="dxa" w:w="2045"/>
            <w:vAlign w:val="top"/>
          </w:tcPr>
          <w:p>
            <w:r>
              <w:t>Sensor invalid &gt;60 s</w:t>
            </w:r>
          </w:p>
        </w:tc>
        <w:tc>
          <w:tcPr>
            <w:tcW w:type="dxa" w:w="2045"/>
            <w:vAlign w:val="top"/>
          </w:tcPr>
          <w:p>
            <w:r>
              <w:t>4.0 ACH</w:t>
            </w:r>
          </w:p>
        </w:tc>
        <w:tc>
          <w:tcPr>
            <w:tcW w:type="dxa" w:w="2045"/>
            <w:vAlign w:val="top"/>
          </w:tcPr>
          <w:p>
            <w:r>
              <w:t>Valid signal restored and reset logic satisfied</w:t>
            </w:r>
          </w:p>
        </w:tc>
        <w:tc>
          <w:tcPr>
            <w:tcW w:type="dxa" w:w="2045"/>
            <w:vAlign w:val="top"/>
          </w:tcPr>
          <w:p>
            <w:r>
              <w:t>Raise fault indication. Not exercised in baseline run.</w:t>
            </w:r>
          </w:p>
        </w:tc>
      </w:tr>
    </w:tbl>
    <w:p>
      <w:pPr>
        <w:pStyle w:val="Heading1"/>
      </w:pPr>
      <w:r>
        <w:t>6. Known evidence conflicts and precedence</w:t>
      </w:r>
    </w:p>
    <w:p>
      <w:r>
        <w:rPr>
          <w:b/>
        </w:rPr>
        <w:t xml:space="preserve">CO2 limit wording: </w:t>
      </w:r>
      <w:r>
        <w:t>10-Feb email suggests 1000 ppm above outdoor; DR-IAQ-05 rejects this. Use 1000 ppm absolute.</w:t>
      </w:r>
    </w:p>
    <w:p>
      <w:r>
        <w:rPr>
          <w:b/>
        </w:rPr>
        <w:t xml:space="preserve">Outdoor CO2: </w:t>
      </w:r>
      <w:r>
        <w:t>Archived model uses 350 ppm; URS and approved review use 300 ppm.</w:t>
      </w:r>
    </w:p>
    <w:p>
      <w:r>
        <w:rPr>
          <w:b/>
        </w:rPr>
        <w:t xml:space="preserve">Peak occupancy: </w:t>
      </w:r>
      <w:r>
        <w:t>Archived model peaks at 12 people; OCC-SCH-04 Rev C peaks at 15.</w:t>
      </w:r>
    </w:p>
    <w:p>
      <w:r>
        <w:rPr>
          <w:b/>
        </w:rPr>
        <w:t xml:space="preserve">Controller tuning: </w:t>
      </w:r>
      <w:r>
        <w:t>CDS Rev A / archived model use Kp=4; CR-IAQ-007 uses Kp=6 and 3.5 ACH bias with integral disabled.</w:t>
      </w:r>
    </w:p>
    <w:p>
      <w:r>
        <w:rPr>
          <w:b/>
        </w:rPr>
        <w:t xml:space="preserve">Sensor units: </w:t>
      </w:r>
      <w:r>
        <w:t>Legacy architecture drawing labels sensor output as ppm; ICD-IAQ-03 defines the internal feedback signal in kg/kg before normalization.</w:t>
      </w:r>
    </w:p>
    <w:p>
      <w:pPr>
        <w:pStyle w:val="Heading1"/>
      </w:pPr>
      <w:r>
        <w:t>7. Modeling constraints suitable for system-model capture</w:t>
      </w:r>
    </w:p>
    <w:p>
      <w:pPr>
        <w:pStyle w:val="ListBullet"/>
      </w:pPr>
      <w:r>
        <w:t>C_room &lt;= 1.519E-3 kg/kg during the approved design occupancy schedule.</w:t>
      </w:r>
    </w:p>
    <w:p>
      <w:pPr>
        <w:pStyle w:val="ListBullet"/>
      </w:pPr>
      <w:r>
        <w:t>C_out = 0.3*C_nominal.</w:t>
      </w:r>
    </w:p>
    <w:p>
      <w:pPr>
        <w:pStyle w:val="ListBullet"/>
      </w:pPr>
      <w:r>
        <w:t>G_CO2 = nPeo*8.18E-6 kg/s.</w:t>
      </w:r>
    </w:p>
    <w:p>
      <w:pPr>
        <w:pStyle w:val="ListBullet"/>
      </w:pPr>
      <w:r>
        <w:t>m_peopleCarrier = G_CO2/100.</w:t>
      </w:r>
    </w:p>
    <w:p>
      <w:pPr>
        <w:pStyle w:val="ListBullet"/>
      </w:pPr>
      <w:r>
        <w:t>m_supply_physical = ACH*V*rho/3600.</w:t>
      </w:r>
    </w:p>
    <w:p>
      <w:pPr>
        <w:pStyle w:val="ListBullet"/>
      </w:pPr>
      <w:r>
        <w:t>m_supply_sourceCommand = -m_supply_physical.</w:t>
      </w:r>
    </w:p>
    <w:p>
      <w:pPr>
        <w:pStyle w:val="ListBullet"/>
      </w:pPr>
      <w:r>
        <w:t>0.2 &lt;= ACH &lt;= 6.0.</w:t>
      </w:r>
    </w:p>
    <w:p>
      <w:pPr>
        <w:pStyle w:val="ListBullet"/>
      </w:pPr>
      <w:r>
        <w:t>normalized_CO2 = C_room/C_nominal.</w:t>
      </w:r>
    </w:p>
    <w:p>
      <w:pPr>
        <w:pStyle w:val="Heading1"/>
      </w:pPr>
      <w:r>
        <w:t>8. Revision note</w:t>
      </w:r>
    </w:p>
    <w:p>
      <w:r>
        <w:t>This Rev B note incorporates DR-IAQ-05, OCC-SCH-04 Rev C, and CR-IAQ-007. The archived Modelica file is retained as evidence of the existing implementation structure and of realistic revision inconsistency.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