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Model Definition Notes - Magnetic Circuit, Rev C</w:t>
      </w:r>
    </w:p>
    <w:p>
      <w:pPr>
        <w:jc w:val="center"/>
      </w:pPr>
      <w:r>
        <w:rPr>
          <w:i/>
          <w:sz w:val="18"/>
        </w:rPr>
        <w:t>Synthetic hackathon engineering evidence</w:t>
      </w:r>
    </w:p>
    <w:p>
      <w:pPr>
        <w:pStyle w:val="Heading1"/>
      </w:pPr>
      <w:r>
        <w:t>1. Network structure</w:t>
      </w:r>
    </w:p>
    <w:p>
      <w:r>
        <w:t>Model the left leg, upper yoke, right leg iron, and lower yoke as series linear flux-tube reluctances. Insert a branch after the right-leg iron where GAP-1 and LEAK-1 are parallel. The two branches rejoin before the lower yoke. The exciting coil provides the magnetic potential source N*I.</w:t>
      </w:r>
    </w:p>
    <w:p>
      <w:pPr>
        <w:pStyle w:val="Heading1"/>
      </w:pPr>
      <w:r>
        <w:t>2. Mean flux-line geometry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</w:rPr>
              <w:t>Area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</w:rPr>
              <w:t>Mean length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</w:rPr>
              <w:t>Relative permeability</w:t>
            </w:r>
          </w:p>
        </w:tc>
      </w:tr>
      <w:tr>
        <w:tc>
          <w:tcPr>
            <w:tcW w:type="dxa" w:w="2556"/>
            <w:vAlign w:val="top"/>
          </w:tcPr>
          <w:p>
            <w:r>
              <w:t>Left leg</w:t>
            </w:r>
          </w:p>
        </w:tc>
        <w:tc>
          <w:tcPr>
            <w:tcW w:type="dxa" w:w="2556"/>
            <w:vAlign w:val="top"/>
          </w:tcPr>
          <w:p>
            <w:r>
              <w:t>a*a</w:t>
            </w:r>
          </w:p>
        </w:tc>
        <w:tc>
          <w:tcPr>
            <w:tcW w:type="dxa" w:w="2556"/>
            <w:vAlign w:val="top"/>
          </w:tcPr>
          <w:p>
            <w:r>
              <w:t>l-a</w:t>
            </w:r>
          </w:p>
        </w:tc>
        <w:tc>
          <w:tcPr>
            <w:tcW w:type="dxa" w:w="2556"/>
            <w:vAlign w:val="top"/>
          </w:tcPr>
          <w:p>
            <w:r>
              <w:t>mu_r</w:t>
            </w:r>
          </w:p>
        </w:tc>
      </w:tr>
      <w:tr>
        <w:tc>
          <w:tcPr>
            <w:tcW w:type="dxa" w:w="2556"/>
            <w:vAlign w:val="top"/>
          </w:tcPr>
          <w:p>
            <w:r>
              <w:t>Upper yoke</w:t>
            </w:r>
          </w:p>
        </w:tc>
        <w:tc>
          <w:tcPr>
            <w:tcW w:type="dxa" w:w="2556"/>
            <w:vAlign w:val="top"/>
          </w:tcPr>
          <w:p>
            <w:r>
              <w:t>a*a</w:t>
            </w:r>
          </w:p>
        </w:tc>
        <w:tc>
          <w:tcPr>
            <w:tcW w:type="dxa" w:w="2556"/>
            <w:vAlign w:val="top"/>
          </w:tcPr>
          <w:p>
            <w:r>
              <w:t>l-a</w:t>
            </w:r>
          </w:p>
        </w:tc>
        <w:tc>
          <w:tcPr>
            <w:tcW w:type="dxa" w:w="2556"/>
            <w:vAlign w:val="top"/>
          </w:tcPr>
          <w:p>
            <w:r>
              <w:t>mu_r</w:t>
            </w:r>
          </w:p>
        </w:tc>
      </w:tr>
      <w:tr>
        <w:tc>
          <w:tcPr>
            <w:tcW w:type="dxa" w:w="2556"/>
            <w:vAlign w:val="top"/>
          </w:tcPr>
          <w:p>
            <w:r>
              <w:t>Right leg iron</w:t>
            </w:r>
          </w:p>
        </w:tc>
        <w:tc>
          <w:tcPr>
            <w:tcW w:type="dxa" w:w="2556"/>
            <w:vAlign w:val="top"/>
          </w:tcPr>
          <w:p>
            <w:r>
              <w:t>a*a</w:t>
            </w:r>
          </w:p>
        </w:tc>
        <w:tc>
          <w:tcPr>
            <w:tcW w:type="dxa" w:w="2556"/>
            <w:vAlign w:val="top"/>
          </w:tcPr>
          <w:p>
            <w:r>
              <w:t>l-a-delta</w:t>
            </w:r>
          </w:p>
        </w:tc>
        <w:tc>
          <w:tcPr>
            <w:tcW w:type="dxa" w:w="2556"/>
            <w:vAlign w:val="top"/>
          </w:tcPr>
          <w:p>
            <w:r>
              <w:t>mu_r</w:t>
            </w:r>
          </w:p>
        </w:tc>
      </w:tr>
      <w:tr>
        <w:tc>
          <w:tcPr>
            <w:tcW w:type="dxa" w:w="2556"/>
            <w:vAlign w:val="top"/>
          </w:tcPr>
          <w:p>
            <w:r>
              <w:t>Air gap</w:t>
            </w:r>
          </w:p>
        </w:tc>
        <w:tc>
          <w:tcPr>
            <w:tcW w:type="dxa" w:w="2556"/>
            <w:vAlign w:val="top"/>
          </w:tcPr>
          <w:p>
            <w:r>
              <w:t>a*a</w:t>
            </w:r>
          </w:p>
        </w:tc>
        <w:tc>
          <w:tcPr>
            <w:tcW w:type="dxa" w:w="2556"/>
            <w:vAlign w:val="top"/>
          </w:tcPr>
          <w:p>
            <w:r>
              <w:t>delta</w:t>
            </w:r>
          </w:p>
        </w:tc>
        <w:tc>
          <w:tcPr>
            <w:tcW w:type="dxa" w:w="2556"/>
            <w:vAlign w:val="top"/>
          </w:tcPr>
          <w:p>
            <w:r>
              <w:t>1</w:t>
            </w:r>
          </w:p>
        </w:tc>
      </w:tr>
      <w:tr>
        <w:tc>
          <w:tcPr>
            <w:tcW w:type="dxa" w:w="2556"/>
            <w:vAlign w:val="top"/>
          </w:tcPr>
          <w:p>
            <w:r>
              <w:t>Lower yoke</w:t>
            </w:r>
          </w:p>
        </w:tc>
        <w:tc>
          <w:tcPr>
            <w:tcW w:type="dxa" w:w="2556"/>
            <w:vAlign w:val="top"/>
          </w:tcPr>
          <w:p>
            <w:r>
              <w:t>a*a</w:t>
            </w:r>
          </w:p>
        </w:tc>
        <w:tc>
          <w:tcPr>
            <w:tcW w:type="dxa" w:w="2556"/>
            <w:vAlign w:val="top"/>
          </w:tcPr>
          <w:p>
            <w:r>
              <w:t>l-a</w:t>
            </w:r>
          </w:p>
        </w:tc>
        <w:tc>
          <w:tcPr>
            <w:tcW w:type="dxa" w:w="2556"/>
            <w:vAlign w:val="top"/>
          </w:tcPr>
          <w:p>
            <w:r>
              <w:t>mu_r</w:t>
            </w:r>
          </w:p>
        </w:tc>
      </w:tr>
    </w:tbl>
    <w:p>
      <w:pPr>
        <w:pStyle w:val="Heading1"/>
      </w:pPr>
      <w:r>
        <w:t>3. Quasi-static phasor conventions</w:t>
      </w:r>
    </w:p>
    <w:p>
      <w:pPr>
        <w:pStyle w:val="ListBullet"/>
      </w:pPr>
      <w:r>
        <w:t>Current I, flux Phi, flux density B, field strength H, magnetic potential difference Vm, and induced voltage U are complex phasor-valued quantities.</w:t>
      </w:r>
    </w:p>
    <w:p>
      <w:pPr>
        <w:pStyle w:val="ListBullet"/>
      </w:pPr>
      <w:r>
        <w:t>Input current values in EP-03 are RMS phasor magnitudes. Do not convert them to peak values in the SysML parameter model unless an explicit representation conversion is modeled.</w:t>
      </w:r>
    </w:p>
    <w:p>
      <w:pPr>
        <w:pStyle w:val="ListBullet"/>
      </w:pPr>
      <w:r>
        <w:t>For linear real permeability, Rm is real and Vm is in phase with Phi.</w:t>
      </w:r>
    </w:p>
    <w:p>
      <w:pPr>
        <w:pStyle w:val="ListBullet"/>
      </w:pPr>
      <w:r>
        <w:t>The exciting coil induced voltage is positive under the defined coil polarity; the measuring coil uses the opposite electric orientation.</w:t>
      </w:r>
    </w:p>
    <w:p>
      <w:pPr>
        <w:pStyle w:val="Heading1"/>
      </w:pPr>
      <w:r>
        <w:t>4. Leakage element</w:t>
      </w:r>
    </w:p>
    <w:p>
      <w:r>
        <w:t>Use the coefficient form Phi_gap/Phi_core = 1-sigma. The corresponding equivalent leakage reluctance is derived so that the air-gap and leakage branches have the same magnetic potential difference.</w:t>
      </w:r>
    </w:p>
    <w:p>
      <w:r>
        <w:rPr>
          <w:rFonts w:ascii="Courier New" w:hAnsi="Courier New"/>
          <w:sz w:val="18"/>
        </w:rPr>
        <w:t>R_leak = R_gap*(1-sigma)/sigma</w:t>
      </w:r>
    </w:p>
    <w:p>
      <w:pPr>
        <w:pStyle w:val="Heading1"/>
      </w:pPr>
      <w:r>
        <w:t>5. Grounds</w:t>
      </w:r>
    </w:p>
    <w:p>
      <w:r>
        <w:t>Both the electrical and magnetic domains require a reference potential. Include ElectricGround in the electrical coil circuit and MagneticGround in the magnetic flux-tube network.</w:t>
      </w:r>
    </w:p>
    <w:p>
      <w:pPr>
        <w:pStyle w:val="Heading1"/>
      </w:pPr>
      <w:r>
        <w:t>6. Revision-sensitive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</w:rPr>
              <w:t>Legacy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</w:rPr>
              <w:t>Released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</w:rPr>
              <w:t>Authority</w:t>
            </w:r>
          </w:p>
        </w:tc>
      </w:tr>
      <w:tr>
        <w:tc>
          <w:tcPr>
            <w:tcW w:type="dxa" w:w="2556"/>
            <w:vAlign w:val="top"/>
          </w:tcPr>
          <w:p>
            <w:r>
              <w:t>mu_r</w:t>
            </w:r>
          </w:p>
        </w:tc>
        <w:tc>
          <w:tcPr>
            <w:tcW w:type="dxa" w:w="2556"/>
            <w:vAlign w:val="top"/>
          </w:tcPr>
          <w:p>
            <w:r>
              <w:t>1000</w:t>
            </w:r>
          </w:p>
        </w:tc>
        <w:tc>
          <w:tcPr>
            <w:tcW w:type="dxa" w:w="2556"/>
            <w:vAlign w:val="top"/>
          </w:tcPr>
          <w:p>
            <w:r>
              <w:t>1200</w:t>
            </w:r>
          </w:p>
        </w:tc>
        <w:tc>
          <w:tcPr>
            <w:tcW w:type="dxa" w:w="2556"/>
            <w:vAlign w:val="top"/>
          </w:tcPr>
          <w:p>
            <w:r>
              <w:t>CR-MAG-004</w:t>
            </w:r>
          </w:p>
        </w:tc>
      </w:tr>
      <w:tr>
        <w:tc>
          <w:tcPr>
            <w:tcW w:type="dxa" w:w="2556"/>
            <w:vAlign w:val="top"/>
          </w:tcPr>
          <w:p>
            <w:r>
              <w:t>sigma</w:t>
            </w:r>
          </w:p>
        </w:tc>
        <w:tc>
          <w:tcPr>
            <w:tcW w:type="dxa" w:w="2556"/>
            <w:vAlign w:val="top"/>
          </w:tcPr>
          <w:p>
            <w:r>
              <w:t>0.05</w:t>
            </w:r>
          </w:p>
        </w:tc>
        <w:tc>
          <w:tcPr>
            <w:tcW w:type="dxa" w:w="2556"/>
            <w:vAlign w:val="top"/>
          </w:tcPr>
          <w:p>
            <w:r>
              <w:t>0.08</w:t>
            </w:r>
          </w:p>
        </w:tc>
        <w:tc>
          <w:tcPr>
            <w:tcW w:type="dxa" w:w="2556"/>
            <w:vAlign w:val="top"/>
          </w:tcPr>
          <w:p>
            <w:r>
              <w:t>CR-MAG-006</w:t>
            </w:r>
          </w:p>
        </w:tc>
      </w:tr>
      <w:tr>
        <w:tc>
          <w:tcPr>
            <w:tcW w:type="dxa" w:w="2556"/>
            <w:vAlign w:val="top"/>
          </w:tcPr>
          <w:p>
            <w:r>
              <w:t>Measuring turns</w:t>
            </w:r>
          </w:p>
        </w:tc>
        <w:tc>
          <w:tcPr>
            <w:tcW w:type="dxa" w:w="2556"/>
            <w:vAlign w:val="top"/>
          </w:tcPr>
          <w:p>
            <w:r>
              <w:t>40</w:t>
            </w:r>
          </w:p>
        </w:tc>
        <w:tc>
          <w:tcPr>
            <w:tcW w:type="dxa" w:w="2556"/>
            <w:vAlign w:val="top"/>
          </w:tcPr>
          <w:p>
            <w:r>
              <w:t>50</w:t>
            </w:r>
          </w:p>
        </w:tc>
        <w:tc>
          <w:tcPr>
            <w:tcW w:type="dxa" w:w="2556"/>
            <w:vAlign w:val="top"/>
          </w:tcPr>
          <w:p>
            <w:r>
              <w:t>Coil Data Rev B</w:t>
            </w:r>
          </w:p>
        </w:tc>
      </w:tr>
      <w:tr>
        <w:tc>
          <w:tcPr>
            <w:tcW w:type="dxa" w:w="2556"/>
            <w:vAlign w:val="top"/>
          </w:tcPr>
          <w:p>
            <w:r>
              <w:t>Gap</w:t>
            </w:r>
          </w:p>
        </w:tc>
        <w:tc>
          <w:tcPr>
            <w:tcW w:type="dxa" w:w="2556"/>
            <w:vAlign w:val="top"/>
          </w:tcPr>
          <w:p>
            <w:r>
              <w:t>1.50 mm nominal</w:t>
            </w:r>
          </w:p>
        </w:tc>
        <w:tc>
          <w:tcPr>
            <w:tcW w:type="dxa" w:w="2556"/>
            <w:vAlign w:val="top"/>
          </w:tcPr>
          <w:p>
            <w:r>
              <w:t>1.50 mm nominal; 1.58 mm as-built prototype</w:t>
            </w:r>
          </w:p>
        </w:tc>
        <w:tc>
          <w:tcPr>
            <w:tcW w:type="dxa" w:w="2556"/>
            <w:vAlign w:val="top"/>
          </w:tcPr>
          <w:p>
            <w:r>
              <w:t>Drawing MC-101 / Metrology note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