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Operator Runbook - Bench Evaporation Plant, Rev A</w:t>
      </w:r>
    </w:p>
    <w:p>
      <w:pPr>
        <w:jc w:val="center"/>
      </w:pPr>
      <w:r>
        <w:rPr>
          <w:i/>
          <w:sz w:val="18"/>
        </w:rPr>
        <w:t>Synthetic hackathon engineering evidence</w:t>
      </w:r>
    </w:p>
    <w:p>
      <w:pPr>
        <w:pStyle w:val="Heading1"/>
      </w:pPr>
      <w:r>
        <w:t>1. Pre-start</w:t>
      </w:r>
    </w:p>
    <w:p>
      <w:pPr>
        <w:pStyle w:val="ListNumber"/>
      </w:pPr>
      <w:r>
        <w:t>Confirm B1 contains the water-rich initial charge and B2 contains the concentrated NaCl initial charge.</w:t>
      </w:r>
    </w:p>
    <w:p>
      <w:pPr>
        <w:pStyle w:val="ListNumber"/>
      </w:pPr>
      <w:r>
        <w:t>Confirm manual drain valves V26 and V27 are closed and cooling-water valves V13, V17 and V29 are aligned for service.</w:t>
      </w:r>
    </w:p>
    <w:p>
      <w:pPr>
        <w:pStyle w:val="ListNumber"/>
      </w:pPr>
      <w:r>
        <w:t>Confirm condenser cooling-water flow indication FIS-801 is available before heating.</w:t>
      </w:r>
    </w:p>
    <w:p>
      <w:pPr>
        <w:pStyle w:val="ListNumber"/>
      </w:pPr>
      <w:r>
        <w:t>Verify B6 and B7 are sufficiently empty for the next batch.</w:t>
      </w:r>
    </w:p>
    <w:p>
      <w:pPr>
        <w:pStyle w:val="Heading1"/>
      </w:pPr>
      <w:r>
        <w:t>2. Automatic batch observation</w:t>
      </w:r>
    </w:p>
    <w:p>
      <w:r>
        <w:t>Normal operator observation is B3 fill/mix -&gt; B4 buffer -&gt; B5 charge -&gt; heating/evaporation -&gt; simultaneous condensate/concentrate finishing branches -&gt; return pumping. The controller owns the automated valve set; do not manually override an automated valve during an acceptance run.</w:t>
      </w:r>
    </w:p>
    <w:p>
      <w:pPr>
        <w:pStyle w:val="Heading1"/>
      </w:pPr>
      <w:r>
        <w:t>3. Expected qualitative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</w:rPr>
              <w:t>Expected trend</w:t>
            </w:r>
          </w:p>
        </w:tc>
      </w:tr>
      <w:tr>
        <w:tc>
          <w:tcPr>
            <w:tcW w:type="dxa" w:w="5112"/>
            <w:vAlign w:val="top"/>
          </w:tcPr>
          <w:p>
            <w:r>
              <w:t>B3 level</w:t>
            </w:r>
          </w:p>
        </w:tc>
        <w:tc>
          <w:tcPr>
            <w:tcW w:type="dxa" w:w="5112"/>
            <w:vAlign w:val="top"/>
          </w:tcPr>
          <w:p>
            <w:r>
              <w:t>Rises during water and brine charge, then falls while V11 transfers to B4.</w:t>
            </w:r>
          </w:p>
        </w:tc>
      </w:tr>
      <w:tr>
        <w:tc>
          <w:tcPr>
            <w:tcW w:type="dxa" w:w="5112"/>
            <w:vAlign w:val="top"/>
          </w:tcPr>
          <w:p>
            <w:r>
              <w:t>B3 concentration</w:t>
            </w:r>
          </w:p>
        </w:tc>
        <w:tc>
          <w:tcPr>
            <w:tcW w:type="dxa" w:w="5112"/>
            <w:vAlign w:val="top"/>
          </w:tcPr>
          <w:p>
            <w:r>
              <w:t>Changes primarily while V9 adds brine; then remains approximately constant until discharge.</w:t>
            </w:r>
          </w:p>
        </w:tc>
      </w:tr>
      <w:tr>
        <w:tc>
          <w:tcPr>
            <w:tcW w:type="dxa" w:w="5112"/>
            <w:vAlign w:val="top"/>
          </w:tcPr>
          <w:p>
            <w:r>
              <w:t>B5 temperature</w:t>
            </w:r>
          </w:p>
        </w:tc>
        <w:tc>
          <w:tcPr>
            <w:tcW w:type="dxa" w:w="5112"/>
            <w:vAlign w:val="top"/>
          </w:tcPr>
          <w:p>
            <w:r>
              <w:t>Rises during heating, then plateaus near composition-dependent boiling temperature.</w:t>
            </w:r>
          </w:p>
        </w:tc>
      </w:tr>
      <w:tr>
        <w:tc>
          <w:tcPr>
            <w:tcW w:type="dxa" w:w="5112"/>
            <w:vAlign w:val="top"/>
          </w:tcPr>
          <w:p>
            <w:r>
              <w:t>B5 concentration</w:t>
            </w:r>
          </w:p>
        </w:tc>
        <w:tc>
          <w:tcPr>
            <w:tcW w:type="dxa" w:w="5112"/>
            <w:vAlign w:val="top"/>
          </w:tcPr>
          <w:p>
            <w:r>
              <w:t>Rises during evaporation until target is reached.</w:t>
            </w:r>
          </w:p>
        </w:tc>
      </w:tr>
      <w:tr>
        <w:tc>
          <w:tcPr>
            <w:tcW w:type="dxa" w:w="5112"/>
            <w:vAlign w:val="top"/>
          </w:tcPr>
          <w:p>
            <w:r>
              <w:t>B6 level</w:t>
            </w:r>
          </w:p>
        </w:tc>
        <w:tc>
          <w:tcPr>
            <w:tcW w:type="dxa" w:w="5112"/>
            <w:vAlign w:val="top"/>
          </w:tcPr>
          <w:p>
            <w:r>
              <w:t>Rises as condensate is produced; later falls during return pumping.</w:t>
            </w:r>
          </w:p>
        </w:tc>
      </w:tr>
      <w:tr>
        <w:tc>
          <w:tcPr>
            <w:tcW w:type="dxa" w:w="5112"/>
            <w:vAlign w:val="top"/>
          </w:tcPr>
          <w:p>
            <w:r>
              <w:t>B7 level</w:t>
            </w:r>
          </w:p>
        </w:tc>
        <w:tc>
          <w:tcPr>
            <w:tcW w:type="dxa" w:w="5112"/>
            <w:vAlign w:val="top"/>
          </w:tcPr>
          <w:p>
            <w:r>
              <w:t>Rises when V15 transfers concentrate; later falls during return pumping.</w:t>
            </w:r>
          </w:p>
        </w:tc>
      </w:tr>
    </w:tbl>
    <w:p>
      <w:pPr>
        <w:pStyle w:val="Heading1"/>
      </w:pPr>
      <w:r>
        <w:t>4. Abnormal indications</w:t>
      </w:r>
    </w:p>
    <w:p>
      <w:pPr>
        <w:pStyle w:val="ListBullet"/>
      </w:pPr>
      <w:r>
        <w:t>Repeated tiny integration steps near a tank port level may indicate missing hysteresis or non-regularized port loss equations.</w:t>
      </w:r>
    </w:p>
    <w:p>
      <w:pPr>
        <w:pStyle w:val="ListBullet"/>
      </w:pPr>
      <w:r>
        <w:t>Oscillation at the B5 boiling transition may indicate missing Q_up anti-chattering logic.</w:t>
      </w:r>
    </w:p>
    <w:p>
      <w:pPr>
        <w:pStyle w:val="ListBullet"/>
      </w:pPr>
      <w:r>
        <w:t>A WaterNaCl simulation that stalls at pump start is a known legacy numerical issue; first validate the same topology with StandardWater.</w:t>
      </w:r>
    </w:p>
    <w:p>
      <w:pPr>
        <w:pStyle w:val="ListBullet"/>
      </w:pPr>
      <w:r>
        <w:t>Do not resolve return-routing questions from pump location alone; check the approved routing change record.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