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95B32" w14:textId="77777777" w:rsidR="008A3345" w:rsidRDefault="008A3345" w:rsidP="008A3345">
      <w:pPr>
        <w:spacing w:line="480" w:lineRule="auto"/>
        <w:rPr>
          <w:rFonts w:ascii="Times New Roman" w:hAnsi="Times New Roman" w:cs="Times New Roman"/>
          <w:b/>
          <w:sz w:val="22"/>
          <w:szCs w:val="22"/>
        </w:rPr>
      </w:pPr>
    </w:p>
    <w:p w14:paraId="017C4E5B" w14:textId="39151AEF" w:rsidR="008A3345" w:rsidRPr="00380114" w:rsidRDefault="008A3345" w:rsidP="008A3345">
      <w:pPr>
        <w:spacing w:line="480" w:lineRule="auto"/>
        <w:rPr>
          <w:rFonts w:ascii="Times New Roman" w:hAnsi="Times New Roman" w:cs="Times New Roman"/>
          <w:b/>
          <w:sz w:val="22"/>
          <w:szCs w:val="22"/>
        </w:rPr>
      </w:pPr>
      <w:r>
        <w:rPr>
          <w:rFonts w:ascii="Times New Roman" w:hAnsi="Times New Roman" w:cs="Times New Roman"/>
          <w:b/>
          <w:sz w:val="22"/>
          <w:szCs w:val="22"/>
        </w:rPr>
        <w:t>FMT procedure</w:t>
      </w:r>
    </w:p>
    <w:p w14:paraId="326D2F0D" w14:textId="1A226428" w:rsidR="008713B7" w:rsidRDefault="008A3345" w:rsidP="00380114">
      <w:pPr>
        <w:spacing w:line="480" w:lineRule="auto"/>
        <w:rPr>
          <w:rFonts w:ascii="Times New Roman" w:hAnsi="Times New Roman" w:cs="Times New Roman"/>
          <w:sz w:val="22"/>
          <w:szCs w:val="22"/>
        </w:rPr>
      </w:pPr>
      <w:r w:rsidRPr="008A3345">
        <w:rPr>
          <w:rFonts w:ascii="Times New Roman" w:hAnsi="Times New Roman" w:cs="Times New Roman"/>
          <w:sz w:val="22"/>
          <w:szCs w:val="22"/>
        </w:rPr>
        <w:t>Patient</w:t>
      </w:r>
      <w:r>
        <w:rPr>
          <w:rFonts w:ascii="Times New Roman" w:hAnsi="Times New Roman" w:cs="Times New Roman"/>
          <w:sz w:val="22"/>
          <w:szCs w:val="22"/>
        </w:rPr>
        <w:t xml:space="preserve"> sample collection protocols were approved </w:t>
      </w:r>
      <w:r w:rsidRPr="008A3345">
        <w:rPr>
          <w:rFonts w:ascii="Times New Roman" w:hAnsi="Times New Roman" w:cs="Times New Roman"/>
          <w:sz w:val="22"/>
          <w:szCs w:val="22"/>
        </w:rPr>
        <w:t>by the Memorial Sloan Kettering Cancer Center Institutional Review and Privacy Board</w:t>
      </w:r>
      <w:r>
        <w:rPr>
          <w:rFonts w:ascii="Times New Roman" w:hAnsi="Times New Roman" w:cs="Times New Roman"/>
          <w:sz w:val="22"/>
          <w:szCs w:val="22"/>
        </w:rPr>
        <w:t xml:space="preserve"> (</w:t>
      </w:r>
      <w:r w:rsidRPr="008A3345">
        <w:rPr>
          <w:rFonts w:ascii="Times New Roman" w:hAnsi="Times New Roman" w:cs="Times New Roman"/>
          <w:sz w:val="22"/>
          <w:szCs w:val="22"/>
        </w:rPr>
        <w:t>ClinicalTrials.gov identifier: NCT02269150</w:t>
      </w:r>
      <w:r>
        <w:rPr>
          <w:rFonts w:ascii="Times New Roman" w:hAnsi="Times New Roman" w:cs="Times New Roman"/>
          <w:sz w:val="22"/>
          <w:szCs w:val="22"/>
        </w:rPr>
        <w:t xml:space="preserve">). Briefly, patients’ stool was collected when they first entered the clinic. </w:t>
      </w:r>
      <w:r w:rsidR="009C2250">
        <w:rPr>
          <w:rFonts w:ascii="Times New Roman" w:hAnsi="Times New Roman" w:cs="Times New Roman"/>
          <w:sz w:val="22"/>
          <w:szCs w:val="22"/>
        </w:rPr>
        <w:t xml:space="preserve">We chose autologous, </w:t>
      </w:r>
      <w:r w:rsidR="009C2250" w:rsidRPr="009C2250">
        <w:rPr>
          <w:rFonts w:ascii="Times New Roman" w:hAnsi="Times New Roman" w:cs="Times New Roman"/>
          <w:sz w:val="22"/>
          <w:szCs w:val="22"/>
        </w:rPr>
        <w:t xml:space="preserve">as opposed to feces from a heterologous donor, because of potential safety concerns. </w:t>
      </w:r>
      <w:r>
        <w:rPr>
          <w:rFonts w:ascii="Times New Roman" w:hAnsi="Times New Roman" w:cs="Times New Roman"/>
          <w:sz w:val="22"/>
          <w:szCs w:val="22"/>
        </w:rPr>
        <w:t xml:space="preserve">The stool </w:t>
      </w:r>
      <w:r w:rsidR="006F7462">
        <w:rPr>
          <w:rFonts w:ascii="Times New Roman" w:hAnsi="Times New Roman" w:cs="Times New Roman"/>
          <w:sz w:val="22"/>
          <w:szCs w:val="22"/>
        </w:rPr>
        <w:t>was</w:t>
      </w:r>
      <w:r w:rsidR="006F7462" w:rsidRPr="006F7462">
        <w:rPr>
          <w:rFonts w:ascii="Times New Roman" w:hAnsi="Times New Roman" w:cs="Times New Roman"/>
          <w:sz w:val="22"/>
          <w:szCs w:val="22"/>
        </w:rPr>
        <w:t xml:space="preserve"> tested for the presence of potential intestinal pathogens including </w:t>
      </w:r>
      <w:r w:rsidR="006F7462" w:rsidRPr="006F7462">
        <w:rPr>
          <w:rFonts w:ascii="Times New Roman" w:hAnsi="Times New Roman" w:cs="Times New Roman"/>
          <w:i/>
          <w:sz w:val="22"/>
          <w:szCs w:val="22"/>
        </w:rPr>
        <w:t>C. difficile</w:t>
      </w:r>
      <w:r w:rsidR="006F7462">
        <w:rPr>
          <w:rFonts w:ascii="Times New Roman" w:hAnsi="Times New Roman" w:cs="Times New Roman"/>
          <w:sz w:val="22"/>
          <w:szCs w:val="22"/>
        </w:rPr>
        <w:t xml:space="preserve"> and</w:t>
      </w:r>
      <w:r>
        <w:rPr>
          <w:rFonts w:ascii="Times New Roman" w:hAnsi="Times New Roman" w:cs="Times New Roman"/>
          <w:sz w:val="22"/>
          <w:szCs w:val="22"/>
        </w:rPr>
        <w:t xml:space="preserve"> frozen</w:t>
      </w:r>
      <w:r w:rsidR="006F7462">
        <w:rPr>
          <w:rFonts w:ascii="Times New Roman" w:hAnsi="Times New Roman" w:cs="Times New Roman"/>
          <w:sz w:val="22"/>
          <w:szCs w:val="22"/>
        </w:rPr>
        <w:t xml:space="preserve"> </w:t>
      </w:r>
      <w:r w:rsidR="006F7462" w:rsidRPr="006F7462">
        <w:rPr>
          <w:rFonts w:ascii="Times New Roman" w:hAnsi="Times New Roman" w:cs="Times New Roman"/>
          <w:sz w:val="22"/>
          <w:szCs w:val="22"/>
        </w:rPr>
        <w:t>(−80°C)</w:t>
      </w:r>
      <w:r w:rsidR="006F7462">
        <w:rPr>
          <w:rFonts w:ascii="Times New Roman" w:hAnsi="Times New Roman" w:cs="Times New Roman"/>
          <w:sz w:val="22"/>
          <w:szCs w:val="22"/>
        </w:rPr>
        <w:t xml:space="preserve">. </w:t>
      </w:r>
      <w:r w:rsidR="00293DE5">
        <w:rPr>
          <w:rFonts w:ascii="Times New Roman" w:hAnsi="Times New Roman" w:cs="Times New Roman"/>
          <w:sz w:val="22"/>
          <w:szCs w:val="22"/>
        </w:rPr>
        <w:t>If</w:t>
      </w:r>
      <w:r>
        <w:rPr>
          <w:rFonts w:ascii="Times New Roman" w:hAnsi="Times New Roman" w:cs="Times New Roman"/>
          <w:sz w:val="22"/>
          <w:szCs w:val="22"/>
        </w:rPr>
        <w:t xml:space="preserve"> a patient was randomized to receive treatment after engraftment of neutrophils, the thawed sample was re-administered via an enema. Due to the strenuous nature of this procedure, it was deemed unethical to administer a mock enema to control patients.</w:t>
      </w:r>
      <w:r w:rsidR="00293DE5">
        <w:rPr>
          <w:rFonts w:ascii="Times New Roman" w:hAnsi="Times New Roman" w:cs="Times New Roman"/>
          <w:sz w:val="22"/>
          <w:szCs w:val="22"/>
        </w:rPr>
        <w:t xml:space="preserve"> </w:t>
      </w:r>
      <w:r w:rsidR="00293DE5" w:rsidRPr="00293DE5">
        <w:rPr>
          <w:rFonts w:ascii="Times New Roman" w:hAnsi="Times New Roman" w:cs="Times New Roman"/>
          <w:sz w:val="22"/>
          <w:szCs w:val="22"/>
        </w:rPr>
        <w:t>Subjects whose pre–</w:t>
      </w:r>
      <w:proofErr w:type="spellStart"/>
      <w:r w:rsidR="00293DE5" w:rsidRPr="00293DE5">
        <w:rPr>
          <w:rFonts w:ascii="Times New Roman" w:hAnsi="Times New Roman" w:cs="Times New Roman"/>
          <w:sz w:val="22"/>
          <w:szCs w:val="22"/>
        </w:rPr>
        <w:t>allo</w:t>
      </w:r>
      <w:proofErr w:type="spellEnd"/>
      <w:r w:rsidR="00293DE5" w:rsidRPr="00293DE5">
        <w:rPr>
          <w:rFonts w:ascii="Times New Roman" w:hAnsi="Times New Roman" w:cs="Times New Roman"/>
          <w:sz w:val="22"/>
          <w:szCs w:val="22"/>
        </w:rPr>
        <w:t>-HSCT feces demonstrated low microbial diversity (IS index &lt; 2.0) or tested positive for the presence of an intestinal pathogen, for example, C. difficile, were excluded from randomization. After successful hematopoietic cell engraftment (three consecutive blood neutrophil counts ≥500 per mm3), subjects underwent testing of a fecal specimen collected after engraftment to determine the presence of the Bacteroidetes phylum via quantitative PCR. Individuals with low abundance of Bacteroidetes (&lt;0.1% total 16S) were eligible to proceed to randomization and treatment. Eligible subjects were 1:1 randomized to undergo auto-FMT with the subject’s stored pre–</w:t>
      </w:r>
      <w:proofErr w:type="spellStart"/>
      <w:r w:rsidR="00293DE5" w:rsidRPr="00293DE5">
        <w:rPr>
          <w:rFonts w:ascii="Times New Roman" w:hAnsi="Times New Roman" w:cs="Times New Roman"/>
          <w:sz w:val="22"/>
          <w:szCs w:val="22"/>
        </w:rPr>
        <w:t>allo</w:t>
      </w:r>
      <w:proofErr w:type="spellEnd"/>
      <w:r w:rsidR="00293DE5" w:rsidRPr="00293DE5">
        <w:rPr>
          <w:rFonts w:ascii="Times New Roman" w:hAnsi="Times New Roman" w:cs="Times New Roman"/>
          <w:sz w:val="22"/>
          <w:szCs w:val="22"/>
        </w:rPr>
        <w:t>-HSCT feces versus no fecal transplantation. Randomization was stratified by cord blood source versus non–cord blood source. Subjects could be randomized within a 28-day window after engraftment. Subjects who were critically ill or required prolonged microbiota-perturbing antibiotics through the designated 28-day period were excluded from randomization.</w:t>
      </w:r>
      <w:bookmarkStart w:id="0" w:name="_GoBack"/>
      <w:bookmarkEnd w:id="0"/>
    </w:p>
    <w:p w14:paraId="1E04E775" w14:textId="77777777" w:rsidR="008A3345" w:rsidRPr="008A3345" w:rsidRDefault="008A3345" w:rsidP="00380114">
      <w:pPr>
        <w:spacing w:line="480" w:lineRule="auto"/>
        <w:rPr>
          <w:rFonts w:ascii="Times New Roman" w:hAnsi="Times New Roman" w:cs="Times New Roman"/>
          <w:sz w:val="22"/>
          <w:szCs w:val="22"/>
        </w:rPr>
      </w:pPr>
    </w:p>
    <w:p w14:paraId="46C7C32E" w14:textId="7E7D9294" w:rsidR="00380114" w:rsidRPr="00380114" w:rsidRDefault="00380114" w:rsidP="00380114">
      <w:pPr>
        <w:spacing w:line="480" w:lineRule="auto"/>
        <w:rPr>
          <w:rFonts w:ascii="Times New Roman" w:hAnsi="Times New Roman" w:cs="Times New Roman"/>
          <w:b/>
          <w:sz w:val="22"/>
          <w:szCs w:val="22"/>
        </w:rPr>
      </w:pPr>
      <w:r w:rsidRPr="00476E75">
        <w:rPr>
          <w:rFonts w:ascii="Times New Roman" w:hAnsi="Times New Roman" w:cs="Times New Roman"/>
          <w:b/>
          <w:sz w:val="22"/>
          <w:szCs w:val="22"/>
        </w:rPr>
        <w:t>Dynamic systems analyses</w:t>
      </w:r>
    </w:p>
    <w:p w14:paraId="3C791A39" w14:textId="2B5A6B01" w:rsidR="00380114" w:rsidRPr="00476E75" w:rsidRDefault="00380114" w:rsidP="00380114">
      <w:pPr>
        <w:spacing w:line="480" w:lineRule="auto"/>
        <w:rPr>
          <w:rFonts w:ascii="Times New Roman" w:hAnsi="Times New Roman" w:cs="Times New Roman"/>
          <w:i/>
          <w:sz w:val="22"/>
          <w:szCs w:val="22"/>
        </w:rPr>
      </w:pPr>
      <w:r>
        <w:rPr>
          <w:rFonts w:ascii="Times New Roman" w:hAnsi="Times New Roman" w:cs="Times New Roman"/>
          <w:i/>
          <w:sz w:val="22"/>
          <w:szCs w:val="22"/>
        </w:rPr>
        <w:t>Covariates included in i</w:t>
      </w:r>
      <w:r w:rsidRPr="00476E75">
        <w:rPr>
          <w:rFonts w:ascii="Times New Roman" w:hAnsi="Times New Roman" w:cs="Times New Roman"/>
          <w:i/>
          <w:sz w:val="22"/>
          <w:szCs w:val="22"/>
        </w:rPr>
        <w:t>nterval data</w:t>
      </w:r>
    </w:p>
    <w:p w14:paraId="46F73E87" w14:textId="77777777" w:rsidR="00891BA7" w:rsidRDefault="00380114" w:rsidP="00380114">
      <w:pPr>
        <w:spacing w:line="480" w:lineRule="auto"/>
        <w:rPr>
          <w:rFonts w:ascii="Times New Roman" w:hAnsi="Times New Roman" w:cs="Times New Roman"/>
          <w:sz w:val="22"/>
          <w:szCs w:val="22"/>
        </w:rPr>
      </w:pPr>
      <w:r w:rsidRPr="00476E75">
        <w:rPr>
          <w:rFonts w:ascii="Times New Roman" w:hAnsi="Times New Roman" w:cs="Times New Roman"/>
          <w:sz w:val="22"/>
          <w:szCs w:val="22"/>
        </w:rPr>
        <w:t>For a given daily interval, a medication was considered present for at least part of the interval when it was administered on either endpoint.</w:t>
      </w:r>
      <w:r>
        <w:rPr>
          <w:rFonts w:ascii="Times New Roman" w:hAnsi="Times New Roman" w:cs="Times New Roman"/>
          <w:sz w:val="22"/>
          <w:szCs w:val="22"/>
        </w:rPr>
        <w:t xml:space="preserve"> Administration events were obtained from parsing the institutional task data base which contains drug and treatment administrations performed on patients.</w:t>
      </w:r>
      <w:r w:rsidRPr="00476E75">
        <w:rPr>
          <w:rFonts w:ascii="Times New Roman" w:hAnsi="Times New Roman" w:cs="Times New Roman"/>
          <w:sz w:val="22"/>
          <w:szCs w:val="22"/>
        </w:rPr>
        <w:t xml:space="preserve"> For the microbiota and blood stream infection data, data from the end day were considered for the </w:t>
      </w:r>
      <w:r w:rsidRPr="00476E75">
        <w:rPr>
          <w:rFonts w:ascii="Times New Roman" w:hAnsi="Times New Roman" w:cs="Times New Roman"/>
          <w:sz w:val="22"/>
          <w:szCs w:val="22"/>
        </w:rPr>
        <w:lastRenderedPageBreak/>
        <w:t>interval. Homeostatic feedback calculations used the geometric mean of the white blood cell counts between the two endpoints.</w:t>
      </w:r>
      <w:r>
        <w:rPr>
          <w:rFonts w:ascii="Times New Roman" w:hAnsi="Times New Roman" w:cs="Times New Roman"/>
          <w:sz w:val="22"/>
          <w:szCs w:val="22"/>
        </w:rPr>
        <w:t xml:space="preserve"> </w:t>
      </w:r>
      <w:r w:rsidRPr="00476E75">
        <w:rPr>
          <w:rFonts w:ascii="Times New Roman" w:hAnsi="Times New Roman" w:cs="Times New Roman"/>
          <w:sz w:val="22"/>
          <w:szCs w:val="22"/>
        </w:rPr>
        <w:t xml:space="preserve">We included only those </w:t>
      </w:r>
      <w:r>
        <w:rPr>
          <w:rFonts w:ascii="Times New Roman" w:hAnsi="Times New Roman" w:cs="Times New Roman"/>
          <w:sz w:val="22"/>
          <w:szCs w:val="22"/>
        </w:rPr>
        <w:t>covariates</w:t>
      </w:r>
      <w:r w:rsidRPr="00476E75">
        <w:rPr>
          <w:rFonts w:ascii="Times New Roman" w:hAnsi="Times New Roman" w:cs="Times New Roman"/>
          <w:sz w:val="22"/>
          <w:szCs w:val="22"/>
        </w:rPr>
        <w:t xml:space="preserve"> that were </w:t>
      </w:r>
      <w:r>
        <w:rPr>
          <w:rFonts w:ascii="Times New Roman" w:hAnsi="Times New Roman" w:cs="Times New Roman"/>
          <w:sz w:val="22"/>
          <w:szCs w:val="22"/>
        </w:rPr>
        <w:t>present during at least</w:t>
      </w:r>
      <w:r w:rsidRPr="00476E75">
        <w:rPr>
          <w:rFonts w:ascii="Times New Roman" w:hAnsi="Times New Roman" w:cs="Times New Roman"/>
          <w:sz w:val="22"/>
          <w:szCs w:val="22"/>
        </w:rPr>
        <w:t xml:space="preserve"> 10 intervals.</w:t>
      </w:r>
      <w:r>
        <w:rPr>
          <w:rFonts w:ascii="Times New Roman" w:hAnsi="Times New Roman" w:cs="Times New Roman"/>
          <w:sz w:val="22"/>
          <w:szCs w:val="22"/>
        </w:rPr>
        <w:t xml:space="preserve"> </w:t>
      </w:r>
    </w:p>
    <w:p w14:paraId="0CEFD68D" w14:textId="5467F239" w:rsidR="00380114" w:rsidRDefault="00891BA7" w:rsidP="00891BA7">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Our data comprises &gt;1.6M </w:t>
      </w:r>
      <w:r w:rsidRPr="00891BA7">
        <w:rPr>
          <w:rFonts w:ascii="Times New Roman" w:hAnsi="Times New Roman" w:cs="Times New Roman"/>
          <w:sz w:val="22"/>
          <w:szCs w:val="22"/>
        </w:rPr>
        <w:t>recorded administrations of 806 different medications with</w:t>
      </w:r>
      <w:r>
        <w:rPr>
          <w:rFonts w:ascii="Times New Roman" w:hAnsi="Times New Roman" w:cs="Times New Roman"/>
          <w:sz w:val="22"/>
          <w:szCs w:val="22"/>
        </w:rPr>
        <w:t xml:space="preserve"> durations </w:t>
      </w:r>
      <w:r w:rsidRPr="00891BA7">
        <w:rPr>
          <w:rFonts w:ascii="Times New Roman" w:hAnsi="Times New Roman" w:cs="Times New Roman"/>
          <w:sz w:val="22"/>
          <w:szCs w:val="22"/>
        </w:rPr>
        <w:t>provided</w:t>
      </w:r>
      <w:r>
        <w:rPr>
          <w:rFonts w:ascii="Times New Roman" w:hAnsi="Times New Roman" w:cs="Times New Roman"/>
          <w:sz w:val="22"/>
          <w:szCs w:val="22"/>
        </w:rPr>
        <w:t xml:space="preserve">. </w:t>
      </w:r>
      <w:r w:rsidR="008D7D4C">
        <w:rPr>
          <w:rFonts w:ascii="Times New Roman" w:hAnsi="Times New Roman" w:cs="Times New Roman"/>
          <w:sz w:val="22"/>
          <w:szCs w:val="22"/>
        </w:rPr>
        <w:t>All patients analyzed in stage 2 had available medication records, but ~10% of the patients without microbiome data had missing medication records and</w:t>
      </w:r>
      <w:r>
        <w:rPr>
          <w:rFonts w:ascii="Times New Roman" w:hAnsi="Times New Roman" w:cs="Times New Roman"/>
          <w:sz w:val="22"/>
          <w:szCs w:val="22"/>
        </w:rPr>
        <w:t>/or</w:t>
      </w:r>
      <w:r w:rsidR="008D7D4C">
        <w:rPr>
          <w:rFonts w:ascii="Times New Roman" w:hAnsi="Times New Roman" w:cs="Times New Roman"/>
          <w:sz w:val="22"/>
          <w:szCs w:val="22"/>
        </w:rPr>
        <w:t xml:space="preserve"> incomplete metadata</w:t>
      </w:r>
      <w:r>
        <w:rPr>
          <w:rFonts w:ascii="Times New Roman" w:hAnsi="Times New Roman" w:cs="Times New Roman"/>
          <w:sz w:val="22"/>
          <w:szCs w:val="22"/>
        </w:rPr>
        <w:t>.</w:t>
      </w:r>
      <w:r w:rsidR="008D7D4C">
        <w:rPr>
          <w:rFonts w:ascii="Times New Roman" w:hAnsi="Times New Roman" w:cs="Times New Roman"/>
          <w:sz w:val="22"/>
          <w:szCs w:val="22"/>
        </w:rPr>
        <w:t xml:space="preserve"> </w:t>
      </w:r>
      <w:r>
        <w:rPr>
          <w:rFonts w:ascii="Times New Roman" w:hAnsi="Times New Roman" w:cs="Times New Roman"/>
          <w:sz w:val="22"/>
          <w:szCs w:val="22"/>
        </w:rPr>
        <w:t>In case of missing continuous metadata, missing values were filled with means.</w:t>
      </w:r>
    </w:p>
    <w:p w14:paraId="68068A87" w14:textId="77777777" w:rsidR="00380114" w:rsidRDefault="00380114" w:rsidP="00380114">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 stem cell graft source is a major determinant of engraftment times and can affect recovery dynamics</w:t>
      </w:r>
      <w:r>
        <w:rPr>
          <w:rFonts w:ascii="Times New Roman" w:hAnsi="Times New Roman" w:cs="Times New Roman"/>
          <w:sz w:val="22"/>
          <w:szCs w:val="22"/>
        </w:rPr>
        <w:fldChar w:fldCharType="begin"/>
      </w:r>
      <w:r>
        <w:rPr>
          <w:rFonts w:ascii="Times New Roman" w:hAnsi="Times New Roman" w:cs="Times New Roman"/>
          <w:sz w:val="22"/>
          <w:szCs w:val="22"/>
        </w:rPr>
        <w:instrText>ADDIN F1000_CSL_CITATION&lt;~#@#~&gt;[{"DOI":"10.1056/NEJMoa1203517","First":false,"Last":false,"PMCID":"PMC3816375","PMID":"23075175","abstract":"&lt;strong&gt;BACKGROUND:&lt;/strong&gt; Randomized trials have shown that the transplantation of filgrastim-mobilized peripheral-blood stem cells from HLA-identical siblings accelerates engraftment but increases the risks of acute and chronic graft-versus-host disease (GVHD), as compared with the transplantation of bone marrow. Some studies have also shown that peripheral-blood stem cells are associated with a decreased rate of relapse and improved survival among recipients with high-risk leukemia.&lt;br&gt;&lt;br&gt;&lt;strong&gt;METHODS:&lt;/strong&gt; We conducted a phase 3, multicenter, randomized trial of transplantation of peripheral-blood stem cells versus bone marrow from unrelated donors to compare 2-year survival probabilities with the use of an intention-to-treat analysis. Between March 2004 and September 2009, we enrolled 551 patients at 48 centers. Patients were randomly assigned in a 1:1 ratio to peripheral-blood stem-cell or bone marrow transplantation, stratified according to transplantation center and disease risk. The median follow-up of surviving patients was 36 months (interquartile range, 30 to 37).&lt;br&gt;&lt;br&gt;&lt;strong&gt;RESULTS:&lt;/strong&gt; The overall survival rate at 2 years in the peripheral-blood group was 51% (95% confidence interval [CI], 45 to 57), as compared with 46% (95% CI, 40 to 52) in the bone marrow group (P=0.29), with an absolute difference of 5 percentage points (95% CI, -3 to 14). The overall incidence of graft failure in the peripheral-blood group was 3% (95% CI, 1 to 5), versus 9% (95% CI, 6 to 13) in the bone marrow group (P=0.002). The incidence of chronic GVHD at 2 years in the peripheral-blood group was 53% (95% CI, 45 to 61), as compared with 41% (95% CI, 34 to 48) in the bone marrow group (P=0.01). There were no significant between-group differences in the incidence of acute GVHD or relapse.&lt;br&gt;&lt;br&gt;&lt;strong&gt;CONCLUSIONS:&lt;/strong&gt; We did not detect significant survival differences between peripheral-blood stem-cell and bone marrow transplantation from unrelated donors. Exploratory analyses of secondary end points indicated that peripheral-blood stem cells may reduce the risk of graft failure, whereas bone marrow may reduce the risk of chronic GVHD. (Funded by the National Heart, Lung, and Blood Institute-National Cancer Institute and others; ClinicalTrials.gov number, NCT00075816.).","author":[{"family":"Anasetti","given":"Claudio"},{"family":"Logan","given":"Brent R"},{"family":"Lee","given":"Stephanie J"},{"family":"Waller","given":"Edmund K"},{"family":"Weisdorf","given":"Daniel J"},{"family":"Wingard","given":"John R"},{"family":"Cutler","given":"Corey S"},{"family":"Westervelt","given":"Peter"},{"family":"Woolfrey","given":"Ann"},{"family":"Couban","given":"Stephen"},{"family":"Ehninger","given":"Gerhard"},{"family":"Johnston","given":"Laura"},{"family":"Maziarz","given":"Richard T"},{"family":"Pulsipher","given":"Michael A"},{"family":"Porter","given":"David L"},{"family":"Mineishi","given":"Shin"},{"family":"McCarty","given":"John M"},{"family":"Khan","given":"Shakila P"},{"family":"Anderlini","given":"Paolo"},{"family":"Bensinger","given":"William I"},{"family":"Leitman","given":"Susan F"},{"family":"Rowley","given":"Scott D"},{"family":"Bredeson","given":"Christopher"},{"family":"Carter","given":"Shelly L"},{"family":"Horowitz","given":"Mary M"},{"family":"Confer","given":"Dennis L"},{"family":"Blood and Marrow Transplant Clinical Trials Network"}],"authorYearDisplayFormat":false,"citation-label":"2890945","container-title":"The New England Journal of Medicine","container-title-short":"N. Engl. J. Med.","id":"2890945","invisible":false,"issue":"16","issued":{"date-parts":[["2012","10","18"]]},"journalAbbreviation":"N. Engl. J. Med.","page":"1487-1496","suppress-author":false,"title":"Peripheral-blood stem cells versus bone marrow from unrelated donors.","type":"article-journal","volume":"367"},{"First":false,"Last":false,"PMID":"11110679","abstract":"We analyzed engraftment of unrelated-donor (URD) bone marrow in 5246 patients who received transplants facilitated by the National Marrow Donor Program between August 1991 and June 1999. Among patients surviving at least 28 days, 4% had primary graft failure (failure to achieve an absolute neutrophil count &gt; 5 x 10(8)/L before death or second stem-cell infusion). Multivariate logistic regression analysis showed that engraftment was associated with marrow matched at HLA-A, HLA-B, and DRB1; higher cell dose; younger recipient; male recipient; and recipient from a non-African American ethnic group. More rapid myeloid engraftment was associated with marrow serologically matched at HLA-A and HLA-B, DRB1 match, higher cell dose (in non-T-cell-depleted cases), younger recipient, recipient seronegativity for cytomegalovirus (CMV), male donor, no methotrexate for graft-versus-host disease prophylaxis, and transplantation done in more recent years. A platelet count higher than 50 x 10(9)/L was achieved by 47% of patients by day 100. Conditional on survival to day 100, survival at 3 years was 61% in those with platelet engraftment at day 30, 58% in those with engraftment between day 30 and day 100, and 33% in those without engraftment at day 100 (P &lt; .0001). Factors favoring platelet engraftment were higher cell dose, DRB1 allele match, recipient seronegativity for CMV, HLA-A and HLA-B serologically matched donor, and male donor. Secondary graft failure occurred in 10% of patients achieving initial engraftment, and 18% of those patients are alive. These data demonstrate that quality of engraftment is an important predictor of survival after URD bone marrow transplantation.","author":[{"family":"Davies","given":"S M"},{"family":"Kollman","given":"C"},{"family":"Anasetti","given":"C"},{"family":"Antin","given":"J H"},{"family":"Gajewski","given":"J"},{"family":"Casper","given":"J T"},{"family":"Nademanee","given":"A"},{"family":"Noreen","given":"H"},{"family":"King","given":"R"},{"family":"Confer","given":"D"},{"family":"Kernan","given":"N A"}],"authorYearDisplayFormat":false,"citation-label":"5865103","container-title":"Blood","container-title-short":"Blood","id":"5865103","invisible":false,"issue":"13","issued":{"date-parts":[["2000","12","15"]]},"journalAbbreviation":"Blood","page":"4096-4102","suppress-author":false,"title":"Engraftment and survival after unrelated-donor bone marrow transplantation: a report from the national marrow donor program.","type":"article-journal","volume":"96"}]</w:instrText>
      </w:r>
      <w:r>
        <w:rPr>
          <w:rFonts w:ascii="Times New Roman" w:hAnsi="Times New Roman" w:cs="Times New Roman"/>
          <w:sz w:val="22"/>
          <w:szCs w:val="22"/>
        </w:rPr>
        <w:fldChar w:fldCharType="separate"/>
      </w:r>
      <w:r w:rsidRPr="00251DE1">
        <w:rPr>
          <w:rFonts w:ascii="Times New Roman" w:hAnsi="Times New Roman" w:cs="Times New Roman"/>
          <w:noProof/>
          <w:sz w:val="22"/>
          <w:szCs w:val="22"/>
          <w:vertAlign w:val="superscript"/>
        </w:rPr>
        <w:t>37,38</w:t>
      </w:r>
      <w:r>
        <w:rPr>
          <w:rFonts w:ascii="Times New Roman" w:hAnsi="Times New Roman" w:cs="Times New Roman"/>
          <w:sz w:val="22"/>
          <w:szCs w:val="22"/>
        </w:rPr>
        <w:fldChar w:fldCharType="end"/>
      </w:r>
      <w:r>
        <w:rPr>
          <w:rFonts w:ascii="Times New Roman" w:hAnsi="Times New Roman" w:cs="Times New Roman"/>
          <w:sz w:val="22"/>
          <w:szCs w:val="22"/>
        </w:rPr>
        <w:t xml:space="preserve">, and we therefore included intercept terms for unmodified peripheral blood stem cell grafts (PBSC), bone marrow (BM), </w:t>
      </w:r>
      <w:r w:rsidRPr="00F81A68">
        <w:rPr>
          <w:rFonts w:ascii="Times New Roman" w:hAnsi="Times New Roman" w:cs="Times New Roman"/>
          <w:sz w:val="22"/>
          <w:szCs w:val="22"/>
        </w:rPr>
        <w:t>T-cell depleted graft (</w:t>
      </w:r>
      <w:r w:rsidRPr="00F81A68">
        <w:rPr>
          <w:rFonts w:ascii="Times New Roman" w:hAnsi="Times New Roman" w:cs="Times New Roman"/>
          <w:i/>
          <w:sz w:val="22"/>
          <w:szCs w:val="22"/>
        </w:rPr>
        <w:t>ex</w:t>
      </w:r>
      <w:r w:rsidRPr="00F81A68">
        <w:rPr>
          <w:rFonts w:ascii="Times New Roman" w:hAnsi="Times New Roman" w:cs="Times New Roman"/>
          <w:i/>
          <w:sz w:val="22"/>
          <w:szCs w:val="22"/>
        </w:rPr>
        <w:noBreakHyphen/>
        <w:t>vivo</w:t>
      </w:r>
      <w:r w:rsidRPr="00F81A68">
        <w:rPr>
          <w:rFonts w:ascii="Times New Roman" w:hAnsi="Times New Roman" w:cs="Times New Roman"/>
          <w:sz w:val="22"/>
          <w:szCs w:val="22"/>
        </w:rPr>
        <w:t>) by CD34+selection</w:t>
      </w:r>
      <w:r>
        <w:rPr>
          <w:rFonts w:ascii="Times New Roman" w:hAnsi="Times New Roman" w:cs="Times New Roman"/>
          <w:sz w:val="22"/>
          <w:szCs w:val="22"/>
        </w:rPr>
        <w:t xml:space="preserve"> (TCD) and cord blood (cord) in stage 1. </w:t>
      </w:r>
    </w:p>
    <w:p w14:paraId="5BDDCC55" w14:textId="5C92928D" w:rsidR="00380114" w:rsidRDefault="00380114" w:rsidP="00B5106F">
      <w:pPr>
        <w:spacing w:line="480" w:lineRule="auto"/>
        <w:ind w:firstLine="720"/>
        <w:rPr>
          <w:rFonts w:ascii="Times New Roman" w:hAnsi="Times New Roman" w:cs="Times New Roman"/>
          <w:sz w:val="22"/>
          <w:szCs w:val="22"/>
        </w:rPr>
      </w:pPr>
      <w:r w:rsidRPr="004B0B7C">
        <w:rPr>
          <w:rFonts w:ascii="Times New Roman" w:hAnsi="Times New Roman" w:cs="Times New Roman"/>
          <w:sz w:val="22"/>
          <w:szCs w:val="22"/>
        </w:rPr>
        <w:t>Patients received a variety of conditioning regimens comprised of various doses of chemotherapy and, in some cases, irradiation. There are dozens of conditioning regimes for HCT</w:t>
      </w:r>
      <w:r>
        <w:rPr>
          <w:rFonts w:ascii="Times New Roman" w:hAnsi="Times New Roman" w:cs="Times New Roman"/>
          <w:sz w:val="22"/>
          <w:szCs w:val="22"/>
        </w:rPr>
        <w:fldChar w:fldCharType="begin"/>
      </w:r>
      <w:r>
        <w:rPr>
          <w:rFonts w:ascii="Times New Roman" w:hAnsi="Times New Roman" w:cs="Times New Roman"/>
          <w:sz w:val="22"/>
          <w:szCs w:val="22"/>
        </w:rPr>
        <w:instrText>ADDIN F1000_CSL_CITATION&lt;~#@#~&gt;[{"DOI":"10.1182/blood-2014-02-514778","First":false,"Last":false,"PMCID":"PMC4102707","PMID":"24914142","abstract":"An essential component of allogeneic and autologous hematopoietic cell transplantation (HCT) is the conditioning regimen administered before the hematopoietic cell infusion. Early regimens relied on dose intensity, assuming that high-dose chemoradiotherapy would eliminate malignant disease and reinfusion of the graft would then restore hematopoiesis. However, as the contribution of graft-versus-tumor effects to the success of allogeneic HCT was recognized over time, in an effort to exploit these, many investigators lowered the dose of radiation and chemotherapeutic agents in the preparative regimen. This resulted in a major paradigm shift, and consequently, the pool of eligible patients underwent a remarkable expansion. In this article, we provide a review of the definition of high-dose, reduced-intensity, and nonmyeloablative conditioning regimens, the most commonly used agents and combinations, and the evolution of some early regimens. We also provide a brief review of the toxicities associated with these regimens. &lt;br&gt;&lt;br&gt;© 2014 by The American Society of Hematology.","author":[{"family":"Gyurkocza","given":"Boglarka"},{"family":"Sandmaier","given":"Brenda M"}],"authorYearDisplayFormat":false,"citation-label":"7278680","container-title":"Blood","container-title-short":"Blood","id":"7278680","invisible":false,"issue":"3","issued":{"date-parts":[["2014","7","17"]]},"journalAbbreviation":"Blood","page":"344-353","suppress-author":false,"title":"Conditioning regimens for hematopoietic cell transplantation: one size does not fit all.","type":"article-journal","volume":"124"}]</w:instrText>
      </w:r>
      <w:r>
        <w:rPr>
          <w:rFonts w:ascii="Times New Roman" w:hAnsi="Times New Roman" w:cs="Times New Roman"/>
          <w:sz w:val="22"/>
          <w:szCs w:val="22"/>
        </w:rPr>
        <w:fldChar w:fldCharType="separate"/>
      </w:r>
      <w:r w:rsidRPr="004B0B7C">
        <w:rPr>
          <w:rFonts w:ascii="Times New Roman" w:hAnsi="Times New Roman" w:cs="Times New Roman"/>
          <w:noProof/>
          <w:sz w:val="22"/>
          <w:szCs w:val="22"/>
          <w:vertAlign w:val="superscript"/>
        </w:rPr>
        <w:t>1</w:t>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4B0B7C">
        <w:rPr>
          <w:rFonts w:ascii="Times New Roman" w:hAnsi="Times New Roman" w:cs="Times New Roman"/>
          <w:sz w:val="22"/>
          <w:szCs w:val="22"/>
        </w:rPr>
        <w:t xml:space="preserve">The standard approach in the </w:t>
      </w:r>
      <w:proofErr w:type="spellStart"/>
      <w:r w:rsidRPr="004B0B7C">
        <w:rPr>
          <w:rFonts w:ascii="Times New Roman" w:hAnsi="Times New Roman" w:cs="Times New Roman"/>
          <w:sz w:val="22"/>
          <w:szCs w:val="22"/>
        </w:rPr>
        <w:t>allo</w:t>
      </w:r>
      <w:proofErr w:type="spellEnd"/>
      <w:r w:rsidRPr="004B0B7C">
        <w:rPr>
          <w:rFonts w:ascii="Times New Roman" w:hAnsi="Times New Roman" w:cs="Times New Roman"/>
          <w:sz w:val="22"/>
          <w:szCs w:val="22"/>
        </w:rPr>
        <w:t xml:space="preserve">-HCT field for observational studies is to categorize them by the </w:t>
      </w:r>
      <w:proofErr w:type="spellStart"/>
      <w:r w:rsidRPr="004B0B7C">
        <w:rPr>
          <w:rFonts w:ascii="Times New Roman" w:hAnsi="Times New Roman" w:cs="Times New Roman"/>
          <w:sz w:val="22"/>
          <w:szCs w:val="22"/>
        </w:rPr>
        <w:t>Bacigalupo</w:t>
      </w:r>
      <w:proofErr w:type="spellEnd"/>
      <w:r w:rsidRPr="004B0B7C">
        <w:rPr>
          <w:rFonts w:ascii="Times New Roman" w:hAnsi="Times New Roman" w:cs="Times New Roman"/>
          <w:sz w:val="22"/>
          <w:szCs w:val="22"/>
        </w:rPr>
        <w:t xml:space="preserve"> classification,</w:t>
      </w:r>
      <w:r>
        <w:rPr>
          <w:rFonts w:ascii="Times New Roman" w:hAnsi="Times New Roman" w:cs="Times New Roman"/>
          <w:sz w:val="22"/>
          <w:szCs w:val="22"/>
        </w:rPr>
        <w:t xml:space="preserve"> </w:t>
      </w:r>
      <w:r w:rsidRPr="004B0B7C">
        <w:rPr>
          <w:rFonts w:ascii="Times New Roman" w:hAnsi="Times New Roman" w:cs="Times New Roman"/>
          <w:sz w:val="22"/>
          <w:szCs w:val="22"/>
        </w:rPr>
        <w:t>which uses three graded categories from most to least intense</w:t>
      </w:r>
      <w:r>
        <w:rPr>
          <w:rFonts w:ascii="Times New Roman" w:hAnsi="Times New Roman" w:cs="Times New Roman"/>
          <w:sz w:val="22"/>
          <w:szCs w:val="22"/>
        </w:rPr>
        <w:fldChar w:fldCharType="begin"/>
      </w:r>
      <w:r>
        <w:rPr>
          <w:rFonts w:ascii="Times New Roman" w:hAnsi="Times New Roman" w:cs="Times New Roman"/>
          <w:sz w:val="22"/>
          <w:szCs w:val="22"/>
        </w:rPr>
        <w:instrText>ADDIN F1000_CSL_CITATION&lt;~#@#~&gt;[{"DOI":"10.1016/j.bbmt.2009.07.004","First":false,"Last":false,"PMCID":"PMC2861656","PMID":"19896087","abstract":"Defining conditioning regimen intensity has become a critical issue for the hemopoietic stem cell transplant (HSCT) community. In the present report we propose to define conditioning regimens in 3 categories: (1) myeloablative (MA) conditioning, (2) reduced-intensity conditioning (RIC), and (3) nonmyeloablative (NMA) conditioning. Assignment to these categories is based on the duration of cytopenia and on the requirement for stem cell (SC) support: MA regimens cause irreversible cytopenia and SC support is mandatory. NMA regimens cause minimal cytopenia, and can be given also without SC support. RIC regimens do not fit criteria for MA or NMA regimens: they cause cytopenia of variable duration, and should be given with stem cell support, although cytopenia may not be irreversible. This report also assigns commonly used regimens to one of these categories, based upon the agents, dose, or combinations. Standardized classification of conditioning regimen intensities will allow comparison across studies and interpretation of study results.","author":[{"family":"Bacigalupo","given":"Andrea"},{"family":"Ballen","given":"Karen"},{"family":"Rizzo","given":"Doug"},{"family":"Giralt","given":"Sergio"},{"family":"Lazarus","given":"Hillard"},{"family":"Ho","given":"Vincent"},{"family":"Apperley","given":"Jane"},{"family":"Slavin","given":"Shimon"},{"family":"Pasquini","given":"Marcelo"},{"family":"Sandmaier","given":"Brenda M"},{"family":"Barrett","given":"John"},{"family":"Blaise","given":"Didier"},{"family":"Lowski","given":"Robert"},{"family":"Horowitz","given":"Mary"}],"authorYearDisplayFormat":false,"citation-label":"1852991","container-title":"Biology of Blood and Marrow Transplantation","container-title-short":"Biol. Blood Marrow Transplant.","id":"1852991","invisible":false,"issue":"12","issued":{"date-parts":[["2009","12"]]},"journalAbbreviation":"Biol. Blood Marrow Transplant.","page":"1628-1633","suppress-author":false,"title":"Defining the intensity of conditioning regimens: working definitions.","type":"article-journal","volume":"15"}]</w:instrText>
      </w:r>
      <w:r>
        <w:rPr>
          <w:rFonts w:ascii="Times New Roman" w:hAnsi="Times New Roman" w:cs="Times New Roman"/>
          <w:sz w:val="22"/>
          <w:szCs w:val="22"/>
        </w:rPr>
        <w:fldChar w:fldCharType="separate"/>
      </w:r>
      <w:r w:rsidRPr="004B0B7C">
        <w:rPr>
          <w:rFonts w:ascii="Times New Roman" w:hAnsi="Times New Roman" w:cs="Times New Roman"/>
          <w:noProof/>
          <w:sz w:val="22"/>
          <w:szCs w:val="22"/>
          <w:vertAlign w:val="superscript"/>
        </w:rPr>
        <w:t>1</w:t>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4B0B7C">
        <w:rPr>
          <w:rFonts w:ascii="Times New Roman" w:hAnsi="Times New Roman" w:cs="Times New Roman"/>
          <w:sz w:val="22"/>
          <w:szCs w:val="22"/>
        </w:rPr>
        <w:t>Myeloablative (“ABLATIVE”), Reduced Intensity (“REDUCE”), and Nonmyeloablative (“NONABL”)</w:t>
      </w:r>
      <w:r>
        <w:rPr>
          <w:rFonts w:ascii="Times New Roman" w:hAnsi="Times New Roman" w:cs="Times New Roman"/>
          <w:sz w:val="22"/>
          <w:szCs w:val="22"/>
        </w:rPr>
        <w:t>. We included the conditioning intensity as indicator variables.</w:t>
      </w:r>
    </w:p>
    <w:p w14:paraId="66F4CAFE" w14:textId="77777777" w:rsidR="00380114" w:rsidRDefault="00380114" w:rsidP="00380114">
      <w:pPr>
        <w:spacing w:line="480" w:lineRule="auto"/>
        <w:rPr>
          <w:rFonts w:ascii="Times New Roman" w:hAnsi="Times New Roman" w:cs="Times New Roman"/>
          <w:sz w:val="22"/>
          <w:szCs w:val="22"/>
        </w:rPr>
      </w:pPr>
    </w:p>
    <w:p w14:paraId="581C649D" w14:textId="77777777" w:rsidR="00380114" w:rsidRPr="00476E75" w:rsidRDefault="00380114" w:rsidP="00380114">
      <w:pPr>
        <w:spacing w:line="480" w:lineRule="auto"/>
        <w:rPr>
          <w:rFonts w:ascii="Times New Roman" w:hAnsi="Times New Roman" w:cs="Times New Roman"/>
          <w:i/>
          <w:sz w:val="22"/>
          <w:szCs w:val="22"/>
        </w:rPr>
      </w:pPr>
      <w:r>
        <w:rPr>
          <w:rFonts w:ascii="Times New Roman" w:hAnsi="Times New Roman" w:cs="Times New Roman"/>
          <w:i/>
          <w:sz w:val="22"/>
          <w:szCs w:val="22"/>
        </w:rPr>
        <w:t xml:space="preserve">Data exclusion for white blood cell dynamic (stage 1 and 2)  </w:t>
      </w:r>
    </w:p>
    <w:p w14:paraId="544CBBEB" w14:textId="1375935A" w:rsidR="00380114" w:rsidRDefault="00380114" w:rsidP="00380114">
      <w:pPr>
        <w:spacing w:line="480" w:lineRule="auto"/>
        <w:rPr>
          <w:rFonts w:ascii="Times New Roman" w:hAnsi="Times New Roman" w:cs="Times New Roman"/>
          <w:sz w:val="22"/>
          <w:szCs w:val="22"/>
        </w:rPr>
      </w:pPr>
      <w:r>
        <w:rPr>
          <w:rFonts w:ascii="Times New Roman" w:hAnsi="Times New Roman" w:cs="Times New Roman"/>
          <w:sz w:val="22"/>
          <w:szCs w:val="22"/>
        </w:rPr>
        <w:t>Our dynamics analyses focus on the daily changes in white blood cell counts from one day to another during recovery of the circulatory immune cell system. To analyze the kinetics of this reconstitution, we excluded data when</w:t>
      </w:r>
      <w:r w:rsidR="00C03376">
        <w:rPr>
          <w:rFonts w:ascii="Times New Roman" w:hAnsi="Times New Roman" w:cs="Times New Roman"/>
          <w:sz w:val="22"/>
          <w:szCs w:val="22"/>
        </w:rPr>
        <w:t xml:space="preserve"> (see also flow chart below)</w:t>
      </w:r>
      <w:r>
        <w:rPr>
          <w:rFonts w:ascii="Times New Roman" w:hAnsi="Times New Roman" w:cs="Times New Roman"/>
          <w:sz w:val="22"/>
          <w:szCs w:val="22"/>
        </w:rPr>
        <w:t>:</w:t>
      </w:r>
    </w:p>
    <w:p w14:paraId="1ED1FAE4" w14:textId="77777777" w:rsidR="00380114" w:rsidRDefault="00380114" w:rsidP="0038011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On the day of HCT, patients were younger than 18 years</w:t>
      </w:r>
      <w:r w:rsidRPr="00502B80">
        <w:rPr>
          <w:rFonts w:ascii="Times New Roman" w:hAnsi="Times New Roman" w:cs="Times New Roman"/>
          <w:sz w:val="22"/>
          <w:szCs w:val="22"/>
        </w:rPr>
        <w:t xml:space="preserve"> </w:t>
      </w:r>
    </w:p>
    <w:p w14:paraId="7892D278" w14:textId="77777777" w:rsidR="00380114" w:rsidRDefault="00380114" w:rsidP="0038011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Patients did not engraft </w:t>
      </w:r>
    </w:p>
    <w:p w14:paraId="33A13709" w14:textId="77777777" w:rsidR="00380114" w:rsidRDefault="00380114" w:rsidP="0038011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Patients had a second transplant within 100 days </w:t>
      </w:r>
    </w:p>
    <w:p w14:paraId="4AC92E68" w14:textId="77777777" w:rsidR="00380114" w:rsidRDefault="00380114" w:rsidP="0038011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Samples were taken outside the window of 100 days starting from neutrophil engraftment</w:t>
      </w:r>
    </w:p>
    <w:p w14:paraId="23063954" w14:textId="77777777" w:rsidR="00380114" w:rsidRDefault="00380114" w:rsidP="0038011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In case there were multiple blood samples per patient and day, the one closest to noon was chosen</w:t>
      </w:r>
    </w:p>
    <w:p w14:paraId="40D2146C" w14:textId="77777777" w:rsidR="00380114" w:rsidRDefault="00380114" w:rsidP="0038011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A patient died within the first 3 months after HCT</w:t>
      </w:r>
    </w:p>
    <w:p w14:paraId="566642F5" w14:textId="20A29573" w:rsidR="00380114" w:rsidRDefault="00380114" w:rsidP="00380114">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 xml:space="preserve">A sample was taken within 1 week of FMT </w:t>
      </w:r>
    </w:p>
    <w:p w14:paraId="184C27A2" w14:textId="395460E1" w:rsidR="00C03376" w:rsidRPr="00C03376" w:rsidRDefault="00C03376" w:rsidP="00C03376">
      <w:pPr>
        <w:spacing w:line="480" w:lineRule="auto"/>
        <w:rPr>
          <w:rFonts w:ascii="Times New Roman" w:hAnsi="Times New Roman" w:cs="Times New Roman"/>
          <w:sz w:val="22"/>
          <w:szCs w:val="22"/>
        </w:rPr>
      </w:pPr>
    </w:p>
    <w:p w14:paraId="47881D93" w14:textId="57BD984B" w:rsidR="004908CF" w:rsidRDefault="00380114" w:rsidP="00380114">
      <w:pPr>
        <w:spacing w:line="480" w:lineRule="auto"/>
        <w:rPr>
          <w:rFonts w:ascii="Times New Roman" w:hAnsi="Times New Roman" w:cs="Times New Roman"/>
          <w:sz w:val="22"/>
          <w:szCs w:val="22"/>
        </w:rPr>
      </w:pPr>
      <w:r>
        <w:rPr>
          <w:rFonts w:ascii="Times New Roman" w:hAnsi="Times New Roman" w:cs="Times New Roman"/>
          <w:sz w:val="22"/>
          <w:szCs w:val="22"/>
        </w:rPr>
        <w:t>This data exclusion is encoded as two separate columns in the tidy data table WBC.csv, by a Boolean indicator column named “include”, and the column “</w:t>
      </w:r>
      <w:proofErr w:type="spellStart"/>
      <w:r>
        <w:rPr>
          <w:rFonts w:ascii="Times New Roman" w:hAnsi="Times New Roman" w:cs="Times New Roman"/>
          <w:sz w:val="22"/>
          <w:szCs w:val="22"/>
        </w:rPr>
        <w:t>exclude_reason</w:t>
      </w:r>
      <w:proofErr w:type="spellEnd"/>
      <w:r>
        <w:rPr>
          <w:rFonts w:ascii="Times New Roman" w:hAnsi="Times New Roman" w:cs="Times New Roman"/>
          <w:sz w:val="22"/>
          <w:szCs w:val="22"/>
        </w:rPr>
        <w:t>” of string type</w:t>
      </w:r>
      <w:r w:rsidR="004908CF">
        <w:rPr>
          <w:rFonts w:ascii="Times New Roman" w:hAnsi="Times New Roman" w:cs="Times New Roman"/>
          <w:sz w:val="22"/>
          <w:szCs w:val="22"/>
        </w:rPr>
        <w:t xml:space="preserve">. </w:t>
      </w:r>
    </w:p>
    <w:p w14:paraId="1F886C62" w14:textId="75912741" w:rsidR="00DF779D" w:rsidRDefault="00DF779D" w:rsidP="00380114">
      <w:pPr>
        <w:spacing w:line="480" w:lineRule="auto"/>
        <w:rPr>
          <w:rFonts w:ascii="Times New Roman" w:hAnsi="Times New Roman" w:cs="Times New Roman"/>
          <w:sz w:val="22"/>
          <w:szCs w:val="22"/>
        </w:rPr>
      </w:pPr>
    </w:p>
    <w:p w14:paraId="5C9BEB10" w14:textId="24BCC322" w:rsidR="00DF779D" w:rsidRDefault="00DF779D" w:rsidP="00380114">
      <w:pPr>
        <w:spacing w:line="48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896A586" wp14:editId="55766C62">
            <wp:extent cx="5727700" cy="1640032"/>
            <wp:effectExtent l="0" t="63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exclusion.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5727700" cy="1640032"/>
                    </a:xfrm>
                    <a:prstGeom prst="rect">
                      <a:avLst/>
                    </a:prstGeom>
                  </pic:spPr>
                </pic:pic>
              </a:graphicData>
            </a:graphic>
          </wp:inline>
        </w:drawing>
      </w:r>
    </w:p>
    <w:p w14:paraId="148A9D2F" w14:textId="7D62EC88" w:rsidR="00DF779D" w:rsidRDefault="00DF779D" w:rsidP="00380114">
      <w:pPr>
        <w:spacing w:line="480" w:lineRule="auto"/>
        <w:rPr>
          <w:rFonts w:ascii="Times New Roman" w:hAnsi="Times New Roman" w:cs="Times New Roman"/>
          <w:sz w:val="22"/>
          <w:szCs w:val="22"/>
        </w:rPr>
      </w:pPr>
      <w:r>
        <w:rPr>
          <w:rFonts w:ascii="Times New Roman" w:hAnsi="Times New Roman" w:cs="Times New Roman"/>
          <w:i/>
          <w:sz w:val="22"/>
          <w:szCs w:val="22"/>
        </w:rPr>
        <w:t xml:space="preserve">Shotgun sequencing data processing </w:t>
      </w:r>
    </w:p>
    <w:p w14:paraId="75033058" w14:textId="77777777" w:rsidR="00DF779D" w:rsidRDefault="00DF779D" w:rsidP="00DF779D">
      <w:pPr>
        <w:spacing w:line="480" w:lineRule="auto"/>
        <w:rPr>
          <w:rFonts w:ascii="Times New Roman" w:hAnsi="Times New Roman" w:cs="Times New Roman"/>
          <w:sz w:val="22"/>
          <w:szCs w:val="22"/>
        </w:rPr>
      </w:pPr>
      <w:r w:rsidRPr="00DF779D">
        <w:rPr>
          <w:rFonts w:ascii="Times New Roman" w:hAnsi="Times New Roman" w:cs="Times New Roman"/>
          <w:sz w:val="22"/>
          <w:szCs w:val="22"/>
        </w:rPr>
        <w:t xml:space="preserve">We removed normal optical duplicates in paired FASTQ files using the clumpify.sh tool from the </w:t>
      </w:r>
      <w:proofErr w:type="spellStart"/>
      <w:r w:rsidRPr="00DF779D">
        <w:rPr>
          <w:rFonts w:ascii="Times New Roman" w:hAnsi="Times New Roman" w:cs="Times New Roman"/>
          <w:sz w:val="22"/>
          <w:szCs w:val="22"/>
        </w:rPr>
        <w:t>BBMap</w:t>
      </w:r>
      <w:proofErr w:type="spellEnd"/>
      <w:r w:rsidRPr="00DF779D">
        <w:rPr>
          <w:rFonts w:ascii="Times New Roman" w:hAnsi="Times New Roman" w:cs="Times New Roman"/>
          <w:sz w:val="22"/>
          <w:szCs w:val="22"/>
        </w:rPr>
        <w:t xml:space="preserve"> package </w:t>
      </w:r>
      <w:r>
        <w:rPr>
          <w:rFonts w:ascii="Times New Roman" w:hAnsi="Times New Roman" w:cs="Times New Roman"/>
          <w:sz w:val="22"/>
          <w:szCs w:val="22"/>
        </w:rPr>
        <w:t>(</w:t>
      </w:r>
      <w:proofErr w:type="spellStart"/>
      <w:r w:rsidRPr="00DF779D">
        <w:rPr>
          <w:rFonts w:ascii="Times New Roman" w:hAnsi="Times New Roman" w:cs="Times New Roman"/>
          <w:sz w:val="22"/>
          <w:szCs w:val="22"/>
        </w:rPr>
        <w:t>BBMap</w:t>
      </w:r>
      <w:proofErr w:type="spellEnd"/>
      <w:r w:rsidRPr="00DF779D">
        <w:rPr>
          <w:rFonts w:ascii="Times New Roman" w:hAnsi="Times New Roman" w:cs="Times New Roman"/>
          <w:sz w:val="22"/>
          <w:szCs w:val="22"/>
        </w:rPr>
        <w:t xml:space="preserve"> – Bushnell B. – </w:t>
      </w:r>
      <w:hyperlink r:id="rId9" w:history="1">
        <w:r w:rsidRPr="00CE05AB">
          <w:rPr>
            <w:rStyle w:val="Hyperlink"/>
            <w:rFonts w:ascii="Times New Roman" w:hAnsi="Times New Roman" w:cs="Times New Roman"/>
            <w:sz w:val="22"/>
            <w:szCs w:val="22"/>
          </w:rPr>
          <w:t>https://www.sourceforge.net/projects/bbmap/</w:t>
        </w:r>
      </w:hyperlink>
      <w:r>
        <w:rPr>
          <w:rFonts w:ascii="Times New Roman" w:hAnsi="Times New Roman" w:cs="Times New Roman"/>
          <w:sz w:val="22"/>
          <w:szCs w:val="22"/>
        </w:rPr>
        <w:t xml:space="preserve">), </w:t>
      </w:r>
      <w:r w:rsidRPr="00DF779D">
        <w:rPr>
          <w:rFonts w:ascii="Times New Roman" w:hAnsi="Times New Roman" w:cs="Times New Roman"/>
          <w:sz w:val="22"/>
          <w:szCs w:val="22"/>
        </w:rPr>
        <w:t>produc</w:t>
      </w:r>
      <w:r>
        <w:rPr>
          <w:rFonts w:ascii="Times New Roman" w:hAnsi="Times New Roman" w:cs="Times New Roman"/>
          <w:sz w:val="22"/>
          <w:szCs w:val="22"/>
        </w:rPr>
        <w:t>ing</w:t>
      </w:r>
      <w:r w:rsidRPr="00DF779D">
        <w:rPr>
          <w:rFonts w:ascii="Times New Roman" w:hAnsi="Times New Roman" w:cs="Times New Roman"/>
          <w:sz w:val="22"/>
          <w:szCs w:val="22"/>
        </w:rPr>
        <w:t xml:space="preserve"> a </w:t>
      </w:r>
      <w:r w:rsidRPr="00DF779D">
        <w:rPr>
          <w:rFonts w:ascii="Times New Roman" w:hAnsi="Times New Roman" w:cs="Times New Roman"/>
          <w:sz w:val="22"/>
          <w:szCs w:val="22"/>
        </w:rPr>
        <w:lastRenderedPageBreak/>
        <w:t xml:space="preserve">pair of deduped read files. Using the bbduk.sh script in the </w:t>
      </w:r>
      <w:proofErr w:type="spellStart"/>
      <w:r w:rsidRPr="00DF779D">
        <w:rPr>
          <w:rFonts w:ascii="Times New Roman" w:hAnsi="Times New Roman" w:cs="Times New Roman"/>
          <w:sz w:val="22"/>
          <w:szCs w:val="22"/>
        </w:rPr>
        <w:t>BBMap</w:t>
      </w:r>
      <w:proofErr w:type="spellEnd"/>
      <w:r w:rsidRPr="00DF779D">
        <w:rPr>
          <w:rFonts w:ascii="Times New Roman" w:hAnsi="Times New Roman" w:cs="Times New Roman"/>
          <w:sz w:val="22"/>
          <w:szCs w:val="22"/>
        </w:rPr>
        <w:t xml:space="preserve"> package, </w:t>
      </w:r>
      <w:r>
        <w:rPr>
          <w:rFonts w:ascii="Times New Roman" w:hAnsi="Times New Roman" w:cs="Times New Roman"/>
          <w:sz w:val="22"/>
          <w:szCs w:val="22"/>
        </w:rPr>
        <w:t xml:space="preserve">we </w:t>
      </w:r>
      <w:proofErr w:type="spellStart"/>
      <w:r w:rsidRPr="00DF779D">
        <w:rPr>
          <w:rFonts w:ascii="Times New Roman" w:hAnsi="Times New Roman" w:cs="Times New Roman"/>
          <w:sz w:val="22"/>
          <w:szCs w:val="22"/>
        </w:rPr>
        <w:t>trim</w:t>
      </w:r>
      <w:r>
        <w:rPr>
          <w:rFonts w:ascii="Times New Roman" w:hAnsi="Times New Roman" w:cs="Times New Roman"/>
          <w:sz w:val="22"/>
          <w:szCs w:val="22"/>
        </w:rPr>
        <w:t>mmed</w:t>
      </w:r>
      <w:proofErr w:type="spellEnd"/>
      <w:r w:rsidRPr="00DF779D">
        <w:rPr>
          <w:rFonts w:ascii="Times New Roman" w:hAnsi="Times New Roman" w:cs="Times New Roman"/>
          <w:sz w:val="22"/>
          <w:szCs w:val="22"/>
        </w:rPr>
        <w:t xml:space="preserve"> the right and left side of a read in a pair to Q10 using the </w:t>
      </w:r>
      <w:proofErr w:type="spellStart"/>
      <w:r w:rsidRPr="00DF779D">
        <w:rPr>
          <w:rFonts w:ascii="Times New Roman" w:hAnsi="Times New Roman" w:cs="Times New Roman"/>
          <w:sz w:val="22"/>
          <w:szCs w:val="22"/>
        </w:rPr>
        <w:t>Phred</w:t>
      </w:r>
      <w:proofErr w:type="spellEnd"/>
      <w:r w:rsidRPr="00DF779D">
        <w:rPr>
          <w:rFonts w:ascii="Times New Roman" w:hAnsi="Times New Roman" w:cs="Times New Roman"/>
          <w:sz w:val="22"/>
          <w:szCs w:val="22"/>
        </w:rPr>
        <w:t xml:space="preserve"> algorithm</w:t>
      </w:r>
      <w:r>
        <w:rPr>
          <w:rFonts w:ascii="Times New Roman" w:hAnsi="Times New Roman" w:cs="Times New Roman"/>
          <w:sz w:val="22"/>
          <w:szCs w:val="22"/>
        </w:rPr>
        <w:t>. A</w:t>
      </w:r>
      <w:r w:rsidRPr="00DF779D">
        <w:rPr>
          <w:rFonts w:ascii="Times New Roman" w:hAnsi="Times New Roman" w:cs="Times New Roman"/>
          <w:sz w:val="22"/>
          <w:szCs w:val="22"/>
        </w:rPr>
        <w:t xml:space="preserve"> pair of reads </w:t>
      </w:r>
      <w:r>
        <w:rPr>
          <w:rFonts w:ascii="Times New Roman" w:hAnsi="Times New Roman" w:cs="Times New Roman"/>
          <w:sz w:val="22"/>
          <w:szCs w:val="22"/>
        </w:rPr>
        <w:t xml:space="preserve">was dropped </w:t>
      </w:r>
      <w:r w:rsidRPr="00DF779D">
        <w:rPr>
          <w:rFonts w:ascii="Times New Roman" w:hAnsi="Times New Roman" w:cs="Times New Roman"/>
          <w:sz w:val="22"/>
          <w:szCs w:val="22"/>
        </w:rPr>
        <w:t xml:space="preserve">if any one of them has a length shorter than 51 nucleotides after trimming. </w:t>
      </w:r>
      <w:r>
        <w:rPr>
          <w:rFonts w:ascii="Times New Roman" w:hAnsi="Times New Roman" w:cs="Times New Roman"/>
          <w:sz w:val="22"/>
          <w:szCs w:val="22"/>
        </w:rPr>
        <w:t>We t</w:t>
      </w:r>
      <w:r w:rsidRPr="00DF779D">
        <w:rPr>
          <w:rFonts w:ascii="Times New Roman" w:hAnsi="Times New Roman" w:cs="Times New Roman"/>
          <w:sz w:val="22"/>
          <w:szCs w:val="22"/>
        </w:rPr>
        <w:t>rim 3’</w:t>
      </w:r>
      <w:r>
        <w:rPr>
          <w:rFonts w:ascii="Times New Roman" w:hAnsi="Times New Roman" w:cs="Times New Roman"/>
          <w:sz w:val="22"/>
          <w:szCs w:val="22"/>
        </w:rPr>
        <w:t>-end</w:t>
      </w:r>
      <w:r w:rsidRPr="00DF779D">
        <w:rPr>
          <w:rFonts w:ascii="Times New Roman" w:hAnsi="Times New Roman" w:cs="Times New Roman"/>
          <w:sz w:val="22"/>
          <w:szCs w:val="22"/>
        </w:rPr>
        <w:t xml:space="preserve"> adapters using a </w:t>
      </w:r>
      <w:proofErr w:type="spellStart"/>
      <w:r w:rsidRPr="00DF779D">
        <w:rPr>
          <w:rFonts w:ascii="Times New Roman" w:hAnsi="Times New Roman" w:cs="Times New Roman"/>
          <w:sz w:val="22"/>
          <w:szCs w:val="22"/>
        </w:rPr>
        <w:t>kmer</w:t>
      </w:r>
      <w:proofErr w:type="spellEnd"/>
      <w:r w:rsidRPr="00DF779D">
        <w:rPr>
          <w:rFonts w:ascii="Times New Roman" w:hAnsi="Times New Roman" w:cs="Times New Roman"/>
          <w:sz w:val="22"/>
          <w:szCs w:val="22"/>
        </w:rPr>
        <w:t xml:space="preserve"> of length 31, and a shorter </w:t>
      </w:r>
      <w:proofErr w:type="spellStart"/>
      <w:r w:rsidRPr="00DF779D">
        <w:rPr>
          <w:rFonts w:ascii="Times New Roman" w:hAnsi="Times New Roman" w:cs="Times New Roman"/>
          <w:sz w:val="22"/>
          <w:szCs w:val="22"/>
        </w:rPr>
        <w:t>kmer</w:t>
      </w:r>
      <w:proofErr w:type="spellEnd"/>
      <w:r w:rsidRPr="00DF779D">
        <w:rPr>
          <w:rFonts w:ascii="Times New Roman" w:hAnsi="Times New Roman" w:cs="Times New Roman"/>
          <w:sz w:val="22"/>
          <w:szCs w:val="22"/>
        </w:rPr>
        <w:t xml:space="preserve"> of 9 at the </w:t>
      </w:r>
      <w:r>
        <w:rPr>
          <w:rFonts w:ascii="Times New Roman" w:hAnsi="Times New Roman" w:cs="Times New Roman"/>
          <w:sz w:val="22"/>
          <w:szCs w:val="22"/>
        </w:rPr>
        <w:t xml:space="preserve">other </w:t>
      </w:r>
      <w:r w:rsidRPr="00DF779D">
        <w:rPr>
          <w:rFonts w:ascii="Times New Roman" w:hAnsi="Times New Roman" w:cs="Times New Roman"/>
          <w:sz w:val="22"/>
          <w:szCs w:val="22"/>
        </w:rPr>
        <w:t xml:space="preserve">end of the read. One mismatch </w:t>
      </w:r>
      <w:r>
        <w:rPr>
          <w:rFonts w:ascii="Times New Roman" w:hAnsi="Times New Roman" w:cs="Times New Roman"/>
          <w:sz w:val="22"/>
          <w:szCs w:val="22"/>
        </w:rPr>
        <w:t>was</w:t>
      </w:r>
      <w:r w:rsidRPr="00DF779D">
        <w:rPr>
          <w:rFonts w:ascii="Times New Roman" w:hAnsi="Times New Roman" w:cs="Times New Roman"/>
          <w:sz w:val="22"/>
          <w:szCs w:val="22"/>
        </w:rPr>
        <w:t xml:space="preserve"> allowed in this process</w:t>
      </w:r>
      <w:r>
        <w:rPr>
          <w:rFonts w:ascii="Times New Roman" w:hAnsi="Times New Roman" w:cs="Times New Roman"/>
          <w:sz w:val="22"/>
          <w:szCs w:val="22"/>
        </w:rPr>
        <w:t>, and we</w:t>
      </w:r>
      <w:r w:rsidRPr="00DF779D">
        <w:rPr>
          <w:rFonts w:ascii="Times New Roman" w:hAnsi="Times New Roman" w:cs="Times New Roman"/>
          <w:sz w:val="22"/>
          <w:szCs w:val="22"/>
        </w:rPr>
        <w:t xml:space="preserve"> allow</w:t>
      </w:r>
      <w:r>
        <w:rPr>
          <w:rFonts w:ascii="Times New Roman" w:hAnsi="Times New Roman" w:cs="Times New Roman"/>
          <w:sz w:val="22"/>
          <w:szCs w:val="22"/>
        </w:rPr>
        <w:t>ed</w:t>
      </w:r>
      <w:r w:rsidRPr="00DF779D">
        <w:rPr>
          <w:rFonts w:ascii="Times New Roman" w:hAnsi="Times New Roman" w:cs="Times New Roman"/>
          <w:sz w:val="22"/>
          <w:szCs w:val="22"/>
        </w:rPr>
        <w:t xml:space="preserve"> adapter trimming based on pair overlap detection (which does not require known adapter sequences)</w:t>
      </w:r>
      <w:r>
        <w:rPr>
          <w:rFonts w:ascii="Times New Roman" w:hAnsi="Times New Roman" w:cs="Times New Roman"/>
          <w:sz w:val="22"/>
          <w:szCs w:val="22"/>
        </w:rPr>
        <w:t xml:space="preserve"> using the ‘</w:t>
      </w:r>
      <w:proofErr w:type="spellStart"/>
      <w:r>
        <w:rPr>
          <w:rFonts w:ascii="Times New Roman" w:hAnsi="Times New Roman" w:cs="Times New Roman"/>
          <w:sz w:val="22"/>
          <w:szCs w:val="22"/>
        </w:rPr>
        <w:t>tbo</w:t>
      </w:r>
      <w:proofErr w:type="spellEnd"/>
      <w:r>
        <w:rPr>
          <w:rFonts w:ascii="Times New Roman" w:hAnsi="Times New Roman" w:cs="Times New Roman"/>
          <w:sz w:val="22"/>
          <w:szCs w:val="22"/>
        </w:rPr>
        <w:t>’ parameter</w:t>
      </w:r>
      <w:r w:rsidRPr="00DF779D">
        <w:rPr>
          <w:rFonts w:ascii="Times New Roman" w:hAnsi="Times New Roman" w:cs="Times New Roman"/>
          <w:sz w:val="22"/>
          <w:szCs w:val="22"/>
        </w:rPr>
        <w:t xml:space="preserve">. </w:t>
      </w:r>
      <w:r>
        <w:rPr>
          <w:rFonts w:ascii="Times New Roman" w:hAnsi="Times New Roman" w:cs="Times New Roman"/>
          <w:sz w:val="22"/>
          <w:szCs w:val="22"/>
        </w:rPr>
        <w:t>We used the</w:t>
      </w:r>
      <w:r w:rsidRPr="00DF779D">
        <w:rPr>
          <w:rFonts w:ascii="Times New Roman" w:hAnsi="Times New Roman" w:cs="Times New Roman"/>
          <w:sz w:val="22"/>
          <w:szCs w:val="22"/>
        </w:rPr>
        <w:t xml:space="preserve"> </w:t>
      </w:r>
      <w:r>
        <w:rPr>
          <w:rFonts w:ascii="Times New Roman" w:hAnsi="Times New Roman" w:cs="Times New Roman"/>
          <w:sz w:val="22"/>
          <w:szCs w:val="22"/>
        </w:rPr>
        <w:t>‘</w:t>
      </w:r>
      <w:proofErr w:type="spellStart"/>
      <w:r w:rsidRPr="00DF779D">
        <w:rPr>
          <w:rFonts w:ascii="Times New Roman" w:hAnsi="Times New Roman" w:cs="Times New Roman"/>
          <w:sz w:val="22"/>
          <w:szCs w:val="22"/>
        </w:rPr>
        <w:t>tpe</w:t>
      </w:r>
      <w:proofErr w:type="spellEnd"/>
      <w:r>
        <w:rPr>
          <w:rFonts w:ascii="Times New Roman" w:hAnsi="Times New Roman" w:cs="Times New Roman"/>
          <w:sz w:val="22"/>
          <w:szCs w:val="22"/>
        </w:rPr>
        <w:t>’ parameter</w:t>
      </w:r>
      <w:r w:rsidRPr="00DF779D">
        <w:rPr>
          <w:rFonts w:ascii="Times New Roman" w:hAnsi="Times New Roman" w:cs="Times New Roman"/>
          <w:sz w:val="22"/>
          <w:szCs w:val="22"/>
        </w:rPr>
        <w:t xml:space="preserve"> to trim the pair of reads to the same length.</w:t>
      </w:r>
    </w:p>
    <w:p w14:paraId="5E7CC2C4" w14:textId="77777777" w:rsidR="00DF779D" w:rsidRDefault="00DF779D" w:rsidP="00DF779D">
      <w:pPr>
        <w:spacing w:line="480" w:lineRule="auto"/>
        <w:rPr>
          <w:rFonts w:ascii="Times New Roman" w:hAnsi="Times New Roman" w:cs="Times New Roman"/>
          <w:sz w:val="22"/>
          <w:szCs w:val="22"/>
        </w:rPr>
      </w:pPr>
    </w:p>
    <w:p w14:paraId="2B768B1F" w14:textId="53612E43" w:rsidR="006A1821" w:rsidRPr="00DF779D" w:rsidRDefault="00DF779D" w:rsidP="00DF779D">
      <w:pPr>
        <w:spacing w:line="480" w:lineRule="auto"/>
        <w:rPr>
          <w:rFonts w:ascii="Times New Roman" w:hAnsi="Times New Roman" w:cs="Times New Roman"/>
          <w:sz w:val="22"/>
          <w:szCs w:val="22"/>
        </w:rPr>
      </w:pPr>
      <w:r>
        <w:rPr>
          <w:rFonts w:ascii="Times New Roman" w:hAnsi="Times New Roman" w:cs="Times New Roman"/>
          <w:sz w:val="22"/>
          <w:szCs w:val="22"/>
        </w:rPr>
        <w:t>Re</w:t>
      </w:r>
      <w:r w:rsidRPr="00DF779D">
        <w:rPr>
          <w:rFonts w:ascii="Times New Roman" w:hAnsi="Times New Roman" w:cs="Times New Roman"/>
          <w:sz w:val="22"/>
          <w:szCs w:val="22"/>
        </w:rPr>
        <w:t>mov</w:t>
      </w:r>
      <w:r>
        <w:rPr>
          <w:rFonts w:ascii="Times New Roman" w:hAnsi="Times New Roman" w:cs="Times New Roman"/>
          <w:sz w:val="22"/>
          <w:szCs w:val="22"/>
        </w:rPr>
        <w:t>al of</w:t>
      </w:r>
      <w:r w:rsidRPr="00DF779D">
        <w:rPr>
          <w:rFonts w:ascii="Times New Roman" w:hAnsi="Times New Roman" w:cs="Times New Roman"/>
          <w:sz w:val="22"/>
          <w:szCs w:val="22"/>
        </w:rPr>
        <w:t xml:space="preserve"> human contamination </w:t>
      </w:r>
      <w:r>
        <w:rPr>
          <w:rFonts w:ascii="Times New Roman" w:hAnsi="Times New Roman" w:cs="Times New Roman"/>
          <w:sz w:val="22"/>
          <w:szCs w:val="22"/>
        </w:rPr>
        <w:t xml:space="preserve">was done using </w:t>
      </w:r>
      <w:proofErr w:type="spellStart"/>
      <w:r w:rsidRPr="00DF779D">
        <w:rPr>
          <w:rFonts w:ascii="Times New Roman" w:hAnsi="Times New Roman" w:cs="Times New Roman"/>
          <w:sz w:val="22"/>
          <w:szCs w:val="22"/>
        </w:rPr>
        <w:t>Kneaddata</w:t>
      </w:r>
      <w:proofErr w:type="spellEnd"/>
      <w:r w:rsidRPr="00DF779D">
        <w:rPr>
          <w:rFonts w:ascii="Times New Roman" w:hAnsi="Times New Roman" w:cs="Times New Roman"/>
          <w:sz w:val="22"/>
          <w:szCs w:val="22"/>
        </w:rPr>
        <w:t xml:space="preserve"> </w:t>
      </w:r>
      <w:r>
        <w:rPr>
          <w:rFonts w:ascii="Times New Roman" w:hAnsi="Times New Roman" w:cs="Times New Roman"/>
          <w:sz w:val="22"/>
          <w:szCs w:val="22"/>
        </w:rPr>
        <w:t>with</w:t>
      </w:r>
      <w:r w:rsidRPr="00DF779D">
        <w:rPr>
          <w:rFonts w:ascii="Times New Roman" w:hAnsi="Times New Roman" w:cs="Times New Roman"/>
          <w:sz w:val="22"/>
          <w:szCs w:val="22"/>
        </w:rPr>
        <w:t xml:space="preserve"> paired</w:t>
      </w:r>
      <w:r>
        <w:rPr>
          <w:rFonts w:ascii="Times New Roman" w:hAnsi="Times New Roman" w:cs="Times New Roman"/>
          <w:sz w:val="22"/>
          <w:szCs w:val="22"/>
        </w:rPr>
        <w:t>-</w:t>
      </w:r>
      <w:r w:rsidRPr="00DF779D">
        <w:rPr>
          <w:rFonts w:ascii="Times New Roman" w:hAnsi="Times New Roman" w:cs="Times New Roman"/>
          <w:sz w:val="22"/>
          <w:szCs w:val="22"/>
        </w:rPr>
        <w:t>end reads</w:t>
      </w:r>
      <w:r>
        <w:rPr>
          <w:rFonts w:ascii="Times New Roman" w:hAnsi="Times New Roman" w:cs="Times New Roman"/>
          <w:sz w:val="22"/>
          <w:szCs w:val="22"/>
        </w:rPr>
        <w:t xml:space="preserve">, </w:t>
      </w:r>
      <w:r w:rsidRPr="00DF779D">
        <w:rPr>
          <w:rFonts w:ascii="Times New Roman" w:hAnsi="Times New Roman" w:cs="Times New Roman"/>
          <w:sz w:val="22"/>
          <w:szCs w:val="22"/>
        </w:rPr>
        <w:t xml:space="preserve">employing </w:t>
      </w:r>
      <w:proofErr w:type="spellStart"/>
      <w:r w:rsidRPr="00DF779D">
        <w:rPr>
          <w:rFonts w:ascii="Times New Roman" w:hAnsi="Times New Roman" w:cs="Times New Roman"/>
          <w:sz w:val="22"/>
          <w:szCs w:val="22"/>
        </w:rPr>
        <w:t>BMTagger</w:t>
      </w:r>
      <w:proofErr w:type="spellEnd"/>
      <w:r w:rsidRPr="00DF779D">
        <w:rPr>
          <w:rFonts w:ascii="Times New Roman" w:hAnsi="Times New Roman" w:cs="Times New Roman"/>
          <w:sz w:val="22"/>
          <w:szCs w:val="22"/>
        </w:rPr>
        <w:t xml:space="preserve">. The </w:t>
      </w:r>
      <w:proofErr w:type="spellStart"/>
      <w:r w:rsidRPr="00DF779D">
        <w:rPr>
          <w:rFonts w:ascii="Times New Roman" w:hAnsi="Times New Roman" w:cs="Times New Roman"/>
          <w:sz w:val="22"/>
          <w:szCs w:val="22"/>
        </w:rPr>
        <w:t>BMTagger</w:t>
      </w:r>
      <w:proofErr w:type="spellEnd"/>
      <w:r w:rsidRPr="00DF779D">
        <w:rPr>
          <w:rFonts w:ascii="Times New Roman" w:hAnsi="Times New Roman" w:cs="Times New Roman"/>
          <w:sz w:val="22"/>
          <w:szCs w:val="22"/>
        </w:rPr>
        <w:t xml:space="preserve"> database </w:t>
      </w:r>
      <w:r>
        <w:rPr>
          <w:rFonts w:ascii="Times New Roman" w:hAnsi="Times New Roman" w:cs="Times New Roman"/>
          <w:sz w:val="22"/>
          <w:szCs w:val="22"/>
        </w:rPr>
        <w:t>was</w:t>
      </w:r>
      <w:r w:rsidRPr="00DF779D">
        <w:rPr>
          <w:rFonts w:ascii="Times New Roman" w:hAnsi="Times New Roman" w:cs="Times New Roman"/>
          <w:sz w:val="22"/>
          <w:szCs w:val="22"/>
        </w:rPr>
        <w:t xml:space="preserve"> built with human genome assembly GRCh38. After decontamination, the paired</w:t>
      </w:r>
      <w:r>
        <w:rPr>
          <w:rFonts w:ascii="Times New Roman" w:hAnsi="Times New Roman" w:cs="Times New Roman"/>
          <w:sz w:val="22"/>
          <w:szCs w:val="22"/>
        </w:rPr>
        <w:t>-</w:t>
      </w:r>
      <w:r w:rsidRPr="00DF779D">
        <w:rPr>
          <w:rFonts w:ascii="Times New Roman" w:hAnsi="Times New Roman" w:cs="Times New Roman"/>
          <w:sz w:val="22"/>
          <w:szCs w:val="22"/>
        </w:rPr>
        <w:t xml:space="preserve">end reads </w:t>
      </w:r>
      <w:r>
        <w:rPr>
          <w:rFonts w:ascii="Times New Roman" w:hAnsi="Times New Roman" w:cs="Times New Roman"/>
          <w:sz w:val="22"/>
          <w:szCs w:val="22"/>
        </w:rPr>
        <w:t>were</w:t>
      </w:r>
      <w:r w:rsidRPr="00DF779D">
        <w:rPr>
          <w:rFonts w:ascii="Times New Roman" w:hAnsi="Times New Roman" w:cs="Times New Roman"/>
          <w:sz w:val="22"/>
          <w:szCs w:val="22"/>
        </w:rPr>
        <w:t xml:space="preserve"> concatenated to a single </w:t>
      </w:r>
      <w:r>
        <w:rPr>
          <w:rFonts w:ascii="Times New Roman" w:hAnsi="Times New Roman" w:cs="Times New Roman"/>
          <w:sz w:val="22"/>
          <w:szCs w:val="22"/>
        </w:rPr>
        <w:t>FASTQ</w:t>
      </w:r>
      <w:r w:rsidRPr="00DF779D">
        <w:rPr>
          <w:rFonts w:ascii="Times New Roman" w:hAnsi="Times New Roman" w:cs="Times New Roman"/>
          <w:sz w:val="22"/>
          <w:szCs w:val="22"/>
        </w:rPr>
        <w:t xml:space="preserve"> file as the input for </w:t>
      </w:r>
      <w:r>
        <w:rPr>
          <w:rFonts w:ascii="Times New Roman" w:hAnsi="Times New Roman" w:cs="Times New Roman"/>
          <w:sz w:val="22"/>
          <w:szCs w:val="22"/>
        </w:rPr>
        <w:t>functional profiling with the Humann2 pipeline (main methods)</w:t>
      </w:r>
      <w:r w:rsidRPr="00DF779D">
        <w:rPr>
          <w:rFonts w:ascii="Times New Roman" w:hAnsi="Times New Roman" w:cs="Times New Roman"/>
          <w:sz w:val="22"/>
          <w:szCs w:val="22"/>
        </w:rPr>
        <w:t>.</w:t>
      </w:r>
    </w:p>
    <w:sectPr w:rsidR="006A1821" w:rsidRPr="00DF779D" w:rsidSect="00357412">
      <w:footerReference w:type="even" r:id="rId10"/>
      <w:footerReference w:type="default" r:id="rId11"/>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F7A9A" w14:textId="77777777" w:rsidR="008B4FF8" w:rsidRDefault="008B4FF8" w:rsidP="006F7462">
      <w:r>
        <w:separator/>
      </w:r>
    </w:p>
  </w:endnote>
  <w:endnote w:type="continuationSeparator" w:id="0">
    <w:p w14:paraId="2E68C93C" w14:textId="77777777" w:rsidR="008B4FF8" w:rsidRDefault="008B4FF8" w:rsidP="006F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2283246"/>
      <w:docPartObj>
        <w:docPartGallery w:val="Page Numbers (Bottom of Page)"/>
        <w:docPartUnique/>
      </w:docPartObj>
    </w:sdtPr>
    <w:sdtContent>
      <w:p w14:paraId="2727F58A" w14:textId="79B6099C" w:rsidR="006F7462" w:rsidRDefault="006F7462" w:rsidP="007240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657435" w14:textId="77777777" w:rsidR="006F7462" w:rsidRDefault="006F7462" w:rsidP="006F74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387523"/>
      <w:docPartObj>
        <w:docPartGallery w:val="Page Numbers (Bottom of Page)"/>
        <w:docPartUnique/>
      </w:docPartObj>
    </w:sdtPr>
    <w:sdtContent>
      <w:p w14:paraId="1F4D43F8" w14:textId="34FCAEB5" w:rsidR="006F7462" w:rsidRDefault="006F7462" w:rsidP="007240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5871E" w14:textId="77777777" w:rsidR="006F7462" w:rsidRDefault="006F7462" w:rsidP="006F74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4F4F1" w14:textId="77777777" w:rsidR="008B4FF8" w:rsidRDefault="008B4FF8" w:rsidP="006F7462">
      <w:r>
        <w:separator/>
      </w:r>
    </w:p>
  </w:footnote>
  <w:footnote w:type="continuationSeparator" w:id="0">
    <w:p w14:paraId="139DB64B" w14:textId="77777777" w:rsidR="008B4FF8" w:rsidRDefault="008B4FF8" w:rsidP="006F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64225"/>
    <w:multiLevelType w:val="hybridMultilevel"/>
    <w:tmpl w:val="257A206C"/>
    <w:lvl w:ilvl="0" w:tplc="C74E9C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14"/>
    <w:rsid w:val="00275678"/>
    <w:rsid w:val="00293DE5"/>
    <w:rsid w:val="002F4DEE"/>
    <w:rsid w:val="00357412"/>
    <w:rsid w:val="00380114"/>
    <w:rsid w:val="00461B4C"/>
    <w:rsid w:val="004908CF"/>
    <w:rsid w:val="006A1821"/>
    <w:rsid w:val="006F7462"/>
    <w:rsid w:val="00773675"/>
    <w:rsid w:val="00795E2A"/>
    <w:rsid w:val="00851B81"/>
    <w:rsid w:val="008713B7"/>
    <w:rsid w:val="00891BA7"/>
    <w:rsid w:val="008A3345"/>
    <w:rsid w:val="008B4FF8"/>
    <w:rsid w:val="008D7D4C"/>
    <w:rsid w:val="00955AC1"/>
    <w:rsid w:val="009C2250"/>
    <w:rsid w:val="00B5106F"/>
    <w:rsid w:val="00BF3916"/>
    <w:rsid w:val="00C03376"/>
    <w:rsid w:val="00C573C9"/>
    <w:rsid w:val="00DF779D"/>
    <w:rsid w:val="00E85F1C"/>
    <w:rsid w:val="00F1178E"/>
    <w:rsid w:val="00F8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2797"/>
  <w14:defaultImageDpi w14:val="32767"/>
  <w15:chartTrackingRefBased/>
  <w15:docId w15:val="{3C23702B-D9DD-244B-8486-61DC15A9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0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114"/>
    <w:pPr>
      <w:ind w:left="720"/>
      <w:contextualSpacing/>
    </w:pPr>
  </w:style>
  <w:style w:type="character" w:styleId="CommentReference">
    <w:name w:val="annotation reference"/>
    <w:basedOn w:val="DefaultParagraphFont"/>
    <w:uiPriority w:val="99"/>
    <w:semiHidden/>
    <w:unhideWhenUsed/>
    <w:rsid w:val="006A1821"/>
    <w:rPr>
      <w:sz w:val="18"/>
      <w:szCs w:val="18"/>
    </w:rPr>
  </w:style>
  <w:style w:type="paragraph" w:styleId="CommentText">
    <w:name w:val="annotation text"/>
    <w:basedOn w:val="Normal"/>
    <w:link w:val="CommentTextChar"/>
    <w:uiPriority w:val="99"/>
    <w:semiHidden/>
    <w:unhideWhenUsed/>
    <w:rsid w:val="006A1821"/>
  </w:style>
  <w:style w:type="character" w:customStyle="1" w:styleId="CommentTextChar">
    <w:name w:val="Comment Text Char"/>
    <w:basedOn w:val="DefaultParagraphFont"/>
    <w:link w:val="CommentText"/>
    <w:uiPriority w:val="99"/>
    <w:semiHidden/>
    <w:rsid w:val="006A1821"/>
  </w:style>
  <w:style w:type="paragraph" w:styleId="BalloonText">
    <w:name w:val="Balloon Text"/>
    <w:basedOn w:val="Normal"/>
    <w:link w:val="BalloonTextChar"/>
    <w:uiPriority w:val="99"/>
    <w:semiHidden/>
    <w:unhideWhenUsed/>
    <w:rsid w:val="006A18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821"/>
    <w:rPr>
      <w:rFonts w:ascii="Times New Roman" w:hAnsi="Times New Roman" w:cs="Times New Roman"/>
      <w:sz w:val="18"/>
      <w:szCs w:val="18"/>
    </w:rPr>
  </w:style>
  <w:style w:type="character" w:styleId="Hyperlink">
    <w:name w:val="Hyperlink"/>
    <w:basedOn w:val="DefaultParagraphFont"/>
    <w:uiPriority w:val="99"/>
    <w:unhideWhenUsed/>
    <w:rsid w:val="00DF779D"/>
    <w:rPr>
      <w:color w:val="0563C1" w:themeColor="hyperlink"/>
      <w:u w:val="single"/>
    </w:rPr>
  </w:style>
  <w:style w:type="character" w:styleId="UnresolvedMention">
    <w:name w:val="Unresolved Mention"/>
    <w:basedOn w:val="DefaultParagraphFont"/>
    <w:uiPriority w:val="99"/>
    <w:rsid w:val="00DF779D"/>
    <w:rPr>
      <w:color w:val="605E5C"/>
      <w:shd w:val="clear" w:color="auto" w:fill="E1DFDD"/>
    </w:rPr>
  </w:style>
  <w:style w:type="character" w:styleId="LineNumber">
    <w:name w:val="line number"/>
    <w:basedOn w:val="DefaultParagraphFont"/>
    <w:uiPriority w:val="99"/>
    <w:semiHidden/>
    <w:unhideWhenUsed/>
    <w:rsid w:val="00357412"/>
  </w:style>
  <w:style w:type="paragraph" w:styleId="Footer">
    <w:name w:val="footer"/>
    <w:basedOn w:val="Normal"/>
    <w:link w:val="FooterChar"/>
    <w:uiPriority w:val="99"/>
    <w:unhideWhenUsed/>
    <w:rsid w:val="006F7462"/>
    <w:pPr>
      <w:tabs>
        <w:tab w:val="center" w:pos="4680"/>
        <w:tab w:val="right" w:pos="9360"/>
      </w:tabs>
    </w:pPr>
  </w:style>
  <w:style w:type="character" w:customStyle="1" w:styleId="FooterChar">
    <w:name w:val="Footer Char"/>
    <w:basedOn w:val="DefaultParagraphFont"/>
    <w:link w:val="Footer"/>
    <w:uiPriority w:val="99"/>
    <w:rsid w:val="006F7462"/>
  </w:style>
  <w:style w:type="character" w:styleId="PageNumber">
    <w:name w:val="page number"/>
    <w:basedOn w:val="DefaultParagraphFont"/>
    <w:uiPriority w:val="99"/>
    <w:semiHidden/>
    <w:unhideWhenUsed/>
    <w:rsid w:val="006F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88101">
      <w:bodyDiv w:val="1"/>
      <w:marLeft w:val="0"/>
      <w:marRight w:val="0"/>
      <w:marTop w:val="0"/>
      <w:marBottom w:val="0"/>
      <w:divBdr>
        <w:top w:val="none" w:sz="0" w:space="0" w:color="auto"/>
        <w:left w:val="none" w:sz="0" w:space="0" w:color="auto"/>
        <w:bottom w:val="none" w:sz="0" w:space="0" w:color="auto"/>
        <w:right w:val="none" w:sz="0" w:space="0" w:color="auto"/>
      </w:divBdr>
    </w:div>
    <w:div w:id="247270311">
      <w:bodyDiv w:val="1"/>
      <w:marLeft w:val="0"/>
      <w:marRight w:val="0"/>
      <w:marTop w:val="0"/>
      <w:marBottom w:val="0"/>
      <w:divBdr>
        <w:top w:val="none" w:sz="0" w:space="0" w:color="auto"/>
        <w:left w:val="none" w:sz="0" w:space="0" w:color="auto"/>
        <w:bottom w:val="none" w:sz="0" w:space="0" w:color="auto"/>
        <w:right w:val="none" w:sz="0" w:space="0" w:color="auto"/>
      </w:divBdr>
    </w:div>
    <w:div w:id="282225734">
      <w:bodyDiv w:val="1"/>
      <w:marLeft w:val="0"/>
      <w:marRight w:val="0"/>
      <w:marTop w:val="0"/>
      <w:marBottom w:val="0"/>
      <w:divBdr>
        <w:top w:val="none" w:sz="0" w:space="0" w:color="auto"/>
        <w:left w:val="none" w:sz="0" w:space="0" w:color="auto"/>
        <w:bottom w:val="none" w:sz="0" w:space="0" w:color="auto"/>
        <w:right w:val="none" w:sz="0" w:space="0" w:color="auto"/>
      </w:divBdr>
    </w:div>
    <w:div w:id="448355688">
      <w:bodyDiv w:val="1"/>
      <w:marLeft w:val="0"/>
      <w:marRight w:val="0"/>
      <w:marTop w:val="0"/>
      <w:marBottom w:val="0"/>
      <w:divBdr>
        <w:top w:val="none" w:sz="0" w:space="0" w:color="auto"/>
        <w:left w:val="none" w:sz="0" w:space="0" w:color="auto"/>
        <w:bottom w:val="none" w:sz="0" w:space="0" w:color="auto"/>
        <w:right w:val="none" w:sz="0" w:space="0" w:color="auto"/>
      </w:divBdr>
    </w:div>
    <w:div w:id="473833904">
      <w:bodyDiv w:val="1"/>
      <w:marLeft w:val="0"/>
      <w:marRight w:val="0"/>
      <w:marTop w:val="0"/>
      <w:marBottom w:val="0"/>
      <w:divBdr>
        <w:top w:val="none" w:sz="0" w:space="0" w:color="auto"/>
        <w:left w:val="none" w:sz="0" w:space="0" w:color="auto"/>
        <w:bottom w:val="none" w:sz="0" w:space="0" w:color="auto"/>
        <w:right w:val="none" w:sz="0" w:space="0" w:color="auto"/>
      </w:divBdr>
    </w:div>
    <w:div w:id="542251762">
      <w:bodyDiv w:val="1"/>
      <w:marLeft w:val="0"/>
      <w:marRight w:val="0"/>
      <w:marTop w:val="0"/>
      <w:marBottom w:val="0"/>
      <w:divBdr>
        <w:top w:val="none" w:sz="0" w:space="0" w:color="auto"/>
        <w:left w:val="none" w:sz="0" w:space="0" w:color="auto"/>
        <w:bottom w:val="none" w:sz="0" w:space="0" w:color="auto"/>
        <w:right w:val="none" w:sz="0" w:space="0" w:color="auto"/>
      </w:divBdr>
    </w:div>
    <w:div w:id="573591851">
      <w:bodyDiv w:val="1"/>
      <w:marLeft w:val="0"/>
      <w:marRight w:val="0"/>
      <w:marTop w:val="0"/>
      <w:marBottom w:val="0"/>
      <w:divBdr>
        <w:top w:val="none" w:sz="0" w:space="0" w:color="auto"/>
        <w:left w:val="none" w:sz="0" w:space="0" w:color="auto"/>
        <w:bottom w:val="none" w:sz="0" w:space="0" w:color="auto"/>
        <w:right w:val="none" w:sz="0" w:space="0" w:color="auto"/>
      </w:divBdr>
    </w:div>
    <w:div w:id="1086806667">
      <w:bodyDiv w:val="1"/>
      <w:marLeft w:val="0"/>
      <w:marRight w:val="0"/>
      <w:marTop w:val="0"/>
      <w:marBottom w:val="0"/>
      <w:divBdr>
        <w:top w:val="none" w:sz="0" w:space="0" w:color="auto"/>
        <w:left w:val="none" w:sz="0" w:space="0" w:color="auto"/>
        <w:bottom w:val="none" w:sz="0" w:space="0" w:color="auto"/>
        <w:right w:val="none" w:sz="0" w:space="0" w:color="auto"/>
      </w:divBdr>
    </w:div>
    <w:div w:id="1309088525">
      <w:bodyDiv w:val="1"/>
      <w:marLeft w:val="0"/>
      <w:marRight w:val="0"/>
      <w:marTop w:val="0"/>
      <w:marBottom w:val="0"/>
      <w:divBdr>
        <w:top w:val="none" w:sz="0" w:space="0" w:color="auto"/>
        <w:left w:val="none" w:sz="0" w:space="0" w:color="auto"/>
        <w:bottom w:val="none" w:sz="0" w:space="0" w:color="auto"/>
        <w:right w:val="none" w:sz="0" w:space="0" w:color="auto"/>
      </w:divBdr>
    </w:div>
    <w:div w:id="1628049002">
      <w:bodyDiv w:val="1"/>
      <w:marLeft w:val="0"/>
      <w:marRight w:val="0"/>
      <w:marTop w:val="0"/>
      <w:marBottom w:val="0"/>
      <w:divBdr>
        <w:top w:val="none" w:sz="0" w:space="0" w:color="auto"/>
        <w:left w:val="none" w:sz="0" w:space="0" w:color="auto"/>
        <w:bottom w:val="none" w:sz="0" w:space="0" w:color="auto"/>
        <w:right w:val="none" w:sz="0" w:space="0" w:color="auto"/>
      </w:divBdr>
    </w:div>
    <w:div w:id="1759709180">
      <w:bodyDiv w:val="1"/>
      <w:marLeft w:val="0"/>
      <w:marRight w:val="0"/>
      <w:marTop w:val="0"/>
      <w:marBottom w:val="0"/>
      <w:divBdr>
        <w:top w:val="none" w:sz="0" w:space="0" w:color="auto"/>
        <w:left w:val="none" w:sz="0" w:space="0" w:color="auto"/>
        <w:bottom w:val="none" w:sz="0" w:space="0" w:color="auto"/>
        <w:right w:val="none" w:sz="0" w:space="0" w:color="auto"/>
      </w:divBdr>
    </w:div>
    <w:div w:id="1765107749">
      <w:bodyDiv w:val="1"/>
      <w:marLeft w:val="0"/>
      <w:marRight w:val="0"/>
      <w:marTop w:val="0"/>
      <w:marBottom w:val="0"/>
      <w:divBdr>
        <w:top w:val="none" w:sz="0" w:space="0" w:color="auto"/>
        <w:left w:val="none" w:sz="0" w:space="0" w:color="auto"/>
        <w:bottom w:val="none" w:sz="0" w:space="0" w:color="auto"/>
        <w:right w:val="none" w:sz="0" w:space="0" w:color="auto"/>
      </w:divBdr>
    </w:div>
    <w:div w:id="1785925354">
      <w:bodyDiv w:val="1"/>
      <w:marLeft w:val="0"/>
      <w:marRight w:val="0"/>
      <w:marTop w:val="0"/>
      <w:marBottom w:val="0"/>
      <w:divBdr>
        <w:top w:val="none" w:sz="0" w:space="0" w:color="auto"/>
        <w:left w:val="none" w:sz="0" w:space="0" w:color="auto"/>
        <w:bottom w:val="none" w:sz="0" w:space="0" w:color="auto"/>
        <w:right w:val="none" w:sz="0" w:space="0" w:color="auto"/>
      </w:divBdr>
    </w:div>
    <w:div w:id="1867131511">
      <w:bodyDiv w:val="1"/>
      <w:marLeft w:val="0"/>
      <w:marRight w:val="0"/>
      <w:marTop w:val="0"/>
      <w:marBottom w:val="0"/>
      <w:divBdr>
        <w:top w:val="none" w:sz="0" w:space="0" w:color="auto"/>
        <w:left w:val="none" w:sz="0" w:space="0" w:color="auto"/>
        <w:bottom w:val="none" w:sz="0" w:space="0" w:color="auto"/>
        <w:right w:val="none" w:sz="0" w:space="0" w:color="auto"/>
      </w:divBdr>
    </w:div>
    <w:div w:id="191411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ourceforge.net/projects/bb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8900D-B1FE-1549-B78E-395B41BD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2019-10-21T21:00:00Z</dcterms:created>
  <dcterms:modified xsi:type="dcterms:W3CDTF">2019-11-16T01:52:00Z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InsertAsFootnote">
    <vt:lpwstr>0</vt:lpwstr>
  </property>
</Properties>
</file>