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5c" w:sz="6" w:space="1"/>
        </w:pBdr>
        <w:spacing w:after="60"/>
        <w:jc w:val="center"/>
      </w:pPr>
      <w:r>
        <w:rPr>
          <w:rFonts w:ascii="Arial" w:cs="Arial" w:eastAsia="Arial" w:hAnsi="Arial"/>
          <w:b/>
          <w:bCs/>
          <w:color w:val="1a3a5c"/>
          <w:sz w:val="36"/>
          <w:szCs w:val="36"/>
        </w:rPr>
        <w:t xml:space="preserve">Watopoly – Project Plan of Attack</w:t>
      </w:r>
    </w:p>
    <w:p>
      <w:pPr>
        <w:spacing w:after="200"/>
        <w:jc w:val="center"/>
      </w:pPr>
      <w:r>
        <w:rPr>
          <w:rFonts w:ascii="Arial" w:cs="Arial" w:eastAsia="Arial" w:hAnsi="Arial"/>
          <w:color w:val="666666"/>
          <w:sz w:val="18"/>
          <w:szCs w:val="18"/>
        </w:rPr>
        <w:t xml:space="preserve">CS246 Winter 2026  |  Due Date 1: March 23, 2026  |  Group: Ashley, Trinah, Edwin</w:t>
      </w:r>
    </w:p>
    <w:p>
      <w:pPr>
        <w:pStyle w:val="Heading1"/>
      </w:pPr>
      <w:r>
        <w:rPr>
          <w:rFonts w:ascii="Arial" w:cs="Arial" w:eastAsia="Arial" w:hAnsi="Arial"/>
        </w:rPr>
        <w:t xml:space="preserve">1. Overview</w:t>
      </w:r>
    </w:p>
    <w:p>
      <w:pPr>
        <w:spacing w:after="80"/>
      </w:pPr>
      <w:r>
        <w:rPr>
          <w:rFonts w:ascii="Arial" w:cs="Arial" w:eastAsia="Arial" w:hAnsi="Arial"/>
          <w:sz w:val="22"/>
          <w:szCs w:val="22"/>
        </w:rPr>
        <w:t xml:space="preserve">Watopoly is a text-based C++ implementation of a Monopoly variant set on the University of Waterloo campus. The game is played on a 40-square board and supports 2–6 players who take turns rolling dice, buying and improving academic buildings, paying tuition, trading properties, and potentially dropping out (declaring bankruptcy). The last solvent player wins.</w:t>
      </w:r>
    </w:p>
    <w:p>
      <w:pPr>
        <w:spacing w:after="80"/>
      </w:pPr>
      <w:r>
        <w:rPr>
          <w:rFonts w:ascii="Arial" w:cs="Arial" w:eastAsia="Arial" w:hAnsi="Arial"/>
          <w:sz w:val="22"/>
          <w:szCs w:val="22"/>
        </w:rPr>
        <w:t xml:space="preserve">This document outlines our intended class structure, division of labour, implementation schedule, and preliminary answers to all design questions posed in the project specification.</w:t>
      </w:r>
    </w:p>
    <w:p>
      <w:pPr>
        <w:spacing w:after="60"/>
      </w:pPr>
      <w:r>
        <w:t xml:space="preserve"/>
      </w:r>
    </w:p>
    <w:p>
      <w:pPr>
        <w:pStyle w:val="Heading1"/>
      </w:pPr>
      <w:r>
        <w:rPr>
          <w:rFonts w:ascii="Arial" w:cs="Arial" w:eastAsia="Arial" w:hAnsi="Arial"/>
        </w:rPr>
        <w:t xml:space="preserve">2. High-Level Architecture</w:t>
      </w:r>
    </w:p>
    <w:p>
      <w:pPr>
        <w:spacing w:after="80"/>
      </w:pPr>
      <w:r>
        <w:rPr>
          <w:rFonts w:ascii="Arial" w:cs="Arial" w:eastAsia="Arial" w:hAnsi="Arial"/>
          <w:sz w:val="22"/>
          <w:szCs w:val="22"/>
        </w:rPr>
        <w:t xml:space="preserve">We identify the following major modules. Each module maps to one or more C++ classes and corresponds to a layer of responsibility.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c>
          <w:tcPr>
            <w:tcW w:type="dxa" w:w="14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Module</w:t>
            </w:r>
          </w:p>
        </w:tc>
        <w:tc>
          <w:tcPr>
            <w:tcW w:type="dxa" w:w="252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Key Classes</w:t>
            </w:r>
          </w:p>
        </w:tc>
        <w:tc>
          <w:tcPr>
            <w:tcW w:type="dxa" w:w="540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Responsibility</w:t>
            </w:r>
          </w:p>
        </w:tc>
      </w:tr>
      <w:tr>
        <w:tc>
          <w:tcPr>
            <w:tcW w:type="dxa" w:w="144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Board</w:t>
            </w:r>
          </w:p>
        </w:tc>
        <w:tc>
          <w:tcPr>
            <w:tcW w:type="dxa" w:w="25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Board, Square (abstract), subclasses</w:t>
            </w:r>
          </w:p>
        </w:tc>
        <w:tc>
          <w:tcPr>
            <w:tcW w:type="dxa" w:w="5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40-square ring; owns all Square objects; handles display via operator&lt;&lt;</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Squares</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OwnableSquare (abstract), AcademicBuilding, Residence, Gym, CollectOSAP, DCTimsLine, GooseNesting, SLC, NeedlesHall, GoToTims, Tuition, CoopFee</w:t>
            </w:r>
          </w:p>
        </w:tc>
        <w:tc>
          <w:tcPr>
            <w:tcW w:type="dxa" w:w="5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Encapsulates each square's land-on action and state</w:t>
            </w:r>
          </w:p>
        </w:tc>
      </w:tr>
      <w:tr>
        <w:tc>
          <w:tcPr>
            <w:tcW w:type="dxa" w:w="144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Player</w:t>
            </w:r>
          </w:p>
        </w:tc>
        <w:tc>
          <w:tcPr>
            <w:tcW w:type="dxa" w:w="25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Player</w:t>
            </w:r>
          </w:p>
        </w:tc>
        <w:tc>
          <w:tcPr>
            <w:tcW w:type="dxa" w:w="5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Tracks money, position, owned properties, Tims cups, bankruptcy status</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Dice</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Dice (abstract), FairDice, TestDice</w:t>
            </w:r>
          </w:p>
        </w:tc>
        <w:tc>
          <w:tcPr>
            <w:tcW w:type="dxa" w:w="5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Rolls two dice; Strategy pattern enables test mode (-testing flag)</w:t>
            </w:r>
          </w:p>
        </w:tc>
      </w:tr>
      <w:tr>
        <w:tc>
          <w:tcPr>
            <w:tcW w:type="dxa" w:w="144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Game</w:t>
            </w:r>
          </w:p>
        </w:tc>
        <w:tc>
          <w:tcPr>
            <w:tcW w:type="dxa" w:w="25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Game</w:t>
            </w:r>
          </w:p>
        </w:tc>
        <w:tc>
          <w:tcPr>
            <w:tcW w:type="dxa" w:w="5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Top-level controller: turn loop, command routing, win condition</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I/O</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CommandInterpreter, Display</w:t>
            </w:r>
          </w:p>
        </w:tc>
        <w:tc>
          <w:tcPr>
            <w:tcW w:type="dxa" w:w="5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Parses stdin commands; renders board to stdout</w:t>
            </w:r>
          </w:p>
        </w:tc>
      </w:tr>
      <w:tr>
        <w:tc>
          <w:tcPr>
            <w:tcW w:type="dxa" w:w="144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Persistence</w:t>
            </w:r>
          </w:p>
        </w:tc>
        <w:tc>
          <w:tcPr>
            <w:tcW w:type="dxa" w:w="25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SaveManager, GameState</w:t>
            </w:r>
          </w:p>
        </w:tc>
        <w:tc>
          <w:tcPr>
            <w:tcW w:type="dxa" w:w="54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Serialises / deserialises game state from save files</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Auction</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Auction</w:t>
            </w:r>
          </w:p>
        </w:tc>
        <w:tc>
          <w:tcPr>
            <w:tcW w:type="dxa" w:w="5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Runs bidding rounds when a property is not purchased</w:t>
            </w:r>
          </w:p>
        </w:tc>
      </w:tr>
    </w:tbl>
    <w:p>
      <w:pPr>
        <w:spacing w:after="60"/>
      </w:pPr>
      <w:r>
        <w:t xml:space="preserve"/>
      </w:r>
    </w:p>
    <w:p>
      <w:pPr>
        <w:pStyle w:val="Heading1"/>
      </w:pPr>
      <w:r>
        <w:rPr>
          <w:rFonts w:ascii="Arial" w:cs="Arial" w:eastAsia="Arial" w:hAnsi="Arial"/>
        </w:rPr>
        <w:t xml:space="preserve">3. Division of Labour and Schedule</w:t>
      </w:r>
    </w:p>
    <w:p>
      <w:pPr>
        <w:spacing w:after="80"/>
      </w:pPr>
      <w:r>
        <w:rPr>
          <w:rFonts w:ascii="Arial" w:cs="Arial" w:eastAsia="Arial" w:hAnsi="Arial"/>
          <w:sz w:val="22"/>
          <w:szCs w:val="22"/>
        </w:rPr>
        <w:t xml:space="preserve">The project is split into three phases. Estimated dates are conservative; we plan to finish Phase 2 several days before the Phase 3 code deadline (March 30) to allow thorough testing and documentation.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100"/>
        <w:gridCol w:w="1000"/>
      </w:tblGrid>
      <w:tr>
        <w:tc>
          <w:tcPr>
            <w:tcW w:type="dxa" w:w="90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Phase</w:t>
            </w:r>
          </w:p>
        </w:tc>
        <w:tc>
          <w:tcPr>
            <w:tcW w:type="dxa" w:w="336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Tasks</w:t>
            </w:r>
          </w:p>
        </w:tc>
        <w:tc>
          <w:tcPr>
            <w:tcW w:type="dxa" w:w="210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Owner(s)</w:t>
            </w:r>
          </w:p>
        </w:tc>
        <w:tc>
          <w:tcPr>
            <w:tcW w:type="dxa" w:w="100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Target</w:t>
            </w:r>
          </w:p>
        </w:tc>
      </w:tr>
      <w:tr>
        <w:tc>
          <w:tcPr>
            <w:tcW w:type="dxa" w:w="9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0 – Setup</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Repo structure, Makefile, stub classes, board ASCII rendering</w:t>
            </w:r>
          </w:p>
        </w:tc>
        <w:tc>
          <w:tcPr>
            <w:tcW w:type="dxa" w:w="2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Ashley, Trinah, Edwin</w:t>
            </w:r>
          </w:p>
        </w:tc>
        <w:tc>
          <w:tcPr>
            <w:tcW w:type="dxa" w:w="10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Mar 17</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1 – Core Movement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Square hierarchy, dice rolling, player movement, Collect OSAP, Go To Tims, DC Tims Line logic (roll doubles / pay $50 / cup), basic board display</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Ashley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Mar 20</w:t>
            </w:r>
          </w:p>
        </w:tc>
      </w:tr>
      <w:tr>
        <w:tc>
          <w:tcPr>
            <w:tcW w:type="dxa" w:w="9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1 – Properties</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OwnableSquare, AcademicBuilding, Residence, Gym; buying properties, basic tuition/rent/fee calculation; monopoly detection; improvement buy/sell</w:t>
            </w:r>
          </w:p>
        </w:tc>
        <w:tc>
          <w:tcPr>
            <w:tcW w:type="dxa" w:w="2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Trinah</w:t>
            </w:r>
          </w:p>
        </w:tc>
        <w:tc>
          <w:tcPr>
            <w:tcW w:type="dxa" w:w="10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Mar 21</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2 – Non-Ownable Squares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SLC, Needles Hall (probability tables), GooseNesting, Tuition, Coop Fee; Roll Up the Rim cup mechanics</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Edwin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Mar 23</w:t>
            </w:r>
          </w:p>
        </w:tc>
      </w:tr>
      <w:tr>
        <w:tc>
          <w:tcPr>
            <w:tcW w:type="dxa" w:w="9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2 – Trading &amp; Mortgage</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trade command (money↔property, property↔property); mortgage/unmortgage; unmortgage fee for acquired mortgaged properties</w:t>
            </w:r>
          </w:p>
        </w:tc>
        <w:tc>
          <w:tcPr>
            <w:tcW w:type="dxa" w:w="2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Ashley</w:t>
            </w:r>
          </w:p>
        </w:tc>
        <w:tc>
          <w:tcPr>
            <w:tcW w:type="dxa" w:w="10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Mar 23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2 – Bankruptcy &amp; Auction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bankrupt command, asset transfer, bank-owned properties → auction; Auction class (raise/withdraw)</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Trinah</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Mar 25</w:t>
            </w:r>
          </w:p>
        </w:tc>
      </w:tr>
      <w:tr>
        <w:tc>
          <w:tcPr>
            <w:tcW w:type="dxa" w:w="9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3 – Save / Load</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SaveManager: -load file; exact file format from spec; save command</w:t>
            </w:r>
          </w:p>
        </w:tc>
        <w:tc>
          <w:tcPr>
            <w:tcW w:type="dxa" w:w="2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Edwin</w:t>
            </w:r>
          </w:p>
        </w:tc>
        <w:tc>
          <w:tcPr>
            <w:tcW w:type="dxa" w:w="10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Mar 26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3 – Polish &amp; Testing</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Edge cases, -testing flag (manual dice), assets/all commands, mistyped-command resilience, full play-through test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All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Mar 28</w:t>
            </w:r>
          </w:p>
        </w:tc>
      </w:tr>
      <w:tr>
        <w:tc>
          <w:tcPr>
            <w:tcW w:type="dxa" w:w="9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3 – Documentation</w:t>
            </w:r>
          </w:p>
        </w:tc>
        <w:tc>
          <w:tcPr>
            <w:tcW w:type="dxa" w:w="336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Final UML update, design.pdf write-up</w:t>
            </w:r>
          </w:p>
        </w:tc>
        <w:tc>
          <w:tcPr>
            <w:tcW w:type="dxa" w:w="21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All</w:t>
            </w:r>
          </w:p>
        </w:tc>
        <w:tc>
          <w:tcPr>
            <w:tcW w:type="dxa" w:w="100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Mar 29</w:t>
            </w:r>
          </w:p>
        </w:tc>
      </w:tr>
    </w:tbl>
    <w:p>
      <w:pPr>
        <w:spacing w:after="60"/>
      </w:pPr>
      <w:r>
        <w:t xml:space="preserve"/>
      </w:r>
    </w:p>
    <w:p>
      <w:pPr>
        <w:spacing w:after="80"/>
      </w:pPr>
      <w:r>
        <w:rPr>
          <w:rFonts w:ascii="Arial" w:cs="Arial" w:eastAsia="Arial" w:hAnsi="Arial"/>
          <w:sz w:val="20"/>
          <w:szCs w:val="20"/>
        </w:rPr>
        <w:t xml:space="preserve">Note: </w:t>
      </w:r>
      <w:r>
        <w:rPr>
          <w:rFonts w:ascii="Arial" w:cs="Arial" w:eastAsia="Arial" w:hAnsi="Arial"/>
          <w:sz w:val="20"/>
          <w:szCs w:val="20"/>
        </w:rPr>
        <w:t xml:space="preserve">We will not write new code in the final six hours before the deadline. Those hours are reserved for final testing and demo preparation.</w:t>
      </w:r>
    </w:p>
    <w:p>
      <w:pPr>
        <w:spacing w:after="60"/>
      </w:pPr>
      <w:r>
        <w:t xml:space="preserve"/>
      </w:r>
    </w:p>
    <w:p>
      <w:pPr>
        <w:pStyle w:val="Heading1"/>
      </w:pPr>
      <w:r>
        <w:rPr>
          <w:rFonts w:ascii="Arial" w:cs="Arial" w:eastAsia="Arial" w:hAnsi="Arial"/>
        </w:rPr>
        <w:t xml:space="preserve">4. Priority Order</w:t>
      </w:r>
    </w:p>
    <w:p>
      <w:pPr>
        <w:spacing w:after="80"/>
      </w:pPr>
      <w:r>
        <w:rPr>
          <w:rFonts w:ascii="Arial" w:cs="Arial" w:eastAsia="Arial" w:hAnsi="Arial"/>
          <w:sz w:val="22"/>
          <w:szCs w:val="22"/>
        </w:rPr>
        <w:t xml:space="preserve">Following the specification's "If Things Go Wrong" guidance, we will always ensure the program compiles and runs before committing a new feature. Our priority order for partial credit is:</w:t>
      </w:r>
    </w:p>
    <w:p>
      <w:pPr>
        <w:spacing w:after="60"/>
      </w:pPr>
      <w:r>
        <w:t xml:space="preserve"/>
      </w:r>
    </w:p>
    <w:p>
      <w:pPr>
        <w:pStyle w:val="ListParagraph"/>
        <w:numPr>
          <w:ilvl w:val="0"/>
          <w:numId w:val="2"/>
        </w:numPr>
        <w:spacing w:after="40"/>
      </w:pPr>
      <w:r>
        <w:rPr>
          <w:rFonts w:ascii="Arial" w:cs="Arial" w:eastAsia="Arial" w:hAnsi="Arial"/>
          <w:sz w:val="22"/>
          <w:szCs w:val="22"/>
        </w:rPr>
        <w:t xml:space="preserve">Loading a saved game and starting a new game</w:t>
      </w:r>
    </w:p>
    <w:p>
      <w:pPr>
        <w:pStyle w:val="ListParagraph"/>
        <w:numPr>
          <w:ilvl w:val="0"/>
          <w:numId w:val="2"/>
        </w:numPr>
        <w:spacing w:after="40"/>
      </w:pPr>
      <w:r>
        <w:rPr>
          <w:rFonts w:ascii="Arial" w:cs="Arial" w:eastAsia="Arial" w:hAnsi="Arial"/>
          <w:sz w:val="22"/>
          <w:szCs w:val="22"/>
        </w:rPr>
        <w:t xml:space="preserve">Rolling dice, player movement, and paying rent / tuition</w:t>
      </w:r>
    </w:p>
    <w:p>
      <w:pPr>
        <w:pStyle w:val="ListParagraph"/>
        <w:numPr>
          <w:ilvl w:val="0"/>
          <w:numId w:val="2"/>
        </w:numPr>
        <w:spacing w:after="40"/>
      </w:pPr>
      <w:r>
        <w:rPr>
          <w:rFonts w:ascii="Arial" w:cs="Arial" w:eastAsia="Arial" w:hAnsi="Arial"/>
          <w:sz w:val="22"/>
          <w:szCs w:val="22"/>
        </w:rPr>
        <w:t xml:space="preserve">Buying properties</w:t>
      </w:r>
    </w:p>
    <w:p>
      <w:pPr>
        <w:pStyle w:val="ListParagraph"/>
        <w:numPr>
          <w:ilvl w:val="0"/>
          <w:numId w:val="2"/>
        </w:numPr>
        <w:spacing w:after="40"/>
      </w:pPr>
      <w:r>
        <w:rPr>
          <w:rFonts w:ascii="Arial" w:cs="Arial" w:eastAsia="Arial" w:hAnsi="Arial"/>
          <w:sz w:val="22"/>
          <w:szCs w:val="22"/>
        </w:rPr>
        <w:t xml:space="preserve">Declaring bankruptcy</w:t>
      </w:r>
    </w:p>
    <w:p>
      <w:pPr>
        <w:pStyle w:val="ListParagraph"/>
        <w:numPr>
          <w:ilvl w:val="0"/>
          <w:numId w:val="2"/>
        </w:numPr>
        <w:spacing w:after="40"/>
      </w:pPr>
      <w:r>
        <w:rPr>
          <w:rFonts w:ascii="Arial" w:cs="Arial" w:eastAsia="Arial" w:hAnsi="Arial"/>
          <w:sz w:val="22"/>
          <w:szCs w:val="22"/>
        </w:rPr>
        <w:t xml:space="preserve">Saving games</w:t>
      </w:r>
    </w:p>
    <w:p>
      <w:pPr>
        <w:pStyle w:val="ListParagraph"/>
        <w:numPr>
          <w:ilvl w:val="0"/>
          <w:numId w:val="2"/>
        </w:numPr>
        <w:spacing w:after="40"/>
      </w:pPr>
      <w:r>
        <w:rPr>
          <w:rFonts w:ascii="Arial" w:cs="Arial" w:eastAsia="Arial" w:hAnsi="Arial"/>
          <w:sz w:val="22"/>
          <w:szCs w:val="22"/>
        </w:rPr>
        <w:t xml:space="preserve">SLC and Needles Hall cards</w:t>
      </w:r>
    </w:p>
    <w:p>
      <w:pPr>
        <w:pStyle w:val="ListParagraph"/>
        <w:numPr>
          <w:ilvl w:val="0"/>
          <w:numId w:val="2"/>
        </w:numPr>
        <w:spacing w:after="40"/>
      </w:pPr>
      <w:r>
        <w:rPr>
          <w:rFonts w:ascii="Arial" w:cs="Arial" w:eastAsia="Arial" w:hAnsi="Arial"/>
          <w:sz w:val="22"/>
          <w:szCs w:val="22"/>
        </w:rPr>
        <w:t xml:space="preserve">Buying and selling improvements</w:t>
      </w:r>
    </w:p>
    <w:p>
      <w:pPr>
        <w:pStyle w:val="ListParagraph"/>
        <w:numPr>
          <w:ilvl w:val="0"/>
          <w:numId w:val="2"/>
        </w:numPr>
        <w:spacing w:after="40"/>
      </w:pPr>
      <w:r>
        <w:rPr>
          <w:rFonts w:ascii="Arial" w:cs="Arial" w:eastAsia="Arial" w:hAnsi="Arial"/>
          <w:sz w:val="22"/>
          <w:szCs w:val="22"/>
        </w:rPr>
        <w:t xml:space="preserve">Trading</w:t>
      </w:r>
    </w:p>
    <w:p>
      <w:pPr>
        <w:pStyle w:val="ListParagraph"/>
        <w:numPr>
          <w:ilvl w:val="0"/>
          <w:numId w:val="2"/>
        </w:numPr>
        <w:spacing w:after="40"/>
      </w:pPr>
      <w:r>
        <w:rPr>
          <w:rFonts w:ascii="Arial" w:cs="Arial" w:eastAsia="Arial" w:hAnsi="Arial"/>
          <w:sz w:val="22"/>
          <w:szCs w:val="22"/>
        </w:rPr>
        <w:t xml:space="preserve">Auctions</w:t>
      </w:r>
    </w:p>
    <w:p>
      <w:pPr>
        <w:spacing w:after="60"/>
      </w:pPr>
      <w:r>
        <w:t xml:space="preserve"/>
      </w:r>
    </w:p>
    <w:p>
      <w:pPr>
        <w:pStyle w:val="Heading1"/>
      </w:pPr>
      <w:r>
        <w:rPr>
          <w:rFonts w:ascii="Arial" w:cs="Arial" w:eastAsia="Arial" w:hAnsi="Arial"/>
        </w:rPr>
        <w:t xml:space="preserve">5. Key Design Decisions</w:t>
      </w:r>
    </w:p>
    <w:p>
      <w:pPr>
        <w:pStyle w:val="Heading2"/>
      </w:pPr>
      <w:r>
        <w:rPr>
          <w:rFonts w:ascii="Arial" w:cs="Arial" w:eastAsia="Arial" w:hAnsi="Arial"/>
        </w:rPr>
        <w:t xml:space="preserve">5.1  Square Hierarchy</w:t>
      </w:r>
    </w:p>
    <w:p>
      <w:pPr>
        <w:spacing w:after="80"/>
      </w:pPr>
      <w:r>
        <w:rPr>
          <w:rFonts w:ascii="Arial" w:cs="Arial" w:eastAsia="Arial" w:hAnsi="Arial"/>
          <w:sz w:val="22"/>
          <w:szCs w:val="22"/>
        </w:rPr>
        <w:t xml:space="preserve">All 40 board positions will derive from an abstract Square base class with a pure-virtual landOn(Player&amp;) method. Ownable squares (AcademicBuilding, Residence, Gym) extend an intermediate abstract class OwnableSquare, which centralises mortgage state and ownership. Non-ownable squares each override landOn independently. This keeps the Board class simple: it stores a vector&lt;unique_ptr&lt;Square&gt;&gt; and dispatches polymorphically.</w:t>
      </w:r>
    </w:p>
    <w:p>
      <w:pPr>
        <w:spacing w:after="60"/>
      </w:pPr>
      <w:r>
        <w:t xml:space="preserve"/>
      </w:r>
    </w:p>
    <w:p>
      <w:pPr>
        <w:pStyle w:val="Heading2"/>
      </w:pPr>
      <w:r>
        <w:rPr>
          <w:rFonts w:ascii="Arial" w:cs="Arial" w:eastAsia="Arial" w:hAnsi="Arial"/>
        </w:rPr>
        <w:t xml:space="preserve">5.2  Dice – Strategy Pattern</w:t>
      </w:r>
    </w:p>
    <w:p>
      <w:pPr>
        <w:spacing w:after="80"/>
      </w:pPr>
      <w:r>
        <w:rPr>
          <w:rFonts w:ascii="Arial" w:cs="Arial" w:eastAsia="Arial" w:hAnsi="Arial"/>
          <w:sz w:val="22"/>
          <w:szCs w:val="22"/>
        </w:rPr>
        <w:t xml:space="preserve">We will implement Dice as an abstract class with a pure-virtual roll(): pair&lt;int,int&gt; method. FairDice uses the standard random engine; TestDice (activated by the -testing flag) accepts explicit die values from stdin. Game holds a unique_ptr&lt;Dice&gt; and switches it at construction time based on the command-line argument, with no other code needing to change.</w:t>
      </w:r>
    </w:p>
    <w:p>
      <w:pPr>
        <w:spacing w:after="60"/>
      </w:pPr>
      <w:r>
        <w:t xml:space="preserve"/>
      </w:r>
    </w:p>
    <w:p>
      <w:pPr>
        <w:pStyle w:val="Heading2"/>
      </w:pPr>
      <w:r>
        <w:rPr>
          <w:rFonts w:ascii="Arial" w:cs="Arial" w:eastAsia="Arial" w:hAnsi="Arial"/>
        </w:rPr>
        <w:t xml:space="preserve">5.3  Board Display – Observer Pattern</w:t>
      </w:r>
    </w:p>
    <w:p>
      <w:pPr>
        <w:spacing w:after="80"/>
      </w:pPr>
      <w:r>
        <w:rPr>
          <w:rFonts w:ascii="Arial" w:cs="Arial" w:eastAsia="Arial" w:hAnsi="Arial"/>
          <w:sz w:val="22"/>
          <w:szCs w:val="22"/>
        </w:rPr>
        <w:t xml:space="preserve">The Board will act as a Subject and the text-based display will act as an Observer. Whenever any square's state changes (ownership, improvement count, player position), the Board notifies the display to redraw. This decouples rendering from game logic and makes it easy to add a graphical display later without touching Board internals.</w:t>
      </w:r>
    </w:p>
    <w:p>
      <w:pPr>
        <w:spacing w:after="60"/>
      </w:pPr>
      <w:r>
        <w:t xml:space="preserve"/>
      </w:r>
    </w:p>
    <w:p>
      <w:pPr>
        <w:pStyle w:val="Heading2"/>
      </w:pPr>
      <w:r>
        <w:rPr>
          <w:rFonts w:ascii="Arial" w:cs="Arial" w:eastAsia="Arial" w:hAnsi="Arial"/>
        </w:rPr>
        <w:t xml:space="preserve">5.4  SLC / Needles Hall Effects – Command-Style Objects</w:t>
      </w:r>
    </w:p>
    <w:p>
      <w:pPr>
        <w:spacing w:after="80"/>
      </w:pPr>
      <w:r>
        <w:rPr>
          <w:rFonts w:ascii="Arial" w:cs="Arial" w:eastAsia="Arial" w:hAnsi="Arial"/>
          <w:sz w:val="22"/>
          <w:szCs w:val="22"/>
        </w:rPr>
        <w:t xml:space="preserve">Each possible outcome of landing on SLC or Needles Hall will be encapsulated as a small callable object with an execute(Player&amp;) interface. SLC and NeedlesHall each own a weighted list of these Command objects. Landing on the square selects one randomly according to the probability tables and calls execute. Adding or changing an effect requires only inserting a new object into the list, with no modification to the square classes.</w:t>
      </w:r>
    </w:p>
    <w:p>
      <w:pPr>
        <w:spacing w:after="60"/>
      </w:pPr>
      <w:r>
        <w:t xml:space="preserve"/>
      </w:r>
    </w:p>
    <w:p>
      <w:pPr>
        <w:pStyle w:val="Heading2"/>
      </w:pPr>
      <w:r>
        <w:rPr>
          <w:rFonts w:ascii="Arial" w:cs="Arial" w:eastAsia="Arial" w:hAnsi="Arial"/>
        </w:rPr>
        <w:t xml:space="preserve">5.5  Memory Management (No-Delete Bonus)</w:t>
      </w:r>
    </w:p>
    <w:p>
      <w:pPr>
        <w:spacing w:after="80"/>
      </w:pPr>
      <w:r>
        <w:rPr>
          <w:rFonts w:ascii="Arial" w:cs="Arial" w:eastAsia="Arial" w:hAnsi="Arial"/>
          <w:sz w:val="22"/>
          <w:szCs w:val="22"/>
        </w:rPr>
        <w:t xml:space="preserve">We will target the 4-mark bonus: all heap-allocated objects will be owned by unique_ptr or shared_ptr, with no naked new/delete. Pointers that do not express ownership (e.g., a Player* stored inside an OwnableSquare to track the owner) will be raw, non-owning pointers, which is explicitly permitted by the spec.</w:t>
      </w:r>
    </w:p>
    <w:p>
      <w:pPr>
        <w:spacing w:after="60"/>
      </w:pPr>
      <w:r>
        <w:t xml:space="preserve"/>
      </w:r>
    </w:p>
    <w:p>
      <w:pPr>
        <w:pStyle w:val="Heading2"/>
      </w:pPr>
      <w:r>
        <w:rPr>
          <w:rFonts w:ascii="Arial" w:cs="Arial" w:eastAsia="Arial" w:hAnsi="Arial"/>
        </w:rPr>
        <w:t xml:space="preserve">5.6  Save / Load Format</w:t>
      </w:r>
    </w:p>
    <w:p>
      <w:pPr>
        <w:spacing w:after="80"/>
      </w:pPr>
      <w:r>
        <w:rPr>
          <w:rFonts w:ascii="Arial" w:cs="Arial" w:eastAsia="Arial" w:hAnsi="Arial"/>
          <w:sz w:val="22"/>
          <w:szCs w:val="22"/>
        </w:rPr>
        <w:t xml:space="preserve">SaveManager will implement the exact format specified: number of players, one line per player (name, char, cups, money, position, optional Tims-line state), then one line per ownable square (name, owner, improvements). The -load &lt;file&gt; argument is parsed in main() and passed to SaveManager before the game loop begins.</w:t>
      </w:r>
    </w:p>
    <w:p>
      <w:pPr>
        <w:spacing w:after="60"/>
      </w:pPr>
      <w:r>
        <w:t xml:space="preserve"/>
      </w:r>
    </w:p>
    <w:p>
      <w:pPr>
        <w:pStyle w:val="Heading1"/>
      </w:pPr>
      <w:r>
        <w:rPr>
          <w:rFonts w:ascii="Arial" w:cs="Arial" w:eastAsia="Arial" w:hAnsi="Arial"/>
        </w:rPr>
        <w:t xml:space="preserve">6. Answers to Specification Questions</w:t>
      </w:r>
    </w:p>
    <w:p>
      <w:pPr>
        <w:pStyle w:val="Heading2"/>
      </w:pPr>
      <w:r>
        <w:rPr>
          <w:rFonts w:ascii="Arial" w:cs="Arial" w:eastAsia="Arial" w:hAnsi="Arial"/>
        </w:rPr>
        <w:t xml:space="preserve">Q1: Would the Observer Pattern be a good pattern for implementing the gameboard?</w:t>
      </w:r>
    </w:p>
    <w:p>
      <w:pPr>
        <w:spacing w:after="80"/>
      </w:pPr>
      <w:r>
        <w:rPr>
          <w:rFonts w:ascii="Arial" w:cs="Arial" w:eastAsia="Arial" w:hAnsi="Arial"/>
          <w:b/>
          <w:bCs/>
          <w:sz w:val="22"/>
          <w:szCs w:val="22"/>
        </w:rPr>
        <w:t xml:space="preserve">Yes. </w:t>
      </w:r>
      <w:r>
        <w:rPr>
          <w:rFonts w:ascii="Arial" w:cs="Arial" w:eastAsia="Arial" w:hAnsi="Arial"/>
          <w:sz w:val="22"/>
          <w:szCs w:val="22"/>
        </w:rPr>
        <w:t xml:space="preserve">The Board holds the canonical state of the game (player positions, property ownership, improvement counts). Whenever any of that state changes, the text display must be re-rendered. Making the display an Observer of the Board cleanly separates display logic from game logic. The Board calls notifyObservers() after any state-changing operation, and the display's update() redraws the board. This also makes it trivial to add a second observer (e.g., a log file or graphical front-end) later without touching Board code.</w:t>
      </w:r>
    </w:p>
    <w:p>
      <w:pPr>
        <w:spacing w:after="60"/>
      </w:pPr>
      <w:r>
        <w:t xml:space="preserve"/>
      </w:r>
    </w:p>
    <w:p>
      <w:pPr>
        <w:pStyle w:val="Heading2"/>
      </w:pPr>
      <w:r>
        <w:rPr>
          <w:rFonts w:ascii="Arial" w:cs="Arial" w:eastAsia="Arial" w:hAnsi="Arial"/>
        </w:rPr>
        <w:t xml:space="preserve">Q2: Is there a suitable design pattern for SLC and Needles Hall, modelling them closer to Chance / Community Chest cards?</w:t>
      </w:r>
    </w:p>
    <w:p>
      <w:pPr>
        <w:spacing w:after="80"/>
      </w:pPr>
      <w:r>
        <w:rPr>
          <w:rFonts w:ascii="Arial" w:cs="Arial" w:eastAsia="Arial" w:hAnsi="Arial"/>
          <w:b/>
          <w:bCs/>
          <w:sz w:val="22"/>
          <w:szCs w:val="22"/>
        </w:rPr>
        <w:t xml:space="preserve">Yes – the Command Pattern. </w:t>
      </w:r>
      <w:r>
        <w:rPr>
          <w:rFonts w:ascii="Arial" w:cs="Arial" w:eastAsia="Arial" w:hAnsi="Arial"/>
          <w:sz w:val="22"/>
          <w:szCs w:val="22"/>
        </w:rPr>
        <w:t xml:space="preserve">Each possible effect (move back 3, advance to Collect OSAP, go to DC Tims Line, gain $50, etc.) is encapsulated as a concrete Command object implementing an execute(Player&amp;) interface. SLC and NeedlesHall each own a deck (vector) of Commands weighted by the probability table. Landing on the square selects a Command randomly and calls execute. Adding or changing an effect requires only adding/changing one Command class, with no modification to the square classes.</w:t>
      </w:r>
    </w:p>
    <w:p>
      <w:pPr>
        <w:spacing w:after="60"/>
      </w:pPr>
      <w:r>
        <w:t xml:space="preserve"/>
      </w:r>
    </w:p>
    <w:p>
      <w:pPr>
        <w:pStyle w:val="Heading2"/>
      </w:pPr>
      <w:r>
        <w:rPr>
          <w:rFonts w:ascii="Arial" w:cs="Arial" w:eastAsia="Arial" w:hAnsi="Arial"/>
        </w:rPr>
        <w:t xml:space="preserve">Q3: Is the Decorator Pattern a good pattern for implementing Improvements?</w:t>
      </w:r>
    </w:p>
    <w:p>
      <w:pPr>
        <w:spacing w:after="80"/>
      </w:pPr>
      <w:r>
        <w:rPr>
          <w:rFonts w:ascii="Arial" w:cs="Arial" w:eastAsia="Arial" w:hAnsi="Arial"/>
          <w:b/>
          <w:bCs/>
          <w:sz w:val="22"/>
          <w:szCs w:val="22"/>
        </w:rPr>
        <w:t xml:space="preserve">No. </w:t>
      </w:r>
      <w:r>
        <w:rPr>
          <w:rFonts w:ascii="Arial" w:cs="Arial" w:eastAsia="Arial" w:hAnsi="Arial"/>
          <w:sz w:val="22"/>
          <w:szCs w:val="22"/>
        </w:rPr>
        <w:t xml:space="preserve">The Decorator Pattern is appropriate when behaviour needs to be layered dynamically at runtime on objects sharing an identical interface. Improvements in Watopoly are better modelled as a simple integer counter (0–5) stored inside AcademicBuilding. The tuition for each improvement level is already fully specified in a lookup table (Table 1 of the spec), so there is no behaviour to compose or stack. Using Decorator would add significant complexity (five wrapper classes, pointer chains) for no design benefit. A plain int numImprovements field with a table lookup is cleaner and easier to maintain.</w:t>
      </w:r>
    </w:p>
    <w:p>
      <w:pPr>
        <w:spacing w:after="60"/>
      </w:pPr>
      <w:r>
        <w:t xml:space="preserve"/>
      </w:r>
    </w:p>
    <w:p>
      <w:pPr>
        <w:pStyle w:val="Heading1"/>
      </w:pPr>
      <w:r>
        <w:rPr>
          <w:rFonts w:ascii="Arial" w:cs="Arial" w:eastAsia="Arial" w:hAnsi="Arial"/>
        </w:rPr>
        <w:t xml:space="preserve">7. Extra Credit Plans</w:t>
      </w:r>
    </w:p>
    <w:p>
      <w:pPr>
        <w:spacing w:after="80"/>
      </w:pPr>
      <w:r>
        <w:rPr>
          <w:rFonts w:ascii="Arial" w:cs="Arial" w:eastAsia="Arial" w:hAnsi="Arial"/>
          <w:sz w:val="22"/>
          <w:szCs w:val="22"/>
        </w:rPr>
        <w:t xml:space="preserve">Our primary extra-credit goal is the no-delete bonus (4 marks): managing all memory through smart pointers and STL containers, with zero delete statements. We will implement this from the start rather than retrofitting it.</w:t>
      </w:r>
    </w:p>
    <w:p>
      <w:pPr>
        <w:spacing w:after="80"/>
      </w:pPr>
      <w:r>
        <w:rPr>
          <w:rFonts w:ascii="Arial" w:cs="Arial" w:eastAsia="Arial" w:hAnsi="Arial"/>
          <w:sz w:val="22"/>
          <w:szCs w:val="22"/>
        </w:rPr>
        <w:t xml:space="preserve">If time permits, we may implement a graphical display as a second Observer, or richer command validation with helpful error messages. We will not compromise core correctness for extras.</w:t>
      </w:r>
    </w:p>
    <w:p>
      <w:pPr>
        <w:spacing w:after="60"/>
      </w:pPr>
      <w:r>
        <w:t xml:space="preserve"/>
      </w:r>
    </w:p>
    <w:p>
      <w:pPr>
        <w:pStyle w:val="Heading1"/>
      </w:pPr>
      <w:r>
        <w:rPr>
          <w:rFonts w:ascii="Arial" w:cs="Arial" w:eastAsia="Arial" w:hAnsi="Arial"/>
        </w:rPr>
        <w:t xml:space="preserve">8. Risks and Mitigations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Risk</w:t>
            </w:r>
          </w:p>
        </w:tc>
        <w:tc>
          <w:tcPr>
            <w:tcW w:type="dxa" w:w="6840"/>
            <w:tcBorders>
              <w:top w:val="single" w:color="AAAAAA" w:sz="1"/>
              <w:left w:val="single" w:color="AAAAAA" w:sz="1"/>
              <w:bottom w:val="single" w:color="AAAAAA" w:sz="1"/>
              <w:right w:val="single" w:color="AAAAAA" w:sz="1"/>
            </w:tcBorders>
            <w:shd w:fill="1a3a5c" w:val="clear"/>
            <w:tcMar>
              <w:top w:type="dxa" w:w="60"/>
              <w:left w:type="dxa" w:w="120"/>
              <w:bottom w:type="dxa" w:w="60"/>
              <w:right w:type="dxa" w:w="120"/>
            </w:tcMar>
          </w:tcPr>
          <w:p>
            <w:r>
              <w:rPr>
                <w:rFonts w:ascii="Arial" w:cs="Arial" w:eastAsia="Arial" w:hAnsi="Arial"/>
                <w:b/>
                <w:bCs/>
                <w:color w:val="FFFFFF"/>
                <w:sz w:val="17"/>
                <w:szCs w:val="17"/>
              </w:rPr>
              <w:t xml:space="preserve">Mitigation</w:t>
            </w:r>
          </w:p>
        </w:tc>
      </w:tr>
      <w:tr>
        <w:tc>
          <w:tcPr>
            <w:tcW w:type="dxa" w:w="25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b/>
                <w:bCs/>
                <w:sz w:val="17"/>
                <w:szCs w:val="17"/>
              </w:rPr>
              <w:t xml:space="preserve">DC Tims Line edge cases</w:t>
            </w:r>
          </w:p>
        </w:tc>
        <w:tc>
          <w:tcPr>
            <w:tcW w:type="dxa" w:w="684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Careful unit-testing of all three exit paths (doubles, pay $50, cup) on turns 0, 1, 2, and 3.</w:t>
            </w:r>
          </w:p>
        </w:tc>
      </w:tr>
      <w:tr>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7"/>
                <w:szCs w:val="17"/>
              </w:rPr>
              <w:t xml:space="preserve">Auction complexity</w:t>
            </w:r>
          </w:p>
        </w:tc>
        <w:tc>
          <w:tcPr>
            <w:tcW w:type="dxa" w:w="6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Implement after all other features are stable; the Auction class is self-contained.</w:t>
            </w:r>
          </w:p>
        </w:tc>
      </w:tr>
      <w:tr>
        <w:tc>
          <w:tcPr>
            <w:tcW w:type="dxa" w:w="25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b/>
                <w:bCs/>
                <w:sz w:val="17"/>
                <w:szCs w:val="17"/>
              </w:rPr>
              <w:t xml:space="preserve">Save/load format compliance</w:t>
            </w:r>
          </w:p>
        </w:tc>
        <w:tc>
          <w:tcPr>
            <w:tcW w:type="dxa" w:w="684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Write a round-trip test (save then load, compare state) early; run it after every major change.</w:t>
            </w:r>
          </w:p>
        </w:tc>
      </w:tr>
      <w:tr>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7"/>
                <w:szCs w:val="17"/>
              </w:rPr>
              <w:t xml:space="preserve">Merge conflicts</w:t>
            </w:r>
          </w:p>
        </w:tc>
        <w:tc>
          <w:tcPr>
            <w:tcW w:type="dxa" w:w="6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7"/>
                <w:szCs w:val="17"/>
              </w:rPr>
              <w:t xml:space="preserve">Each partner owns distinct modules; we merge at module boundaries, not within files.</w:t>
            </w:r>
          </w:p>
        </w:tc>
      </w:tr>
      <w:tr>
        <w:tc>
          <w:tcPr>
            <w:tcW w:type="dxa" w:w="252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b/>
                <w:bCs/>
                <w:sz w:val="17"/>
                <w:szCs w:val="17"/>
              </w:rPr>
              <w:t xml:space="preserve">Time pressure</w:t>
            </w:r>
          </w:p>
        </w:tc>
        <w:tc>
          <w:tcPr>
            <w:tcW w:type="dxa" w:w="6840"/>
            <w:tcBorders>
              <w:top w:val="single" w:color="AAAAAA" w:sz="1"/>
              <w:left w:val="single" w:color="AAAAAA" w:sz="1"/>
              <w:bottom w:val="single" w:color="AAAAAA" w:sz="1"/>
              <w:right w:val="single" w:color="AAAAAA" w:sz="1"/>
            </w:tcBorders>
            <w:shd w:fill="EBF2FA" w:val="clear"/>
            <w:tcMar>
              <w:top w:type="dxa" w:w="60"/>
              <w:left w:type="dxa" w:w="120"/>
              <w:bottom w:type="dxa" w:w="60"/>
              <w:right w:type="dxa" w:w="120"/>
            </w:tcMar>
          </w:tcPr>
          <w:p>
            <w:r>
              <w:rPr>
                <w:rFonts w:ascii="Arial" w:cs="Arial" w:eastAsia="Arial" w:hAnsi="Arial"/>
                <w:sz w:val="17"/>
                <w:szCs w:val="17"/>
              </w:rPr>
              <w:t xml:space="preserve">Hard freeze on new code 6 hours before deadline; last hours reserved for testing and demo prep.</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888888"/>
        <w:sz w:val="17"/>
        <w:szCs w:val="17"/>
      </w:rPr>
      <w:t xml:space="preserve">Watopoly – Plan of Attack  |  CS246 W2026  |  Ashley, Trinah, Edwin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AACCEE" w:sz="4" w:space="2"/>
      </w:pBdr>
      <w:spacing w:before="280" w:after="100"/>
      <w:outlineLvl w:val="0"/>
    </w:pPr>
    <w:rPr>
      <w:rFonts w:ascii="Arial" w:cs="Arial" w:eastAsia="Arial" w:hAnsi="Arial"/>
      <w:b/>
      <w:bCs/>
      <w:color w:val="1a3a5c"/>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d59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2026-03-21T04:11:23.445Z</dcterms:created>
  <dcterms:modified xsi:type="dcterms:W3CDTF">2026-03-21T04:11:23.446Z</dcterms:modified>
</cp:coreProperties>
</file>

<file path=docProps/custom.xml><?xml version="1.0" encoding="utf-8"?>
<Properties xmlns="http://schemas.openxmlformats.org/officeDocument/2006/custom-properties" xmlns:vt="http://schemas.openxmlformats.org/officeDocument/2006/docPropsVTypes"/>
</file>