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after="80"/>
        <w:jc w:val="center"/>
      </w:pPr>
      <w:r>
        <w:rPr>
          <w:rFonts w:ascii="Liberation Sans" w:hAnsi="Liberation Sans"/>
          <w:b w:val="0"/>
          <w:i w:val="0"/>
        </w:rPr>
        <w:t>VPrivCal Expert Review</w:t>
      </w:r>
    </w:p>
    <w:p>
      <w:pPr>
        <w:pStyle w:val="Subtitle"/>
        <w:spacing w:before="0" w:after="60"/>
        <w:jc w:val="center"/>
      </w:pPr>
      <w:r>
        <w:rPr>
          <w:rFonts w:ascii="Liberation Sans" w:hAnsi="Liberation Sans"/>
          <w:b w:val="0"/>
          <w:i w:val="0"/>
        </w:rPr>
        <w:t xml:space="preserve">Interface-aligned screening workbook for VPrivCal-Q10 and VPrivCal-Probe</w:t>
      </w:r>
    </w:p>
    <w:p>
      <w:pPr>
        <w:spacing w:before="0" w:after="240"/>
        <w:jc w:val="center"/>
      </w:pPr>
      <w:r>
        <w:rPr>
          <w:rFonts w:ascii="Liberation Sans" w:hAnsi="Liberation Sans"/>
          <w:b w:val="0"/>
          <w:i/>
          <w:color w:val="5A6570"/>
          <w:sz w:val="22"/>
        </w:rPr>
        <w:t>Short workshop version for professional researchers</w:t>
      </w: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E8F4F2"/>
            <w:tcBorders>
              <w:top w:val="single" w:sz="8" w:color="1E6F78"/>
              <w:left w:val="single" w:sz="8" w:color="1E6F78"/>
              <w:bottom w:val="single" w:sz="8" w:color="1E6F78"/>
              <w:right w:val="single" w:sz="8" w:color="1E6F78"/>
              <w:insideH w:val="single" w:sz="8" w:color="1E6F78"/>
              <w:insideV w:val="single" w:sz="8" w:color="1E6F78"/>
            </w:tcBorders>
            <w:tcMar>
              <w:top w:w="90" w:type="dxa"/>
              <w:start w:w="110" w:type="dxa"/>
              <w:bottom w:w="90" w:type="dxa"/>
              <w:end w:w="110" w:type="dxa"/>
            </w:tcMar>
          </w:tcPr>
          <w:p>
            <w:pPr>
              <w:spacing w:after="0"/>
            </w:pPr>
            <w:r>
              <w:t xml:space="preserve">Decision / research question</w:t>
              <w:t/>
              <w:br/>
              <w:t xml:space="preserve">Are the revised questions, implemented three-scene Probe interface and Hint walkthrough, workflow, and held-out evaluation sufficiently clear, actionable, low-burden, and safe to proceed to user cognitive interviews?</w:t>
            </w:r>
          </w:p>
        </w:tc>
      </w:tr>
    </w:tbl>
    <w:p>
      <w:pPr>
        <w:spacing w:before="0" w:after="20"/>
      </w:pPr>
    </w:p>
    <w:p>
      <w:pPr>
        <w:pStyle w:val="Heading1"/>
        <w:spacing w:before="0" w:after="80"/>
      </w:pPr>
      <w:r>
        <w:rPr>
          <w:rFonts w:ascii="Liberation Sans" w:hAnsi="Liberation Sans"/>
          <w:b w:val="0"/>
          <w:i w:val="0"/>
        </w:rPr>
        <w:t>Method at a glance</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223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Element</w:t>
            </w:r>
          </w:p>
        </w:tc>
        <w:tc>
          <w:tcPr>
            <w:tcW w:type="dxa" w:w="792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Current design</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VPrivCal-Q10</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Ten direct policy questions; Q1-Q6 share one response scale.</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VPrivCal-Probe</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 xml:space="preserve">Three egocentric scenes spanning private, public, and semi-public contexts. After a required Hint walkthrough, participants mark areas without naming categories, then review each present internal category through neutral linked-content labels and optional evidence highlights.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Calibration target</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 xml:space="preserve">Provisional pilot target: approximately 5-7 minutes total for Q10 plus Probe. Time the required Hint walkthrough separately and confirm the total empirically.</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Effectiveness test</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 xml:space="preserve">Generic versus Q10-only versus full compiled VPrivCal policy on manually verified held-out video windows.</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Expert output</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 xml:space="preserve">Keep/revise/remove decisions for Q10, Probe interface, Hint mode, stimuli, and held-out evaluation; pilot-readiness vote.</w:t>
            </w:r>
          </w:p>
        </w:tc>
      </w:tr>
    </w:tbl>
    <w:p>
      <w:pPr>
        <w:spacing w:before="0" w:after="20"/>
      </w:pPr>
    </w:p>
    <w:p>
      <w:pPr>
        <w:spacing w:before="0" w:after="0"/>
      </w:pPr>
      <w:r>
        <w:t xml:space="preserve">Version 6.1 | July 2026 | Interface-aligned edition</w:t>
      </w:r>
    </w:p>
    <w:p>
      <w:r>
        <w:br w:type="page"/>
      </w:r>
    </w:p>
    <w:p>
      <w:pPr>
        <w:pStyle w:val="Heading1"/>
        <w:spacing w:before="0" w:after="80"/>
      </w:pPr>
      <w:r>
        <w:rPr>
          <w:rFonts w:ascii="Liberation Sans" w:hAnsi="Liberation Sans"/>
          <w:b w:val="0"/>
          <w:i w:val="0"/>
        </w:rPr>
        <w:t>1. Reviewer instructions</w:t>
      </w:r>
    </w:p>
    <w:p>
      <w:pPr>
        <w:spacing w:before="0" w:after="80"/>
      </w:pPr>
      <w:r>
        <w:rPr>
          <w:rFonts w:ascii="Liberation Sans" w:hAnsi="Liberation Sans"/>
          <w:b w:val="0"/>
          <w:i w:val="0"/>
        </w:rPr>
        <w:t xml:space="preserve">Complete ratings independently before discussion. Use the expert-review interface, start each scene from a fresh state, and judge the visible design as implemented. Proposed fixes belong in the comment fields and should not inflate the current rating. The profile screen is currently disabled and is not participant-facing functionality.</w:t>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158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Rating</w:t>
            </w:r>
          </w:p>
        </w:tc>
        <w:tc>
          <w:tcPr>
            <w:tcW w:type="dxa" w:w="856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7"/>
              </w:rPr>
              <w:t>Meaning</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1</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Major problem / not ready</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2</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Substantial revision needed</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7"/>
              </w:rPr>
              <w:t>3</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7"/>
              </w:rPr>
              <w:t>Acceptable with minor revision</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7"/>
              </w:rPr>
              <w:t>4</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7"/>
              </w:rPr>
              <w:t>Strong / ready for cognitive testing</w:t>
            </w:r>
          </w:p>
        </w:tc>
      </w:tr>
    </w:tbl>
    <w:p>
      <w:pPr>
        <w:spacing w:before="0" w:after="20"/>
      </w:pPr>
    </w:p>
    <w:p>
      <w:pPr>
        <w:pStyle w:val="Heading1"/>
        <w:spacing w:before="0" w:after="80"/>
      </w:pPr>
      <w:r>
        <w:rPr>
          <w:rFonts w:ascii="Liberation Sans" w:hAnsi="Liberation Sans"/>
          <w:b w:val="0"/>
          <w:i w:val="0"/>
        </w:rPr>
        <w:t>2. Method workflow</w:t>
      </w:r>
    </w:p>
    <w:p>
      <w:pPr>
        <w:spacing w:after="40"/>
        <w:jc w:val="center"/>
      </w:pPr>
      <w:r>
        <w:drawing>
          <wp:inline xmlns:a="http://schemas.openxmlformats.org/drawingml/2006/main" xmlns:pic="http://schemas.openxmlformats.org/drawingml/2006/picture">
            <wp:extent cx="6446520" cy="2041398"/>
            <wp:docPr id="1" name="Picture 1" descr="Image: image1.png"/>
            <wp:cNvGraphicFramePr>
              <a:graphicFrameLocks noChangeAspect="1"/>
            </wp:cNvGraphicFramePr>
            <a:graphic>
              <a:graphicData uri="http://schemas.openxmlformats.org/drawingml/2006/picture">
                <pic:pic>
                  <pic:nvPicPr>
                    <pic:cNvPr id="0" name="vprivcal_workflow.png"/>
                    <pic:cNvPicPr/>
                  </pic:nvPicPr>
                  <pic:blipFill>
                    <a:blip r:embed="rId11"/>
                    <a:stretch>
                      <a:fillRect/>
                    </a:stretch>
                  </pic:blipFill>
                  <pic:spPr>
                    <a:xfrm>
                      <a:off x="0" y="0"/>
                      <a:ext cx="6446520" cy="2041398"/>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633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Review question</w:t>
            </w:r>
          </w:p>
        </w:tc>
        <w:tc>
          <w:tcPr>
            <w:tcW w:type="dxa" w:w="381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Rating / comment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 xml:space="preserve">Does the live workflow make clear that Q10 and Probe are two components of one method while the profile screen remains disabled?</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1  2  3  4   Comment: ______________________________</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 xml:space="preserve">Is the 5-7 minute target credible when the required Hint walkthrough and category-complete review are included and timed separately?</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1  2  3  4   Comment: ______________________________</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 xml:space="preserve">Is it clear that simulated policy-output pre-verification and held-out-video effectiveness testing occur after elicitation, not during the Probe?</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1  2  3  4   Comment: ______________________________</w:t>
            </w:r>
          </w:p>
        </w:tc>
      </w:tr>
    </w:tbl>
    <w:p>
      <w:pPr>
        <w:spacing w:before="0" w:after="20"/>
      </w:pPr>
    </w:p>
    <w:p>
      <w:pPr>
        <w:pStyle w:val="Heading1"/>
        <w:spacing w:before="0" w:after="80"/>
      </w:pPr>
      <w:r>
        <w:rPr>
          <w:rFonts w:ascii="Liberation Sans" w:hAnsi="Liberation Sans"/>
          <w:b w:val="0"/>
          <w:i w:val="0"/>
        </w:rPr>
        <w:t>3. VPrivCal-Q10 candidate questions</w:t>
      </w: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EAF3F8"/>
            <w:tcBorders>
              <w:top w:val="single" w:sz="8" w:color="153B5B"/>
              <w:left w:val="single" w:sz="8" w:color="153B5B"/>
              <w:bottom w:val="single" w:sz="8" w:color="153B5B"/>
              <w:right w:val="single" w:sz="8" w:color="153B5B"/>
              <w:insideH w:val="single" w:sz="8" w:color="153B5B"/>
              <w:insideV w:val="single" w:sz="8" w:color="153B5B"/>
            </w:tcBorders>
            <w:tcMar>
              <w:top w:w="90" w:type="dxa"/>
              <w:start w:w="110" w:type="dxa"/>
              <w:bottom w:w="90" w:type="dxa"/>
              <w:end w:w="110" w:type="dxa"/>
            </w:tcMar>
          </w:tcPr>
          <w:p>
            <w:pPr>
              <w:spacing w:after="40"/>
            </w:pPr>
            <w:r>
              <w:rPr>
                <w:rFonts w:ascii="Liberation Sans" w:hAnsi="Liberation Sans"/>
                <w:b/>
                <w:color w:val="153B5B"/>
                <w:sz w:val="19"/>
              </w:rPr>
              <w:t>Shared scale for Q1-Q6</w:t>
            </w:r>
          </w:p>
          <w:p>
            <w:pPr>
              <w:spacing w:after="0"/>
            </w:pPr>
            <w:r>
              <w:rPr>
                <w:rFonts w:ascii="Liberation Sans" w:hAnsi="Liberation Sans"/>
                <w:color w:val="1D2833"/>
                <w:sz w:val="18"/>
              </w:rPr>
              <w:t>1 Use for the current task without interruption | 2 Handle silently and avoid unnecessary detail | 3 Give a brief reminder | 4 Ask before using it | 5 Do not use it unless explicitly requested</w:t>
            </w:r>
          </w:p>
        </w:tc>
      </w:tr>
    </w:tbl>
    <w:p>
      <w:pPr>
        <w:spacing w:before="0" w:after="20"/>
      </w:pPr>
    </w:p>
    <w:tbl>
      <w:tblPr>
        <w:tblStyle w:val="TableGrid"/>
        <w:tblW w:type="auto" w:w="0"/>
        <w:jc w:val="center"/>
        <w:tblLayout w:type="fixed"/>
        <w:tblLook w:firstColumn="1" w:firstRow="1" w:lastColumn="0" w:lastRow="0" w:noHBand="0" w:noVBand="1" w:val="04A0"/>
      </w:tblPr>
      <w:tblGrid>
        <w:gridCol w:w="1481"/>
        <w:gridCol w:w="1481"/>
        <w:gridCol w:w="1481"/>
        <w:gridCol w:w="1481"/>
        <w:gridCol w:w="1481"/>
        <w:gridCol w:w="1481"/>
        <w:gridCol w:w="1481"/>
      </w:tblGrid>
      <w:tr>
        <w:trPr>
          <w:tblHeader w:val="true"/>
          <w:cantSplit/>
        </w:trPr>
        <w:tc>
          <w:tcPr>
            <w:tcW w:type="dxa" w:w="605"/>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4"/>
              </w:rPr>
              <w:t>Item</w:t>
            </w:r>
          </w:p>
        </w:tc>
        <w:tc>
          <w:tcPr>
            <w:tcW w:type="dxa" w:w="3096"/>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4"/>
              </w:rPr>
              <w:t>Category / policy dimension</w:t>
            </w:r>
          </w:p>
        </w:tc>
        <w:tc>
          <w:tcPr>
            <w:tcW w:type="dxa" w:w="1037"/>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4"/>
              </w:rPr>
              <w:t>Relevance</w:t>
            </w:r>
          </w:p>
        </w:tc>
        <w:tc>
          <w:tcPr>
            <w:tcW w:type="dxa" w:w="893"/>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4"/>
              </w:rPr>
              <w:t>Clarity</w:t>
            </w:r>
          </w:p>
        </w:tc>
        <w:tc>
          <w:tcPr>
            <w:tcW w:type="dxa" w:w="1181"/>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4"/>
              </w:rPr>
              <w:t>Actionability</w:t>
            </w:r>
          </w:p>
        </w:tc>
        <w:tc>
          <w:tcPr>
            <w:tcW w:type="dxa" w:w="1325"/>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4"/>
              </w:rPr>
              <w:t>Predictive value</w:t>
            </w:r>
          </w:p>
        </w:tc>
        <w:tc>
          <w:tcPr>
            <w:tcW w:type="dxa" w:w="194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4"/>
              </w:rPr>
              <w:t>Decision</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4"/>
              </w:rPr>
              <w:t>Q1</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Biometric data</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4"/>
              </w:rPr>
              <w:t>Q2</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Children images</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4"/>
              </w:rPr>
              <w:t>Q3</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Personally identifiable information (PII)</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4"/>
              </w:rPr>
              <w:t>Q4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Legal sensitivity information</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4"/>
              </w:rPr>
              <w:t>Q5</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Personal life</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4"/>
              </w:rPr>
              <w:t>Q6</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Background individuals</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4"/>
              </w:rPr>
              <w:t>Q7</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Inferred privacy risks</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4"/>
              </w:rPr>
              <w:t>Q8</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Reminder sensitivity</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4"/>
              </w:rPr>
              <w:t>Q9</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Uncertain detections</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4"/>
              </w:rPr>
              <w:t>Keep / Revise / Remove</w:t>
            </w:r>
          </w:p>
        </w:tc>
      </w:tr>
      <w:tr>
        <w:trPr>
          <w:cantSplit/>
        </w:trPr>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4"/>
              </w:rPr>
              <w:t>Q10</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Task-irrelevant sensitive information</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1 2 3 4</w:t>
            </w:r>
          </w:p>
        </w:tc>
        <w:tc>
          <w:tcPr>
            <w:tcW w:type="dxa" w:w="1481"/>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4"/>
              </w:rPr>
              <w:t>Keep / Revise / Remove</w:t>
            </w:r>
          </w:p>
        </w:tc>
      </w:tr>
    </w:tbl>
    <w:p>
      <w:pPr>
        <w:spacing w:before="0" w:after="20"/>
      </w:pPr>
    </w:p>
    <w:p>
      <w:pPr>
        <w:pStyle w:val="Heading1"/>
        <w:spacing w:before="0" w:after="80"/>
      </w:pPr>
      <w:r>
        <w:rPr>
          <w:rFonts w:ascii="Liberation Sans" w:hAnsi="Liberation Sans"/>
          <w:b w:val="0"/>
          <w:i w:val="0"/>
        </w:rPr>
        <w:t>4. Item-specific prompts</w:t>
      </w:r>
    </w:p>
    <w:p>
      <w:pPr>
        <w:spacing w:before="0" w:after="20"/>
      </w:pPr>
      <w:r>
        <w:rPr>
          <w:rFonts w:ascii="Liberation Sans" w:hAnsi="Liberation Sans"/>
          <w:b/>
          <w:i w:val="0"/>
          <w:color w:val="1E6F78"/>
          <w:sz w:val="19"/>
        </w:rPr>
        <w:t>Q1. Biometric data</w:t>
      </w:r>
    </w:p>
    <w:p>
      <w:pPr>
        <w:spacing w:before="0" w:after="20"/>
      </w:pPr>
      <w:r>
        <w:rPr>
          <w:rFonts w:ascii="Liberation Sans" w:hAnsi="Liberation Sans"/>
          <w:b w:val="0"/>
          <w:i w:val="0"/>
          <w:sz w:val="17"/>
        </w:rPr>
        <w:t>Faces, fingerprints, and other distinctive body features that may identify a person.</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Q2. Children images</w:t>
      </w:r>
    </w:p>
    <w:p>
      <w:pPr>
        <w:spacing w:before="0" w:after="20"/>
      </w:pPr>
      <w:r>
        <w:rPr>
          <w:rFonts w:ascii="Liberation Sans" w:hAnsi="Liberation Sans"/>
          <w:b w:val="0"/>
          <w:i w:val="0"/>
          <w:sz w:val="17"/>
        </w:rPr>
        <w:t>Children, school events, playgrounds, and child-related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Q3. Personally identifiable information (PII)</w:t>
      </w:r>
    </w:p>
    <w:p>
      <w:pPr>
        <w:spacing w:before="0" w:after="20"/>
      </w:pPr>
      <w:r>
        <w:rPr>
          <w:rFonts w:ascii="Liberation Sans" w:hAnsi="Liberation Sans"/>
          <w:b w:val="0"/>
          <w:i w:val="0"/>
          <w:sz w:val="17"/>
        </w:rPr>
        <w:t>Financial or medical data; names, passports, email addresses, phone numbers, GPS, license plates, and other identifiers.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Q4. Legal sensitivity information</w:t>
      </w:r>
    </w:p>
    <w:p>
      <w:pPr>
        <w:spacing w:before="0" w:after="20"/>
      </w:pPr>
      <w:r>
        <w:rPr>
          <w:rFonts w:ascii="Liberation Sans" w:hAnsi="Liberation Sans"/>
          <w:b w:val="0"/>
          <w:i w:val="0"/>
          <w:sz w:val="17"/>
        </w:rPr>
        <w:t>Nudity or explicit imagery; violent or unlawful acts; criminal acts; weapons or other high-risk items.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Q5. Personal life</w:t>
      </w:r>
    </w:p>
    <w:p>
      <w:pPr>
        <w:spacing w:before="0" w:after="20"/>
      </w:pPr>
      <w:r>
        <w:rPr>
          <w:rFonts w:ascii="Liberation Sans" w:hAnsi="Liberation Sans"/>
          <w:b w:val="0"/>
          <w:i w:val="0"/>
          <w:sz w:val="17"/>
        </w:rPr>
        <w:t>Home interiors, personal items, location context, landmarks, routines, relationships, and activities.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1E6F78"/>
          <w:sz w:val="19"/>
        </w:rPr>
        <w:t>Q6. Background individuals</w:t>
      </w:r>
    </w:p>
    <w:p>
      <w:pPr>
        <w:spacing w:before="0" w:after="20"/>
      </w:pPr>
      <w:r>
        <w:t>Passersby, bystanders, coworkers, patients, patrons, and other people incidentally captured.</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Q7. Inferred privacy risks</w:t>
      </w:r>
    </w:p>
    <w:p>
      <w:pPr>
        <w:spacing w:before="0" w:after="20"/>
      </w:pPr>
      <w:r>
        <w:rPr>
          <w:rFonts w:ascii="Liberation Sans" w:hAnsi="Liberation Sans"/>
          <w:b w:val="0"/>
          <w:i w:val="0"/>
          <w:sz w:val="17"/>
        </w:rPr>
        <w:t>How should reminders work when the VLM can infer sensitive information that is not directly visible?</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Q8. Reminder sensitivity</w:t>
      </w:r>
    </w:p>
    <w:p>
      <w:pPr>
        <w:spacing w:before="0" w:after="20"/>
      </w:pPr>
      <w:r>
        <w:rPr>
          <w:rFonts w:ascii="Liberation Sans" w:hAnsi="Liberation Sans"/>
          <w:b w:val="0"/>
          <w:i w:val="0"/>
          <w:sz w:val="17"/>
        </w:rPr>
        <w:t>What balance should the system use between missed risks and unnecessary reminders?</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Q9. Uncertain detections</w:t>
      </w:r>
    </w:p>
    <w:p>
      <w:pPr>
        <w:spacing w:before="0" w:after="20"/>
      </w:pPr>
      <w:r>
        <w:rPr>
          <w:rFonts w:ascii="Liberation Sans" w:hAnsi="Liberation Sans"/>
          <w:b w:val="0"/>
          <w:i w:val="0"/>
          <w:sz w:val="17"/>
        </w:rPr>
        <w:t>What should happen when the VLM is unsure whether a cue is sensitive?</w:t>
      </w:r>
    </w:p>
    <w:p>
      <w:pPr>
        <w:spacing w:before="0" w:after="80"/>
      </w:pPr>
      <w:r>
        <w:rPr>
          <w:rFonts w:ascii="Liberation Sans" w:hAnsi="Liberation Sans"/>
          <w:b w:val="0"/>
          <w:i w:val="0"/>
          <w:sz w:val="16"/>
        </w:rPr>
        <w:t>Main concern / suggested wording: ______________________________________________________________</w:t>
      </w:r>
    </w:p>
    <w:p>
      <w:pPr>
        <w:spacing w:before="0" w:after="20"/>
      </w:pPr>
      <w:r>
        <w:rPr>
          <w:rFonts w:ascii="Liberation Sans" w:hAnsi="Liberation Sans"/>
          <w:b/>
          <w:i w:val="0"/>
          <w:color w:val="7255A6"/>
          <w:sz w:val="19"/>
        </w:rPr>
        <w:t>Q10. Task-irrelevant sensitive information</w:t>
      </w:r>
    </w:p>
    <w:p>
      <w:pPr>
        <w:spacing w:before="0" w:after="20"/>
      </w:pPr>
      <w:r>
        <w:rPr>
          <w:rFonts w:ascii="Liberation Sans" w:hAnsi="Liberation Sans"/>
          <w:b w:val="0"/>
          <w:i w:val="0"/>
          <w:sz w:val="17"/>
        </w:rPr>
        <w:t>What should happen when sensitive information is visible but unnecessary for the current task?</w:t>
      </w:r>
    </w:p>
    <w:p>
      <w:pPr>
        <w:spacing w:before="0" w:after="80"/>
      </w:pPr>
      <w:r>
        <w:rPr>
          <w:rFonts w:ascii="Liberation Sans" w:hAnsi="Liberation Sans"/>
          <w:b w:val="0"/>
          <w:i w:val="0"/>
          <w:sz w:val="16"/>
        </w:rPr>
        <w:t>Main concern / suggested wording: ______________________________________________________________</w:t>
      </w:r>
    </w:p>
    <w:p>
      <w:pPr>
        <w:pStyle w:val="Heading1"/>
        <w:spacing w:before="0" w:after="80"/>
      </w:pPr>
      <w:r>
        <w:rPr>
          <w:rFonts w:ascii="Liberation Sans" w:hAnsi="Liberation Sans"/>
          <w:b w:val="0"/>
          <w:i w:val="0"/>
        </w:rPr>
        <w:t>5. VPrivCal-Probe stimuli</w:t>
      </w:r>
    </w:p>
    <w:p>
      <w:pPr>
        <w:spacing w:after="40"/>
        <w:jc w:val="center"/>
      </w:pPr>
      <w:r>
        <w:drawing>
          <wp:inline xmlns:a="http://schemas.openxmlformats.org/drawingml/2006/main" xmlns:pic="http://schemas.openxmlformats.org/drawingml/2006/picture">
            <wp:extent cx="6446520" cy="3384423"/>
            <wp:docPr id="2" name="Picture 2" descr="Image: image2.png"/>
            <wp:cNvGraphicFramePr>
              <a:graphicFrameLocks noChangeAspect="1"/>
            </wp:cNvGraphicFramePr>
            <a:graphic>
              <a:graphicData uri="http://schemas.openxmlformats.org/drawingml/2006/picture">
                <pic:pic>
                  <pic:nvPicPr>
                    <pic:cNvPr id="0" name="vprivcal_probe_composite.png"/>
                    <pic:cNvPicPr/>
                  </pic:nvPicPr>
                  <pic:blipFill>
                    <a:blip r:embed="rId12"/>
                    <a:stretch>
                      <a:fillRect/>
                    </a:stretch>
                  </pic:blipFill>
                  <pic:spPr>
                    <a:xfrm>
                      <a:off x="0" y="0"/>
                      <a:ext cx="6446520" cy="3384423"/>
                    </a:xfrm>
                    <a:prstGeom prst="rect"/>
                  </pic:spPr>
                </pic:pic>
              </a:graphicData>
            </a:graphic>
          </wp:inline>
        </w:drawing>
      </w:r>
    </w:p>
    <w:tbl>
      <w:tblPr>
        <w:tblW w:type="auto" w:w="0"/>
        <w:jc w:val="center"/>
        <w:tblLayout w:type="fixed"/>
        <w:tblLook w:firstColumn="1" w:firstRow="1" w:lastColumn="0" w:lastRow="0" w:noHBand="0" w:noVBand="1" w:val="04A0"/>
      </w:tblPr>
      <w:tblGrid>
        <w:gridCol w:w="10152"/>
      </w:tblGrid>
      <w:tr>
        <w:trPr>
          <w:cantSplit/>
          <w:tblHeader/>
        </w:trPr>
        <w:tc>
          <w:tcPr>
            <w:tcW w:type="dxa" w:w="10368"/>
            <w:shd w:fill="F1ECFA"/>
            <w:tcBorders>
              <w:top w:val="single" w:sz="8" w:color="7255A6"/>
              <w:left w:val="single" w:sz="8" w:color="7255A6"/>
              <w:bottom w:val="single" w:sz="8" w:color="7255A6"/>
              <w:right w:val="single" w:sz="8" w:color="7255A6"/>
              <w:insideH w:val="single" w:sz="8" w:color="7255A6"/>
              <w:insideV w:val="single" w:sz="8" w:color="7255A6"/>
            </w:tcBorders>
            <w:tcMar>
              <w:top w:w="90" w:type="dxa"/>
              <w:start w:w="110" w:type="dxa"/>
              <w:bottom w:w="90" w:type="dxa"/>
              <w:end w:w="110" w:type="dxa"/>
            </w:tcMar>
          </w:tcPr>
          <w:p>
            <w:pPr>
              <w:spacing w:after="0"/>
            </w:pPr>
            <w:r>
              <w:t xml:space="preserve">Two questions per internal category-scene pair</w:t>
              <w:t/>
              <w:t/>
              <w:br/>
              <w:t xml:space="preserve">A. Before the highlight: already aware / noticed but did not consider privacy / did not notice or realize VLM capability / not a concern.</w:t>
              <w:br/>
              <w:t xml:space="preserve">B. Preferred action for similar content: no intervention / silent handling / brief reminder / ask before use / avoid unless explicitly requested.</w:t>
              <w:br/>
              <w:t xml:space="preserve">Category identities are hidden; participants see neutral linked-content labels.</w:t>
            </w:r>
          </w:p>
        </w:tc>
      </w:tr>
    </w:tbl>
    <w:p>
      <w:pPr>
        <w:spacing w:before="0" w:after="20"/>
      </w:pPr>
      <w:r>
        <w:t xml:space="preserve">The stimuli span private, public, and semi-public contexts. Coverage remains scene-level and internally category-complete across all six high-level categories. Phase A is unprompted pointing; Phase B uses neutral linked-content labels because participant-facing category identities are hidden.</w:t>
      </w:r>
    </w:p>
    <w:tbl>
      <w:tblPr>
        <w:tblStyle w:val="TableGrid"/>
        <w:tblW w:type="auto" w:w="0"/>
        <w:jc w:val="center"/>
        <w:tblLayout w:type="fixed"/>
        <w:tblLook w:firstColumn="1" w:firstRow="1" w:lastColumn="0" w:lastRow="0" w:noHBand="0" w:noVBand="1" w:val="04A0"/>
      </w:tblPr>
      <w:tblGrid>
        <w:gridCol w:w="2074"/>
        <w:gridCol w:w="2074"/>
        <w:gridCol w:w="2074"/>
        <w:gridCol w:w="2074"/>
        <w:gridCol w:w="2074"/>
      </w:tblGrid>
      <w:tr>
        <w:trPr>
          <w:tblHeader w:val="true"/>
          <w:cantSplit/>
        </w:trPr>
        <w:tc>
          <w:tcPr>
            <w:tcW w:type="dxa" w:w="338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Criterion</w:t>
            </w:r>
          </w:p>
        </w:tc>
        <w:tc>
          <w:tcPr>
            <w:tcW w:type="dxa" w:w="108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Scene 1</w:t>
            </w:r>
          </w:p>
        </w:tc>
        <w:tc>
          <w:tcPr>
            <w:tcW w:type="dxa" w:w="108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Scene 2</w:t>
            </w:r>
          </w:p>
        </w:tc>
        <w:tc>
          <w:tcPr>
            <w:tcW w:type="dxa" w:w="108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Scene 3</w:t>
            </w:r>
          </w:p>
        </w:tc>
        <w:tc>
          <w:tcPr>
            <w:tcW w:type="dxa" w:w="352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5"/>
              </w:rPr>
              <w:t>Comment</w:t>
            </w:r>
          </w:p>
        </w:tc>
      </w:tr>
      <w:tr>
        <w:trPr>
          <w:cantSplit/>
        </w:trPr>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Context is realistic and distinct</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________________</w:t>
            </w:r>
          </w:p>
        </w:tc>
      </w:tr>
      <w:tr>
        <w:trPr>
          <w:cantSplit/>
        </w:trPr>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 xml:space="preserve">Internal category coverage is complete for the scene</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________________</w:t>
            </w:r>
          </w:p>
        </w:tc>
      </w:tr>
      <w:tr>
        <w:trPr>
          <w:cantSplit/>
        </w:trPr>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 xml:space="preserve">The optional evidence highlight is correctly localized and understandable</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________________</w:t>
            </w:r>
          </w:p>
        </w:tc>
      </w:tr>
      <w:tr>
        <w:trPr>
          <w:cantSplit/>
        </w:trPr>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The scene includes both obvious and subtle privacy content</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________________</w:t>
            </w:r>
          </w:p>
        </w:tc>
      </w:tr>
      <w:tr>
        <w:trPr>
          <w:cantSplit/>
        </w:trPr>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 xml:space="preserve">Point-first marking and neutral linked-content review are usable</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5"/>
              </w:rPr>
              <w:t>________________</w:t>
            </w:r>
          </w:p>
        </w:tc>
      </w:tr>
      <w:tr>
        <w:trPr>
          <w:cantSplit/>
        </w:trPr>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Cultural and ethical risk is acceptable</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1 2 3 4</w:t>
            </w:r>
          </w:p>
        </w:tc>
        <w:tc>
          <w:tcPr>
            <w:tcW w:type="dxa" w:w="207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5"/>
              </w:rPr>
              <w:t>________________</w:t>
            </w:r>
          </w:p>
        </w:tc>
      </w:tr>
    </w:tbl>
    <w:p>
      <w:pPr>
        <w:spacing w:before="0" w:after="20"/>
      </w:pPr>
      <w:r>
        <w:t xml:space="preserve">Implemented sequence: require the five-step Hint before the first scene (practice data are not saved; Hint time is separate). Phase A shows a clean image: participants place/delete points or confirm none; category/detection matching is internal, unmatched points are retained, and only ambiguous overlaps trigger a neutral chooser. Phase B reviews every present internal category sequentially with neutral linked-content labels, an optional Show/Hide highlight, awareness status, and preferred action. Category identities remain hidden.</w:t>
      </w:r>
    </w:p>
    <w:p>
      <w:pPr>
        <w:pStyle w:val="Heading1"/>
        <w:spacing w:before="0" w:after="80"/>
      </w:pPr>
      <w:r>
        <w:rPr>
          <w:rFonts w:ascii="Liberation Sans" w:hAnsi="Liberation Sans"/>
          <w:b w:val="0"/>
          <w:i w:val="0"/>
        </w:rPr>
        <w:t>6. Probe-level review</w:t>
      </w:r>
    </w:p>
    <w:tbl>
      <w:tblPr>
        <w:tblStyle w:val="TableGrid"/>
        <w:tblW w:type="auto" w:w="0"/>
        <w:jc w:val="center"/>
        <w:tblLayout w:type="fixed"/>
        <w:tblLook w:firstColumn="1" w:firstRow="1" w:lastColumn="0" w:lastRow="0" w:noHBand="0" w:noVBand="1" w:val="04A0"/>
      </w:tblPr>
      <w:tblGrid>
        <w:gridCol w:w="3456"/>
        <w:gridCol w:w="3456"/>
        <w:gridCol w:w="3456"/>
      </w:tblGrid>
      <w:tr>
        <w:trPr>
          <w:tblHeader w:val="true"/>
          <w:cantSplit/>
        </w:trPr>
        <w:tc>
          <w:tcPr>
            <w:tcW w:type="dxa" w:w="612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Review question</w:t>
            </w:r>
          </w:p>
        </w:tc>
        <w:tc>
          <w:tcPr>
            <w:tcW w:type="dxa" w:w="1152"/>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Rating</w:t>
            </w:r>
          </w:p>
        </w:tc>
        <w:tc>
          <w:tcPr>
            <w:tcW w:type="dxa" w:w="2880"/>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Comment</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 xml:space="preserve">Does the required five-step Hint teach point, delete, phase transition, response layout, and next-item navigation without contaminating real answers?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1 2 3 4</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________________________</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 xml:space="preserve">Is it clear that Hint data are not saved and Hint time is excluded from Probe completion time?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1 2 3 4</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________________________</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 xml:space="preserve">Does Phase A preserve an interpretable unprompted signal when categories and detections remain hidden and unmatched points are retained?</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1 2 3 4</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________________________</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 xml:space="preserve">Are neutral linked-content labels plus the Show/Hide highlight sufficient to identify the review target without category names?</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1 2 3 4</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________________________</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t xml:space="preserve">Do the awareness-status and preferred-action items remain valid and sufficiently brief across every present internal category?</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1 2 3 4</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________________________</w:t>
            </w:r>
          </w:p>
        </w:tc>
      </w:tr>
      <w:tr>
        <w:trPr>
          <w:cantSplit/>
        </w:trPr>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t xml:space="preserve">Are pointer/delete, overlap chooser, move/zoom/pan/reset, keyboard controls, and list fallback sufficiently usable and accessible?</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1 2 3 4</w:t>
            </w:r>
          </w:p>
        </w:tc>
        <w:tc>
          <w:tcPr>
            <w:tcW w:type="dxa" w:w="3456"/>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________________________</w:t>
            </w:r>
          </w:p>
        </w:tc>
      </w:tr>
    </w:tbl>
    <w:p>
      <w:pPr>
        <w:spacing w:before="0" w:after="20"/>
      </w:pPr>
    </w:p>
    <w:p>
      <w:pPr>
        <w:pStyle w:val="Heading1"/>
        <w:spacing w:before="0" w:after="80"/>
      </w:pPr>
      <w:r>
        <w:rPr>
          <w:rFonts w:ascii="Liberation Sans" w:hAnsi="Liberation Sans"/>
          <w:b w:val="0"/>
          <w:i w:val="0"/>
        </w:rPr>
        <w:t>7. Held-out evaluation review</w:t>
      </w:r>
    </w:p>
    <w:p>
      <w:pPr>
        <w:spacing w:after="40"/>
        <w:jc w:val="center"/>
      </w:pPr>
      <w:r>
        <w:drawing>
          <wp:inline xmlns:a="http://schemas.openxmlformats.org/drawingml/2006/main" xmlns:pic="http://schemas.openxmlformats.org/drawingml/2006/picture">
            <wp:extent cx="6400800" cy="2311400"/>
            <wp:docPr id="3" name="Picture 3" descr="Image: image3.png"/>
            <wp:cNvGraphicFramePr>
              <a:graphicFrameLocks noChangeAspect="1"/>
            </wp:cNvGraphicFramePr>
            <a:graphic>
              <a:graphicData uri="http://schemas.openxmlformats.org/drawingml/2006/picture">
                <pic:pic>
                  <pic:nvPicPr>
                    <pic:cNvPr id="0" name="vprivcal_policy_compare.png"/>
                    <pic:cNvPicPr/>
                  </pic:nvPicPr>
                  <pic:blipFill>
                    <a:blip r:embed="rId13"/>
                    <a:stretch>
                      <a:fillRect/>
                    </a:stretch>
                  </pic:blipFill>
                  <pic:spPr>
                    <a:xfrm>
                      <a:off x="0" y="0"/>
                      <a:ext cx="6400800" cy="2311400"/>
                    </a:xfrm>
                    <a:prstGeom prst="rect"/>
                  </pic:spPr>
                </pic:pic>
              </a:graphicData>
            </a:graphic>
          </wp:inline>
        </w:drawing>
      </w:r>
    </w:p>
    <w:tbl>
      <w:tblPr>
        <w:tblStyle w:val="TableGrid"/>
        <w:tblW w:type="auto" w:w="0"/>
        <w:jc w:val="center"/>
        <w:tblLayout w:type="fixed"/>
        <w:tblLook w:firstColumn="1" w:firstRow="1" w:lastColumn="0" w:lastRow="0" w:noHBand="0" w:noVBand="1" w:val="04A0"/>
      </w:tblPr>
      <w:tblGrid>
        <w:gridCol w:w="5184"/>
        <w:gridCol w:w="5184"/>
      </w:tblGrid>
      <w:tr>
        <w:trPr>
          <w:tblHeader w:val="true"/>
          <w:cantSplit/>
        </w:trPr>
        <w:tc>
          <w:tcPr>
            <w:tcW w:type="dxa" w:w="6624"/>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Metric / design decision</w:t>
            </w:r>
          </w:p>
        </w:tc>
        <w:tc>
          <w:tcPr>
            <w:tcW w:type="dxa" w:w="3528"/>
            <w:shd w:fill="153B5B"/>
            <w:tcBorders>
              <w:top w:val="single" w:sz="4" w:color="FFFFFF"/>
              <w:left w:val="single" w:sz="4" w:color="FFFFFF"/>
              <w:bottom w:val="single" w:sz="4" w:color="FFFFFF"/>
              <w:right w:val="single" w:sz="4" w:color="FFFFFF"/>
              <w:insideH w:val="single" w:sz="4" w:color="FFFFFF"/>
              <w:insideV w:val="single" w:sz="4" w:color="FFFFFF"/>
            </w:tcBorders>
            <w:tcMar>
              <w:top w:w="70" w:type="dxa"/>
              <w:start w:w="90" w:type="dxa"/>
              <w:bottom w:w="70" w:type="dxa"/>
              <w:end w:w="90" w:type="dxa"/>
            </w:tcMar>
            <w:vAlign w:val="center"/>
          </w:tcPr>
          <w:p>
            <w:pPr>
              <w:jc w:val="left"/>
            </w:pPr>
            <w:r>
              <w:rPr>
                <w:rFonts w:ascii="Liberation Sans" w:hAnsi="Liberation Sans"/>
                <w:b/>
                <w:color w:val="FFFFFF"/>
                <w:sz w:val="16"/>
              </w:rPr>
              <w:t>Expert judgment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 xml:space="preserve">Primary outcome: exact preferred-action alignment under counterbalanced policy conditions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Strong / Revise / Reject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Ordinal action error</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Strong / Revise / Reject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Over-reminder and under-protection rates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Strong / Revise / Reject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Separate detection validity from privacy relevance</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Strong / Revise / Reject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color w:val="1D2833"/>
                <w:sz w:val="16"/>
              </w:rPr>
              <w:t xml:space="preserve">Use short, manually verified held-out egocentric video windows with temporally emerging cues</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shd w:fill="F4F7F9"/>
          </w:tcPr>
          <w:p>
            <w:pPr>
              <w:spacing w:after="0"/>
            </w:pPr>
            <w:r>
              <w:rPr>
                <w:rFonts w:ascii="Liberation Sans" w:hAnsi="Liberation Sans"/>
                <w:b w:val="0"/>
                <w:color w:val="1D2833"/>
                <w:sz w:val="16"/>
              </w:rPr>
              <w:t>Strong / Revise / Reject</w:t>
            </w:r>
          </w:p>
        </w:tc>
      </w:tr>
      <w:tr>
        <w:trPr>
          <w:cantSplit/>
        </w:trPr>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color w:val="1D2833"/>
                <w:sz w:val="16"/>
              </w:rPr>
              <w:t xml:space="preserve">Simulated compiled-policy pre-verification before the pilot; label outputs non-empirical and keep them separate from the disabled profile UI</w:t>
            </w:r>
          </w:p>
        </w:tc>
        <w:tc>
          <w:tcPr>
            <w:tcW w:type="dxa" w:w="5184"/>
            <w:tcBorders>
              <w:top w:val="single" w:sz="4" w:color="C3CDD3"/>
              <w:left w:val="single" w:sz="4" w:color="C3CDD3"/>
              <w:bottom w:val="single" w:sz="4" w:color="C3CDD3"/>
              <w:right w:val="single" w:sz="4" w:color="C3CDD3"/>
              <w:insideH w:val="single" w:sz="4" w:color="C3CDD3"/>
              <w:insideV w:val="single" w:sz="4" w:color="C3CDD3"/>
            </w:tcBorders>
            <w:tcMar>
              <w:top w:w="70" w:type="dxa"/>
              <w:start w:w="90" w:type="dxa"/>
              <w:bottom w:w="70" w:type="dxa"/>
              <w:end w:w="90" w:type="dxa"/>
            </w:tcMar>
          </w:tcPr>
          <w:p>
            <w:pPr>
              <w:spacing w:after="0"/>
            </w:pPr>
            <w:r>
              <w:rPr>
                <w:rFonts w:ascii="Liberation Sans" w:hAnsi="Liberation Sans"/>
                <w:b w:val="0"/>
                <w:color w:val="1D2833"/>
                <w:sz w:val="16"/>
              </w:rPr>
              <w:t>Strong / Revise / Reject</w:t>
            </w:r>
          </w:p>
        </w:tc>
      </w:tr>
    </w:tbl>
    <w:p>
      <w:pPr>
        <w:spacing w:before="0" w:after="20"/>
      </w:pPr>
    </w:p>
    <w:p>
      <w:pPr>
        <w:pStyle w:val="Heading1"/>
        <w:spacing w:before="0" w:after="80"/>
      </w:pPr>
      <w:r>
        <w:rPr>
          <w:rFonts w:ascii="Liberation Sans" w:hAnsi="Liberation Sans"/>
          <w:b w:val="0"/>
          <w:i w:val="0"/>
        </w:rPr>
        <w:t>8. Final decision</w:t>
      </w:r>
    </w:p>
    <w:p>
      <w:pPr>
        <w:spacing w:before="0" w:after="80"/>
      </w:pPr>
      <w:r>
        <w:rPr>
          <w:rFonts w:ascii="Liberation Sans" w:hAnsi="Liberation Sans"/>
          <w:b w:val="0"/>
          <w:i w:val="0"/>
          <w:sz w:val="18"/>
        </w:rPr>
        <w:t>VPrivCal-Q10:  □ Proceed  □ Minor revision  □ Major revision  □ Replace</w:t>
      </w:r>
    </w:p>
    <w:p>
      <w:pPr>
        <w:spacing w:before="0" w:after="80"/>
      </w:pPr>
      <w:r>
        <w:rPr>
          <w:rFonts w:ascii="Liberation Sans" w:hAnsi="Liberation Sans"/>
          <w:b w:val="0"/>
          <w:i w:val="0"/>
          <w:sz w:val="18"/>
        </w:rPr>
        <w:t xml:space="preserve">VPrivCal-Probe interface (including Hint):  □ Proceed  □ Minor revision  □ Major revision  □ Replace</w:t>
      </w:r>
    </w:p>
    <w:p>
      <w:pPr>
        <w:spacing w:before="0" w:after="80"/>
      </w:pPr>
      <w:r>
        <w:rPr>
          <w:rFonts w:ascii="Liberation Sans" w:hAnsi="Liberation Sans"/>
          <w:b w:val="0"/>
          <w:i w:val="0"/>
          <w:sz w:val="18"/>
        </w:rPr>
        <w:t xml:space="preserve">Workflow and held-out evaluation:  □ Proceed  □ Minor revision  □ Major revision  □ Replace</w:t>
      </w:r>
    </w:p>
    <w:p>
      <w:pPr>
        <w:spacing w:before="0" w:after="80"/>
      </w:pPr>
      <w:r>
        <w:rPr>
          <w:rFonts w:ascii="Liberation Sans" w:hAnsi="Liberation Sans"/>
          <w:b w:val="0"/>
          <w:i w:val="0"/>
          <w:sz w:val="18"/>
        </w:rPr>
        <w:t xml:space="preserve">Simulated policy-output pre-verification:  □ Proceed  □ Minor revision  □ Major revision  □ Defer</w:t>
      </w:r>
    </w:p>
    <w:p>
      <w:pPr>
        <w:spacing w:before="0" w:after="80"/>
      </w:pPr>
      <w:r>
        <w:rPr>
          <w:rFonts w:ascii="Liberation Sans" w:hAnsi="Liberation Sans"/>
          <w:b w:val="0"/>
          <w:i w:val="0"/>
          <w:sz w:val="18"/>
        </w:rPr>
        <w:t>Overall readiness for cognitive interviews:  □ Yes  □ Yes after revision  □ No</w:t>
      </w:r>
    </w:p>
    <w:p>
      <w:pPr>
        <w:spacing w:before="0" w:after="80"/>
      </w:pPr>
      <w:r>
        <w:rPr>
          <w:rFonts w:ascii="Liberation Sans" w:hAnsi="Liberation Sans"/>
          <w:b/>
          <w:i w:val="0"/>
          <w:sz w:val="18"/>
        </w:rPr>
        <w:t>Three highest-priority changes:</w:t>
      </w:r>
    </w:p>
    <w:p>
      <w:pPr>
        <w:spacing w:before="0" w:after="80"/>
      </w:pPr>
      <w:r>
        <w:rPr>
          <w:rFonts w:ascii="Liberation Sans" w:hAnsi="Liberation Sans"/>
          <w:b w:val="0"/>
          <w:i w:val="0"/>
          <w:sz w:val="17"/>
        </w:rPr>
        <w:t>1. __________________________________________________________________________________</w:t>
      </w:r>
    </w:p>
    <w:p>
      <w:pPr>
        <w:spacing w:before="0" w:after="80"/>
      </w:pPr>
      <w:r>
        <w:rPr>
          <w:rFonts w:ascii="Liberation Sans" w:hAnsi="Liberation Sans"/>
          <w:b w:val="0"/>
          <w:i w:val="0"/>
          <w:sz w:val="17"/>
        </w:rPr>
        <w:t>2. __________________________________________________________________________________</w:t>
      </w:r>
    </w:p>
    <w:p>
      <w:pPr>
        <w:spacing w:before="0" w:after="80"/>
      </w:pPr>
      <w:r>
        <w:rPr>
          <w:rFonts w:ascii="Liberation Sans" w:hAnsi="Liberation Sans"/>
          <w:b w:val="0"/>
          <w:i w:val="0"/>
          <w:sz w:val="17"/>
        </w:rPr>
        <w:t>3. __________________________________________________________________________________</w:t>
      </w:r>
    </w:p>
    <w:p>
      <w:pPr>
        <w:spacing w:before="0" w:after="80"/>
      </w:pPr>
      <w:r>
        <w:rPr>
          <w:rFonts w:ascii="Liberation Sans" w:hAnsi="Liberation Sans"/>
          <w:b w:val="0"/>
          <w:i w:val="0"/>
          <w:sz w:val="17"/>
        </w:rPr>
        <w:t>Alternative idea or missing test: ______________________________________________________________________</w:t>
      </w:r>
    </w:p>
    <w:sectPr w:rsidR="00FC693F" w:rsidRPr="0006063C" w:rsidSect="00034616">
      <w:headerReference w:type="default" r:id="rId9"/>
      <w:footerReference w:type="default" r:id="rId10"/>
      <w:pgSz w:w="12240" w:h="15840"/>
      <w:pgMar w:top="792" w:right="936" w:bottom="792" w:left="936"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A6570"/>
        <w:sz w:val="16"/>
      </w:rPr>
      <w:t xml:space="preserve">VPrivCal expert workshop  |  July 2026  |  </w:t>
    </w:r>
    <w:r>
      <w:rPr>
        <w:rFonts w:ascii="Liberation Sans" w:hAnsi="Liberation Sans"/>
        <w:color w:val="5A6570"/>
        <w:sz w:val="16"/>
      </w:rPr>
      <w:t xml:space="preserve">Page </w:t>
    </w:r>
    <w:fldSimple w:instr="PAGE">
      <w:r>
        <w:rPr>
          <w:rFonts w:ascii="Liberation Sans" w:hAnsi="Liberation Sans"/>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5A6570"/>
        <w:sz w:val="15"/>
      </w:rPr>
      <w:t>VPRIVCAL EXPERT WORKSHOP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Liberation Sans" w:hAnsi="Liberation San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Liberation Sans" w:hAnsi="Liberation Sans"/>
      <w:b/>
      <w:bCs/>
      <w:color w:val="153B5B"/>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Liberation Sans" w:hAnsi="Liberation Sans"/>
      <w:b/>
      <w:bCs/>
      <w:color w:val="1E6F78"/>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Liberation Sans" w:hAnsi="Liberation Sans"/>
      <w:b/>
      <w:bCs/>
      <w:color w:val="7255A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60"/>
      <w:contextualSpacing/>
    </w:pPr>
    <w:rPr>
      <w:rFonts w:asciiTheme="majorHAnsi" w:eastAsiaTheme="majorEastAsia" w:hAnsiTheme="majorHAnsi" w:cstheme="majorBidi" w:ascii="Liberation Sans" w:hAnsi="Liberation Sans"/>
      <w:b/>
      <w:color w:val="153B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60" w:after="80"/>
    </w:pPr>
    <w:rPr>
      <w:rFonts w:asciiTheme="majorHAnsi" w:eastAsiaTheme="majorEastAsia" w:hAnsiTheme="majorHAnsi" w:cstheme="majorBidi" w:ascii="Liberation Sans" w:hAnsi="Liberation Sans"/>
      <w:b w:val="0"/>
      <w:i/>
      <w:iCs/>
      <w:color w:val="1E6F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before="40" w:after="120"/>
    </w:pPr>
    <w:rPr>
      <w:rFonts w:ascii="Liberation Sans" w:hAnsi="Liberation Sans"/>
      <w:i/>
      <w:color w:val="5A65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VPrivCal expert workshop</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