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80"/>
        <w:jc w:val="center"/>
      </w:pPr>
      <w:r>
        <w:rPr>
          <w:rFonts w:ascii="Liberation Sans" w:hAnsi="Liberation Sans"/>
          <w:b w:val="0"/>
          <w:i w:val="0"/>
        </w:rPr>
        <w:t>VPrivCal Expert Review</w:t>
      </w:r>
    </w:p>
    <w:p>
      <w:pPr>
        <w:pStyle w:val="Subtitle"/>
        <w:spacing w:before="0" w:after="60"/>
        <w:jc w:val="center"/>
      </w:pPr>
      <w:r>
        <w:rPr>
          <w:rFonts w:ascii="Liberation Sans" w:hAnsi="Liberation Sans"/>
          <w:b w:val="0"/>
          <w:i w:val="0"/>
        </w:rPr>
        <w:t xml:space="preserve">Interface-aligned screening workbook for VPrivCal-Q10 and VPrivCal-Probe</w:t>
      </w:r>
    </w:p>
    <w:p>
      <w:pPr>
        <w:spacing w:before="0" w:after="240"/>
        <w:jc w:val="center"/>
      </w:pPr>
      <w:r>
        <w:rPr>
          <w:rFonts w:ascii="Liberation Sans" w:hAnsi="Liberation Sans"/>
          <w:b w:val="0"/>
          <w:i/>
          <w:color w:val="5A6570"/>
          <w:sz w:val="22"/>
        </w:rPr>
        <w:t>Short workshop version for professional researchers</w:t>
      </w:r>
    </w:p>
    <w:tbl>
      <w:tblPr>
        <w:tblLook w:firstColumn="1" w:firstRow="1" w:lastColumn="0" w:lastRow="0" w:noHBand="0" w:noVBand="1" w:val="04A0"/>
        <w:tblW w:type="dxa" w:w="10080"/>
        <w:tblInd w:type="dxa" w:w="144"/>
        <w:tblLayout w:type="fixed"/>
        <w:jc w:val="left"/>
      </w:tblPr>
      <w:tblGrid>
        <w:gridCol w:w="10080"/>
      </w:tblGrid>
      <w:tr>
        <w:trPr>
          <w:cantSplit/>
          <w:tblHeader/>
          <w:tblHeader w:val="true"/>
        </w:trPr>
        <w:tc>
          <w:tcPr>
            <w:tcW w:type="dxa" w:w="10080"/>
            <w:shd w:fill="E8F4F2"/>
            <w:tcBorders>
              <w:top w:val="single" w:sz="8" w:color="1E6F78"/>
              <w:left w:val="single" w:sz="8" w:color="1E6F78"/>
              <w:bottom w:val="single" w:sz="8" w:color="1E6F78"/>
              <w:right w:val="single" w:sz="8" w:color="1E6F78"/>
              <w:insideH w:val="single" w:sz="8" w:color="1E6F78"/>
              <w:insideV w:val="single" w:sz="8" w:color="1E6F78"/>
            </w:tcBorders>
            <w:tcMar>
              <w:top w:w="72" w:type="dxa"/>
              <w:start w:w="110" w:type="dxa"/>
              <w:bottom w:w="72" w:type="dxa"/>
              <w:end w:w="110" w:type="dxa"/>
              <w:left w:w="72" w:type="dxa"/>
              <w:right w:w="72" w:type="dxa"/>
            </w:tcMar>
            <w:vAlign w:val="center"/>
          </w:tcPr>
          <w:p>
            <w:pPr>
              <w:spacing w:after="0"/>
            </w:pPr>
            <w:r>
              <w:t>Decision / research question</w:t>
              <w:br/>
              <w:t>Are the revised binary reminder questions, three-scene Probe interface, Hint walkthrough, and immediate cue-level acceptance evaluation sufficiently clear, actionable, low-burden, and safe for user cognitive interviews?</w:t>
            </w:r>
          </w:p>
        </w:tc>
      </w:tr>
    </w:tbl>
    <w:p>
      <w:pPr>
        <w:spacing w:before="0" w:after="20"/>
      </w:pPr>
    </w:p>
    <w:p>
      <w:pPr>
        <w:pStyle w:val="Heading1"/>
        <w:spacing w:before="0" w:after="80"/>
      </w:pPr>
      <w:r>
        <w:rPr>
          <w:rFonts w:ascii="Liberation Sans" w:hAnsi="Liberation Sans"/>
          <w:b w:val="0"/>
          <w:i w:val="0"/>
        </w:rPr>
        <w:t>Method at a glance</w:t>
      </w:r>
    </w:p>
    <w:tbl>
      <w:tblPr>
        <w:tblStyle w:val="TableGrid"/>
        <w:tblLook w:firstColumn="1" w:firstRow="1" w:lastColumn="0" w:lastRow="0" w:noHBand="0" w:noVBand="1" w:val="04A0"/>
        <w:tblW w:type="dxa" w:w="10080"/>
        <w:tblInd w:type="dxa" w:w="144"/>
        <w:tblLayout w:type="fixed"/>
        <w:jc w:val="left"/>
      </w:tblPr>
      <w:tblGrid>
        <w:gridCol w:w="5040"/>
        <w:gridCol w:w="5040"/>
      </w:tblGrid>
      <w:tr>
        <w:trPr>
          <w:tblHeader w:val="true"/>
          <w:cantSplit/>
          <w:tblHeader w:val="true"/>
        </w:trPr>
        <w:tc>
          <w:tcPr>
            <w:tcW w:type="dxa" w:w="5040"/>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7"/>
              </w:rPr>
              <w:t>Element</w:t>
            </w:r>
          </w:p>
        </w:tc>
        <w:tc>
          <w:tcPr>
            <w:tcW w:type="dxa" w:w="5040"/>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7"/>
              </w:rPr>
              <w:t>Current design</w:t>
            </w:r>
          </w:p>
        </w:tc>
      </w:tr>
      <w:tr>
        <w:trPr>
          <w:cantSplit/>
        </w:trPr>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color w:val="1D2833"/>
                <w:sz w:val="17"/>
              </w:rPr>
              <w:t>VPrivCal-Q10</w:t>
            </w:r>
          </w:p>
        </w:tc>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t>Ten direct reminder questions; Q1–Q6 share one binary response scale.</w:t>
            </w:r>
          </w:p>
        </w:tc>
      </w:tr>
      <w:tr>
        <w:trPr>
          <w:cantSplit/>
        </w:trPr>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color w:val="1D2833"/>
                <w:sz w:val="17"/>
              </w:rPr>
              <w:t>VPrivCal-Probe</w:t>
            </w:r>
          </w:p>
        </w:tc>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t xml:space="preserve">Three egocentric scenes spanning private, public, and semi-public contexts. After a required Hint walkthrough, participants mark areas without naming categories, then review each present internal category through neutral linked-content labels and optional evidence highlights.</w:t>
            </w:r>
          </w:p>
        </w:tc>
      </w:tr>
      <w:tr>
        <w:trPr>
          <w:cantSplit/>
        </w:trPr>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color w:val="1D2833"/>
                <w:sz w:val="17"/>
              </w:rPr>
              <w:t>Calibration target</w:t>
            </w:r>
          </w:p>
        </w:tc>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t xml:space="preserve">Provisional pilot target: approximately 5-7 minutes total for Q10 plus Probe. Time the required Hint walkthrough separately and confirm the total empirically.</w:t>
            </w:r>
          </w:p>
        </w:tc>
      </w:tr>
      <w:tr>
        <w:trPr>
          <w:cantSplit/>
        </w:trPr>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color w:val="1D2833"/>
                <w:sz w:val="17"/>
              </w:rPr>
              <w:t>Effectiveness test</w:t>
            </w:r>
          </w:p>
        </w:tc>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t>Generic versus Q10-only versus full VPrivCal binary policies on manually verified held-out cue windows; participants rate immediate acceptance and state the preferred reminder decision.</w:t>
            </w:r>
          </w:p>
        </w:tc>
      </w:tr>
      <w:tr>
        <w:trPr>
          <w:cantSplit/>
        </w:trPr>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color w:val="1D2833"/>
                <w:sz w:val="17"/>
              </w:rPr>
              <w:t>Expert output</w:t>
            </w:r>
          </w:p>
        </w:tc>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t>Keep/revise/remove decisions for Q10, Probe, Hint, stimuli, binary reminder rules, and cue-level acceptance measures; pilot-readiness vote.</w:t>
            </w:r>
          </w:p>
        </w:tc>
      </w:tr>
    </w:tbl>
    <w:p>
      <w:pPr>
        <w:spacing w:before="0" w:after="20"/>
      </w:pPr>
    </w:p>
    <w:p>
      <w:pPr>
        <w:spacing w:before="0" w:after="0"/>
      </w:pPr>
      <w:r>
        <w:t>Version 6.2 | July 2026 | Binary reminder and acceptance edition</w:t>
      </w:r>
    </w:p>
    <w:p>
      <w:r>
        <w:br w:type="page"/>
      </w:r>
    </w:p>
    <w:p>
      <w:pPr>
        <w:pStyle w:val="Heading1"/>
        <w:spacing w:before="0" w:after="80"/>
      </w:pPr>
      <w:r>
        <w:rPr>
          <w:rFonts w:ascii="Liberation Sans" w:hAnsi="Liberation Sans"/>
          <w:b w:val="0"/>
          <w:i w:val="0"/>
        </w:rPr>
        <w:t>1. Reviewer instructions</w:t>
      </w:r>
    </w:p>
    <w:p>
      <w:pPr>
        <w:spacing w:before="0" w:after="80"/>
      </w:pPr>
      <w:r>
        <w:rPr>
          <w:rFonts w:ascii="Liberation Sans" w:hAnsi="Liberation Sans"/>
          <w:b w:val="0"/>
          <w:i w:val="0"/>
        </w:rPr>
        <w:t xml:space="preserve">Complete ratings independently before discussion. Use the expert-review interface, start each scene from a fresh state, and judge the visible design as implemented. Proposed fixes belong in the comment fields and should not inflate the current rating. The profile screen is currently disabled and is not participant-facing functionality.</w:t>
      </w:r>
    </w:p>
    <w:tbl>
      <w:tblPr>
        <w:tblStyle w:val="TableGrid"/>
        <w:tblLook w:firstColumn="1" w:firstRow="1" w:lastColumn="0" w:lastRow="0" w:noHBand="0" w:noVBand="1" w:val="04A0"/>
        <w:tblW w:type="dxa" w:w="10080"/>
        <w:tblInd w:type="dxa" w:w="144"/>
        <w:tblLayout w:type="fixed"/>
        <w:jc w:val="left"/>
      </w:tblPr>
      <w:tblGrid>
        <w:gridCol w:w="5040"/>
        <w:gridCol w:w="5040"/>
      </w:tblGrid>
      <w:tr>
        <w:trPr>
          <w:tblHeader w:val="true"/>
          <w:cantSplit/>
          <w:tblHeader w:val="true"/>
        </w:trPr>
        <w:tc>
          <w:tcPr>
            <w:tcW w:type="dxa" w:w="5040"/>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7"/>
              </w:rPr>
              <w:t>Rating</w:t>
            </w:r>
          </w:p>
        </w:tc>
        <w:tc>
          <w:tcPr>
            <w:tcW w:type="dxa" w:w="5040"/>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7"/>
              </w:rPr>
              <w:t>Meaning</w:t>
            </w:r>
          </w:p>
        </w:tc>
      </w:tr>
      <w:tr>
        <w:trPr>
          <w:cantSplit/>
        </w:trPr>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color w:val="1D2833"/>
                <w:sz w:val="17"/>
              </w:rPr>
              <w:t>1</w:t>
            </w:r>
          </w:p>
        </w:tc>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7"/>
              </w:rPr>
              <w:t>Major problem / not ready</w:t>
            </w:r>
          </w:p>
        </w:tc>
      </w:tr>
      <w:tr>
        <w:trPr>
          <w:cantSplit/>
        </w:trPr>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color w:val="1D2833"/>
                <w:sz w:val="17"/>
              </w:rPr>
              <w:t>2</w:t>
            </w:r>
          </w:p>
        </w:tc>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7"/>
              </w:rPr>
              <w:t>Substantial revision needed</w:t>
            </w:r>
          </w:p>
        </w:tc>
      </w:tr>
      <w:tr>
        <w:trPr>
          <w:cantSplit/>
        </w:trPr>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color w:val="1D2833"/>
                <w:sz w:val="17"/>
              </w:rPr>
              <w:t>3</w:t>
            </w:r>
          </w:p>
        </w:tc>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7"/>
              </w:rPr>
              <w:t>Acceptable with minor revision</w:t>
            </w:r>
          </w:p>
        </w:tc>
      </w:tr>
      <w:tr>
        <w:trPr>
          <w:cantSplit/>
        </w:trPr>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color w:val="1D2833"/>
                <w:sz w:val="17"/>
              </w:rPr>
              <w:t>4</w:t>
            </w:r>
          </w:p>
        </w:tc>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7"/>
              </w:rPr>
              <w:t>Strong / ready for cognitive testing</w:t>
            </w:r>
          </w:p>
        </w:tc>
      </w:tr>
    </w:tbl>
    <w:p>
      <w:pPr>
        <w:spacing w:before="0" w:after="20"/>
      </w:pPr>
    </w:p>
    <w:p>
      <w:pPr>
        <w:pStyle w:val="Heading1"/>
        <w:spacing w:before="0" w:after="80"/>
      </w:pPr>
      <w:r>
        <w:rPr>
          <w:rFonts w:ascii="Liberation Sans" w:hAnsi="Liberation Sans"/>
          <w:b w:val="0"/>
          <w:i w:val="0"/>
        </w:rPr>
        <w:t>2. Method workflow</w:t>
      </w:r>
    </w:p>
    <w:p>
      <w:pPr>
        <w:spacing w:after="40"/>
        <w:jc w:val="center"/>
      </w:pPr>
      <w:r>
        <w:drawing>
          <wp:inline xmlns:a="http://schemas.openxmlformats.org/drawingml/2006/main" xmlns:pic="http://schemas.openxmlformats.org/drawingml/2006/picture">
            <wp:extent cx="6400800" cy="2026920"/>
            <wp:docPr id="1" name="Picture 1" descr="Image: image1.png"/>
            <wp:cNvGraphicFramePr>
              <a:graphicFrameLocks noChangeAspect="1"/>
            </wp:cNvGraphicFramePr>
            <a:graphic>
              <a:graphicData uri="http://schemas.openxmlformats.org/drawingml/2006/picture">
                <pic:pic>
                  <pic:nvPicPr>
                    <pic:cNvPr id="0" name="vprivcal_workflow.png"/>
                    <pic:cNvPicPr/>
                  </pic:nvPicPr>
                  <pic:blipFill>
                    <a:blip r:embed="rId11"/>
                    <a:stretch>
                      <a:fillRect/>
                    </a:stretch>
                  </pic:blipFill>
                  <pic:spPr>
                    <a:xfrm>
                      <a:off x="0" y="0"/>
                      <a:ext cx="6400800" cy="2026920"/>
                    </a:xfrm>
                    <a:prstGeom prst="rect"/>
                  </pic:spPr>
                </pic:pic>
              </a:graphicData>
            </a:graphic>
          </wp:inline>
        </w:drawing>
      </w:r>
    </w:p>
    <w:tbl>
      <w:tblPr>
        <w:tblStyle w:val="TableGrid"/>
        <w:tblLook w:firstColumn="1" w:firstRow="1" w:lastColumn="0" w:lastRow="0" w:noHBand="0" w:noVBand="1" w:val="04A0"/>
        <w:tblW w:type="dxa" w:w="10080"/>
        <w:tblInd w:type="dxa" w:w="144"/>
        <w:tblLayout w:type="fixed"/>
        <w:jc w:val="left"/>
      </w:tblPr>
      <w:tblGrid>
        <w:gridCol w:w="5040"/>
        <w:gridCol w:w="5040"/>
      </w:tblGrid>
      <w:tr>
        <w:trPr>
          <w:tblHeader w:val="true"/>
          <w:cantSplit/>
          <w:tblHeader w:val="true"/>
        </w:trPr>
        <w:tc>
          <w:tcPr>
            <w:tcW w:type="dxa" w:w="5040"/>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6"/>
              </w:rPr>
              <w:t>Review question</w:t>
            </w:r>
          </w:p>
        </w:tc>
        <w:tc>
          <w:tcPr>
            <w:tcW w:type="dxa" w:w="5040"/>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6"/>
              </w:rPr>
              <w:t>Rating / comment</w:t>
            </w:r>
          </w:p>
        </w:tc>
      </w:tr>
      <w:tr>
        <w:trPr>
          <w:cantSplit/>
        </w:trPr>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 xml:space="preserve">Does the live workflow make clear that Q10 and Probe are two components of one method while the profile screen remains disabled?</w:t>
            </w:r>
          </w:p>
        </w:tc>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   Comment: ______________________________</w:t>
            </w:r>
          </w:p>
        </w:tc>
      </w:tr>
      <w:tr>
        <w:trPr>
          <w:cantSplit/>
        </w:trPr>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t xml:space="preserve">Is the 5-7 minute target credible when the required Hint walkthrough and category-complete review are included and timed separately?</w:t>
            </w:r>
          </w:p>
        </w:tc>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   Comment: ______________________________</w:t>
            </w:r>
          </w:p>
        </w:tc>
      </w:tr>
      <w:tr>
        <w:trPr>
          <w:cantSplit/>
        </w:trPr>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t>Is it clear that simulated rule pre-verification and held-out cue-level acceptance testing occur after elicitation, not during the Probe?</w:t>
            </w:r>
          </w:p>
        </w:tc>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   Comment: ______________________________</w:t>
            </w:r>
          </w:p>
        </w:tc>
      </w:tr>
    </w:tbl>
    <w:p>
      <w:pPr>
        <w:spacing w:before="0" w:after="20"/>
      </w:pPr>
    </w:p>
    <w:p>
      <w:pPr>
        <w:pStyle w:val="Heading1"/>
        <w:spacing w:before="0" w:after="80"/>
      </w:pPr>
      <w:r>
        <w:rPr>
          <w:rFonts w:ascii="Liberation Sans" w:hAnsi="Liberation Sans"/>
          <w:b w:val="0"/>
          <w:i w:val="0"/>
        </w:rPr>
        <w:t>3. VPrivCal-Q10 candidate questions</w:t>
      </w:r>
    </w:p>
    <w:tbl>
      <w:tblPr>
        <w:tblLook w:firstColumn="1" w:firstRow="1" w:lastColumn="0" w:lastRow="0" w:noHBand="0" w:noVBand="1" w:val="04A0"/>
        <w:tblW w:type="dxa" w:w="10080"/>
        <w:tblInd w:type="dxa" w:w="144"/>
        <w:tblLayout w:type="fixed"/>
        <w:jc w:val="left"/>
      </w:tblPr>
      <w:tblGrid>
        <w:gridCol w:w="10080"/>
      </w:tblGrid>
      <w:tr>
        <w:trPr>
          <w:cantSplit/>
          <w:tblHeader/>
          <w:tblHeader w:val="true"/>
        </w:trPr>
        <w:tc>
          <w:tcPr>
            <w:tcW w:type="dxa" w:w="10080"/>
            <w:shd w:fill="EAF3F8"/>
            <w:tcBorders>
              <w:top w:val="single" w:sz="8" w:color="153B5B"/>
              <w:left w:val="single" w:sz="8" w:color="153B5B"/>
              <w:bottom w:val="single" w:sz="8" w:color="153B5B"/>
              <w:right w:val="single" w:sz="8" w:color="153B5B"/>
              <w:insideH w:val="single" w:sz="8" w:color="153B5B"/>
              <w:insideV w:val="single" w:sz="8" w:color="153B5B"/>
            </w:tcBorders>
            <w:tcMar>
              <w:top w:w="72" w:type="dxa"/>
              <w:start w:w="110" w:type="dxa"/>
              <w:bottom w:w="72" w:type="dxa"/>
              <w:end w:w="110" w:type="dxa"/>
              <w:left w:w="72" w:type="dxa"/>
              <w:right w:w="72" w:type="dxa"/>
            </w:tcMar>
            <w:vAlign w:val="center"/>
          </w:tcPr>
          <w:p>
            <w:pPr>
              <w:spacing w:after="0"/>
            </w:pPr>
            <w:r>
              <w:t>Shared binary reminder scale for Q1–Q6</w:t>
              <w:br/>
              <w:t>1 Do not show a privacy reminder | 2 Show a brief privacy reminder</w:t>
            </w:r>
          </w:p>
        </w:tc>
      </w:tr>
    </w:tbl>
    <w:p>
      <w:pPr>
        <w:spacing w:before="0" w:after="20"/>
      </w:pPr>
    </w:p>
    <w:tbl>
      <w:tblPr>
        <w:tblStyle w:val="TableGrid"/>
        <w:tblLook w:firstColumn="1" w:firstRow="1" w:lastColumn="0" w:lastRow="0" w:noHBand="0" w:noVBand="1" w:val="04A0"/>
        <w:tblW w:type="dxa" w:w="10080"/>
        <w:tblInd w:type="dxa" w:w="144"/>
        <w:tblLayout w:type="fixed"/>
        <w:jc w:val="left"/>
      </w:tblPr>
      <w:tblGrid>
        <w:gridCol w:w="1440"/>
        <w:gridCol w:w="1440"/>
        <w:gridCol w:w="1440"/>
        <w:gridCol w:w="1440"/>
        <w:gridCol w:w="1440"/>
        <w:gridCol w:w="1440"/>
        <w:gridCol w:w="1440"/>
      </w:tblGrid>
      <w:tr>
        <w:trPr>
          <w:tblHeader w:val="true"/>
          <w:cantSplit/>
          <w:tblHeader w:val="true"/>
        </w:trPr>
        <w:tc>
          <w:tcPr>
            <w:tcW w:type="dxa" w:w="1440"/>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6"/>
              </w:rPr>
              <w:t>Item</w:t>
            </w:r>
          </w:p>
        </w:tc>
        <w:tc>
          <w:tcPr>
            <w:tcW w:type="dxa" w:w="1440"/>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6"/>
              </w:rPr>
              <w:t>Category / policy dimension</w:t>
            </w:r>
          </w:p>
        </w:tc>
        <w:tc>
          <w:tcPr>
            <w:tcW w:type="dxa" w:w="1440"/>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6"/>
              </w:rPr>
              <w:t>Relevance</w:t>
            </w:r>
          </w:p>
        </w:tc>
        <w:tc>
          <w:tcPr>
            <w:tcW w:type="dxa" w:w="1440"/>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6"/>
              </w:rPr>
              <w:t>Clarity</w:t>
            </w:r>
          </w:p>
        </w:tc>
        <w:tc>
          <w:tcPr>
            <w:tcW w:type="dxa" w:w="1440"/>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6"/>
              </w:rPr>
              <w:t>Actionability</w:t>
            </w:r>
          </w:p>
        </w:tc>
        <w:tc>
          <w:tcPr>
            <w:tcW w:type="dxa" w:w="1440"/>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6"/>
              </w:rPr>
              <w:t>Predictive value</w:t>
            </w:r>
          </w:p>
        </w:tc>
        <w:tc>
          <w:tcPr>
            <w:tcW w:type="dxa" w:w="1440"/>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6"/>
              </w:rPr>
              <w:t>Decision</w:t>
            </w:r>
          </w:p>
        </w:tc>
      </w:tr>
      <w:tr>
        <w:trPr>
          <w:cantSplit/>
        </w:trPr>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color w:val="1D2833"/>
                <w:sz w:val="16"/>
              </w:rPr>
              <w:t>Q1</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Biometric data</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Keep / Revise / Remove</w:t>
            </w:r>
          </w:p>
        </w:tc>
      </w:tr>
      <w:tr>
        <w:trPr>
          <w:cantSplit/>
        </w:trPr>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color w:val="1D2833"/>
                <w:sz w:val="16"/>
              </w:rPr>
              <w:t>Q2</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Children images</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Keep / Revise / Remove</w:t>
            </w:r>
          </w:p>
        </w:tc>
      </w:tr>
      <w:tr>
        <w:trPr>
          <w:cantSplit/>
        </w:trPr>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color w:val="1D2833"/>
                <w:sz w:val="16"/>
              </w:rPr>
              <w:t>Q3</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Personally identifiable information (PII)</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Keep / Revise / Remove</w:t>
            </w:r>
          </w:p>
        </w:tc>
      </w:tr>
      <w:tr>
        <w:trPr>
          <w:cantSplit/>
        </w:trPr>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color w:val="1D2833"/>
                <w:sz w:val="16"/>
              </w:rPr>
              <w:t>Q4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Legal sensitivity information</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Keep / Revise / Remove</w:t>
            </w:r>
          </w:p>
        </w:tc>
      </w:tr>
      <w:tr>
        <w:trPr>
          <w:cantSplit/>
        </w:trPr>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color w:val="1D2833"/>
                <w:sz w:val="16"/>
              </w:rPr>
              <w:t>Q5</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Personal life</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Keep / Revise / Remove</w:t>
            </w:r>
          </w:p>
        </w:tc>
      </w:tr>
      <w:tr>
        <w:trPr>
          <w:cantSplit/>
        </w:trPr>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color w:val="1D2833"/>
                <w:sz w:val="16"/>
              </w:rPr>
              <w:t>Q6</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Background individuals</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Keep / Revise / Remove</w:t>
            </w:r>
          </w:p>
        </w:tc>
      </w:tr>
      <w:tr>
        <w:trPr>
          <w:cantSplit/>
        </w:trPr>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color w:val="1D2833"/>
                <w:sz w:val="16"/>
              </w:rPr>
              <w:t>Q7</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Inferred privacy risks</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Keep / Revise / Remove</w:t>
            </w:r>
          </w:p>
        </w:tc>
      </w:tr>
      <w:tr>
        <w:trPr>
          <w:cantSplit/>
        </w:trPr>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color w:val="1D2833"/>
                <w:sz w:val="16"/>
              </w:rPr>
              <w:t>Q8</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Reminder sensitivity</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Keep / Revise / Remove</w:t>
            </w:r>
          </w:p>
        </w:tc>
      </w:tr>
      <w:tr>
        <w:trPr>
          <w:cantSplit/>
        </w:trPr>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color w:val="1D2833"/>
                <w:sz w:val="16"/>
              </w:rPr>
              <w:t>Q9</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Uncertain detections</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Keep / Revise / Remove</w:t>
            </w:r>
          </w:p>
        </w:tc>
      </w:tr>
      <w:tr>
        <w:trPr>
          <w:cantSplit/>
        </w:trPr>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color w:val="1D2833"/>
                <w:sz w:val="16"/>
              </w:rPr>
              <w:t>Q10</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Task-irrelevant sensitive information</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Keep / Revise / Remove</w:t>
            </w:r>
          </w:p>
        </w:tc>
      </w:tr>
    </w:tbl>
    <w:p>
      <w:pPr>
        <w:spacing w:before="0" w:after="20"/>
      </w:pPr>
    </w:p>
    <w:p>
      <w:pPr>
        <w:pStyle w:val="Heading1"/>
        <w:spacing w:before="0" w:after="80"/>
      </w:pPr>
      <w:r>
        <w:rPr>
          <w:rFonts w:ascii="Liberation Sans" w:hAnsi="Liberation Sans"/>
          <w:b w:val="0"/>
          <w:i w:val="0"/>
        </w:rPr>
        <w:t>4. Item-specific prompts</w:t>
      </w:r>
    </w:p>
    <w:p>
      <w:pPr>
        <w:spacing w:before="0" w:after="20"/>
      </w:pPr>
      <w:r>
        <w:rPr>
          <w:rFonts w:ascii="Liberation Sans" w:hAnsi="Liberation Sans"/>
          <w:b/>
          <w:i w:val="0"/>
          <w:color w:val="1E6F78"/>
          <w:sz w:val="19"/>
        </w:rPr>
        <w:t>Q1. Biometric data</w:t>
      </w:r>
    </w:p>
    <w:p>
      <w:pPr>
        <w:spacing w:before="0" w:after="20"/>
      </w:pPr>
      <w:r>
        <w:rPr>
          <w:rFonts w:ascii="Liberation Sans" w:hAnsi="Liberation Sans"/>
          <w:b w:val="0"/>
          <w:i w:val="0"/>
          <w:sz w:val="17"/>
        </w:rPr>
        <w:t>Faces, fingerprints, and other distinctive body features that may identify a person.</w:t>
      </w:r>
    </w:p>
    <w:p>
      <w:pPr>
        <w:spacing w:before="0" w:after="80"/>
      </w:pPr>
      <w:r>
        <w:rPr>
          <w:rFonts w:ascii="Liberation Sans" w:hAnsi="Liberation Sans"/>
          <w:b w:val="0"/>
          <w:i w:val="0"/>
          <w:sz w:val="16"/>
        </w:rPr>
        <w:t>Main concern / suggested wording: ______________________________________________________________</w:t>
      </w:r>
    </w:p>
    <w:p>
      <w:pPr>
        <w:spacing w:before="0" w:after="20"/>
      </w:pPr>
      <w:r>
        <w:rPr>
          <w:rFonts w:ascii="Liberation Sans" w:hAnsi="Liberation Sans"/>
          <w:b/>
          <w:i w:val="0"/>
          <w:color w:val="1E6F78"/>
          <w:sz w:val="19"/>
        </w:rPr>
        <w:t>Q2. Children images</w:t>
      </w:r>
    </w:p>
    <w:p>
      <w:pPr>
        <w:spacing w:before="0" w:after="20"/>
      </w:pPr>
      <w:r>
        <w:rPr>
          <w:rFonts w:ascii="Liberation Sans" w:hAnsi="Liberation Sans"/>
          <w:b w:val="0"/>
          <w:i w:val="0"/>
          <w:sz w:val="17"/>
        </w:rPr>
        <w:t>Children, school events, playgrounds, and child-related activities.</w:t>
      </w:r>
    </w:p>
    <w:p>
      <w:pPr>
        <w:spacing w:before="0" w:after="80"/>
      </w:pPr>
      <w:r>
        <w:rPr>
          <w:rFonts w:ascii="Liberation Sans" w:hAnsi="Liberation Sans"/>
          <w:b w:val="0"/>
          <w:i w:val="0"/>
          <w:sz w:val="16"/>
        </w:rPr>
        <w:t>Main concern / suggested wording: ______________________________________________________________</w:t>
      </w:r>
    </w:p>
    <w:p>
      <w:pPr>
        <w:spacing w:before="0" w:after="20"/>
      </w:pPr>
      <w:r>
        <w:rPr>
          <w:rFonts w:ascii="Liberation Sans" w:hAnsi="Liberation Sans"/>
          <w:b/>
          <w:i w:val="0"/>
          <w:color w:val="1E6F78"/>
          <w:sz w:val="19"/>
        </w:rPr>
        <w:t>Q3. Personally identifiable information (PII)</w:t>
      </w:r>
    </w:p>
    <w:p>
      <w:pPr>
        <w:spacing w:before="0" w:after="20"/>
      </w:pPr>
      <w:r>
        <w:rPr>
          <w:rFonts w:ascii="Liberation Sans" w:hAnsi="Liberation Sans"/>
          <w:b w:val="0"/>
          <w:i w:val="0"/>
          <w:sz w:val="17"/>
        </w:rPr>
        <w:t>Financial or medical data; names, passports, email addresses, phone numbers, GPS, license plates, and other identifiers.</w:t>
      </w:r>
    </w:p>
    <w:p>
      <w:pPr>
        <w:spacing w:before="0" w:after="80"/>
      </w:pPr>
      <w:r>
        <w:rPr>
          <w:rFonts w:ascii="Liberation Sans" w:hAnsi="Liberation Sans"/>
          <w:b w:val="0"/>
          <w:i w:val="0"/>
          <w:sz w:val="16"/>
        </w:rPr>
        <w:t>Main concern / suggested wording: ______________________________________________________________</w:t>
      </w:r>
    </w:p>
    <w:p>
      <w:pPr>
        <w:spacing w:before="0" w:after="20"/>
      </w:pPr>
      <w:r>
        <w:rPr>
          <w:rFonts w:ascii="Liberation Sans" w:hAnsi="Liberation Sans"/>
          <w:b/>
          <w:i w:val="0"/>
          <w:color w:val="1E6F78"/>
          <w:sz w:val="19"/>
        </w:rPr>
        <w:t>Q4. Legal sensitivity information</w:t>
      </w:r>
    </w:p>
    <w:p>
      <w:pPr>
        <w:spacing w:before="0" w:after="20"/>
      </w:pPr>
      <w:r>
        <w:rPr>
          <w:rFonts w:ascii="Liberation Sans" w:hAnsi="Liberation Sans"/>
          <w:b w:val="0"/>
          <w:i w:val="0"/>
          <w:sz w:val="17"/>
        </w:rPr>
        <w:t>Nudity or explicit imagery; violent or unlawful acts; criminal acts; weapons or other high-risk items.</w:t>
      </w:r>
    </w:p>
    <w:p>
      <w:pPr>
        <w:spacing w:before="0" w:after="80"/>
      </w:pPr>
      <w:r>
        <w:rPr>
          <w:rFonts w:ascii="Liberation Sans" w:hAnsi="Liberation Sans"/>
          <w:b w:val="0"/>
          <w:i w:val="0"/>
          <w:sz w:val="16"/>
        </w:rPr>
        <w:t>Main concern / suggested wording: ______________________________________________________________</w:t>
      </w:r>
    </w:p>
    <w:p>
      <w:pPr>
        <w:spacing w:before="0" w:after="20"/>
      </w:pPr>
      <w:r>
        <w:rPr>
          <w:rFonts w:ascii="Liberation Sans" w:hAnsi="Liberation Sans"/>
          <w:b/>
          <w:i w:val="0"/>
          <w:color w:val="1E6F78"/>
          <w:sz w:val="19"/>
        </w:rPr>
        <w:t>Q5. Personal life</w:t>
      </w:r>
    </w:p>
    <w:p>
      <w:pPr>
        <w:spacing w:before="0" w:after="20"/>
      </w:pPr>
      <w:r>
        <w:rPr>
          <w:rFonts w:ascii="Liberation Sans" w:hAnsi="Liberation Sans"/>
          <w:b w:val="0"/>
          <w:i w:val="0"/>
          <w:sz w:val="17"/>
        </w:rPr>
        <w:t>Home interiors, personal items, location context, landmarks, routines, relationships, and activities.</w:t>
      </w:r>
    </w:p>
    <w:p>
      <w:pPr>
        <w:spacing w:before="0" w:after="80"/>
      </w:pPr>
      <w:r>
        <w:rPr>
          <w:rFonts w:ascii="Liberation Sans" w:hAnsi="Liberation Sans"/>
          <w:b w:val="0"/>
          <w:i w:val="0"/>
          <w:sz w:val="16"/>
        </w:rPr>
        <w:t>Main concern / suggested wording: ______________________________________________________________</w:t>
      </w:r>
    </w:p>
    <w:p>
      <w:pPr>
        <w:spacing w:before="0" w:after="20"/>
      </w:pPr>
      <w:r>
        <w:rPr>
          <w:rFonts w:ascii="Liberation Sans" w:hAnsi="Liberation Sans"/>
          <w:b/>
          <w:i w:val="0"/>
          <w:color w:val="1E6F78"/>
          <w:sz w:val="19"/>
        </w:rPr>
        <w:t>Q6. Background individuals</w:t>
      </w:r>
    </w:p>
    <w:p>
      <w:pPr>
        <w:spacing w:before="0" w:after="20"/>
      </w:pPr>
      <w:r>
        <w:t>Passersby, bystanders, coworkers, patients, patrons, and other people incidentally captured.</w:t>
      </w:r>
    </w:p>
    <w:p>
      <w:pPr>
        <w:spacing w:before="0" w:after="80"/>
      </w:pPr>
      <w:r>
        <w:rPr>
          <w:rFonts w:ascii="Liberation Sans" w:hAnsi="Liberation Sans"/>
          <w:b w:val="0"/>
          <w:i w:val="0"/>
          <w:sz w:val="16"/>
        </w:rPr>
        <w:t>Main concern / suggested wording: ______________________________________________________________</w:t>
      </w:r>
    </w:p>
    <w:p>
      <w:pPr>
        <w:spacing w:before="0" w:after="20"/>
      </w:pPr>
      <w:r>
        <w:rPr>
          <w:rFonts w:ascii="Liberation Sans" w:hAnsi="Liberation Sans"/>
          <w:b/>
          <w:i w:val="0"/>
          <w:color w:val="7255A6"/>
          <w:sz w:val="19"/>
        </w:rPr>
        <w:t>Q7. Inferred privacy risks</w:t>
      </w:r>
    </w:p>
    <w:p>
      <w:pPr>
        <w:spacing w:before="0" w:after="20"/>
      </w:pPr>
      <w:r>
        <w:t>When a visual cue supports a sensitive inference, should the assistant show a brief privacy reminder?</w:t>
      </w:r>
    </w:p>
    <w:p>
      <w:pPr>
        <w:spacing w:before="0" w:after="80"/>
      </w:pPr>
      <w:r>
        <w:rPr>
          <w:rFonts w:ascii="Liberation Sans" w:hAnsi="Liberation Sans"/>
          <w:b w:val="0"/>
          <w:i w:val="0"/>
          <w:sz w:val="16"/>
        </w:rPr>
        <w:t>Main concern / suggested wording: ______________________________________________________________</w:t>
      </w:r>
    </w:p>
    <w:p>
      <w:pPr>
        <w:spacing w:before="0" w:after="20"/>
      </w:pPr>
      <w:r>
        <w:rPr>
          <w:rFonts w:ascii="Liberation Sans" w:hAnsi="Liberation Sans"/>
          <w:b/>
          <w:i w:val="0"/>
          <w:color w:val="7255A6"/>
          <w:sz w:val="19"/>
        </w:rPr>
        <w:t>Q8. Reminder sensitivity</w:t>
      </w:r>
    </w:p>
    <w:p>
      <w:pPr>
        <w:spacing w:before="0" w:after="20"/>
      </w:pPr>
      <w:r>
        <w:t>How broad should the trigger be when a rule otherwise calls for a reminder: only the most likely or serious cues, or any plausible cue?</w:t>
      </w:r>
    </w:p>
    <w:p>
      <w:pPr>
        <w:spacing w:before="0" w:after="80"/>
      </w:pPr>
      <w:r>
        <w:rPr>
          <w:rFonts w:ascii="Liberation Sans" w:hAnsi="Liberation Sans"/>
          <w:b w:val="0"/>
          <w:i w:val="0"/>
          <w:sz w:val="16"/>
        </w:rPr>
        <w:t>Main concern / suggested wording: ______________________________________________________________</w:t>
      </w:r>
    </w:p>
    <w:p>
      <w:pPr>
        <w:spacing w:before="0" w:after="20"/>
      </w:pPr>
      <w:r>
        <w:rPr>
          <w:rFonts w:ascii="Liberation Sans" w:hAnsi="Liberation Sans"/>
          <w:b/>
          <w:i w:val="0"/>
          <w:color w:val="7255A6"/>
          <w:sz w:val="19"/>
        </w:rPr>
        <w:t>Q9. Uncertain detections</w:t>
      </w:r>
    </w:p>
    <w:p>
      <w:pPr>
        <w:spacing w:before="0" w:after="20"/>
      </w:pPr>
      <w:r>
        <w:t>When the assistant is unsure whether a cue is privacy-sensitive, should it show a brief privacy reminder?</w:t>
      </w:r>
    </w:p>
    <w:p>
      <w:pPr>
        <w:spacing w:before="0" w:after="80"/>
      </w:pPr>
      <w:r>
        <w:rPr>
          <w:rFonts w:ascii="Liberation Sans" w:hAnsi="Liberation Sans"/>
          <w:b w:val="0"/>
          <w:i w:val="0"/>
          <w:sz w:val="16"/>
        </w:rPr>
        <w:t>Main concern / suggested wording: ______________________________________________________________</w:t>
      </w:r>
    </w:p>
    <w:p>
      <w:pPr>
        <w:spacing w:before="0" w:after="20"/>
      </w:pPr>
      <w:r>
        <w:rPr>
          <w:rFonts w:ascii="Liberation Sans" w:hAnsi="Liberation Sans"/>
          <w:b/>
          <w:i w:val="0"/>
          <w:color w:val="7255A6"/>
          <w:sz w:val="19"/>
        </w:rPr>
        <w:t>Q10. Task-irrelevant sensitive information</w:t>
      </w:r>
    </w:p>
    <w:p>
      <w:pPr>
        <w:spacing w:before="0" w:after="20"/>
      </w:pPr>
      <w:r>
        <w:t>When privacy-sensitive content is visible but not needed for the current task, should the assistant show a brief privacy reminder?</w:t>
      </w:r>
    </w:p>
    <w:p>
      <w:pPr>
        <w:spacing w:before="0" w:after="80"/>
      </w:pPr>
      <w:r>
        <w:rPr>
          <w:rFonts w:ascii="Liberation Sans" w:hAnsi="Liberation Sans"/>
          <w:b w:val="0"/>
          <w:i w:val="0"/>
          <w:sz w:val="16"/>
        </w:rPr>
        <w:t>Main concern / suggested wording: ______________________________________________________________</w:t>
      </w:r>
    </w:p>
    <w:p>
      <w:pPr>
        <w:pStyle w:val="Heading1"/>
        <w:spacing w:before="0" w:after="80"/>
      </w:pPr>
      <w:r>
        <w:rPr>
          <w:rFonts w:ascii="Liberation Sans" w:hAnsi="Liberation Sans"/>
          <w:b w:val="0"/>
          <w:i w:val="0"/>
        </w:rPr>
        <w:t>5. VPrivCal-Probe stimuli</w:t>
      </w:r>
    </w:p>
    <w:p>
      <w:pPr>
        <w:spacing w:after="40"/>
        <w:jc w:val="center"/>
      </w:pPr>
      <w:r>
        <w:drawing>
          <wp:inline xmlns:a="http://schemas.openxmlformats.org/drawingml/2006/main" xmlns:pic="http://schemas.openxmlformats.org/drawingml/2006/picture">
            <wp:extent cx="6400800" cy="3360420"/>
            <wp:docPr id="2" name="Picture 2" descr="Image: image2.png"/>
            <wp:cNvGraphicFramePr>
              <a:graphicFrameLocks noChangeAspect="1"/>
            </wp:cNvGraphicFramePr>
            <a:graphic>
              <a:graphicData uri="http://schemas.openxmlformats.org/drawingml/2006/picture">
                <pic:pic>
                  <pic:nvPicPr>
                    <pic:cNvPr id="0" name="vprivcal_probe_composite.png"/>
                    <pic:cNvPicPr/>
                  </pic:nvPicPr>
                  <pic:blipFill>
                    <a:blip r:embed="rId12"/>
                    <a:stretch>
                      <a:fillRect/>
                    </a:stretch>
                  </pic:blipFill>
                  <pic:spPr>
                    <a:xfrm>
                      <a:off x="0" y="0"/>
                      <a:ext cx="6400800" cy="3360420"/>
                    </a:xfrm>
                    <a:prstGeom prst="rect"/>
                  </pic:spPr>
                </pic:pic>
              </a:graphicData>
            </a:graphic>
          </wp:inline>
        </w:drawing>
      </w:r>
    </w:p>
    <w:tbl>
      <w:tblPr>
        <w:tblLook w:firstColumn="1" w:firstRow="1" w:lastColumn="0" w:lastRow="0" w:noHBand="0" w:noVBand="1" w:val="04A0"/>
        <w:tblW w:type="dxa" w:w="10080"/>
        <w:tblInd w:type="dxa" w:w="144"/>
        <w:tblLayout w:type="fixed"/>
        <w:jc w:val="left"/>
      </w:tblPr>
      <w:tblGrid>
        <w:gridCol w:w="10080"/>
      </w:tblGrid>
      <w:tr>
        <w:trPr>
          <w:cantSplit/>
          <w:tblHeader/>
          <w:tblHeader w:val="true"/>
        </w:trPr>
        <w:tc>
          <w:tcPr>
            <w:tcW w:type="dxa" w:w="10080"/>
            <w:shd w:fill="F1ECFA"/>
            <w:tcBorders>
              <w:top w:val="single" w:sz="8" w:color="7255A6"/>
              <w:left w:val="single" w:sz="8" w:color="7255A6"/>
              <w:bottom w:val="single" w:sz="8" w:color="7255A6"/>
              <w:right w:val="single" w:sz="8" w:color="7255A6"/>
              <w:insideH w:val="single" w:sz="8" w:color="7255A6"/>
              <w:insideV w:val="single" w:sz="8" w:color="7255A6"/>
            </w:tcBorders>
            <w:tcMar>
              <w:top w:w="72" w:type="dxa"/>
              <w:start w:w="110" w:type="dxa"/>
              <w:bottom w:w="72" w:type="dxa"/>
              <w:end w:w="110" w:type="dxa"/>
              <w:left w:w="72" w:type="dxa"/>
              <w:right w:w="72" w:type="dxa"/>
            </w:tcMar>
            <w:vAlign w:val="center"/>
          </w:tcPr>
          <w:p>
            <w:pPr>
              <w:spacing w:after="0"/>
            </w:pPr>
            <w:r>
              <w:t>Two questions per internal category-scene pair</w:t>
              <w:br/>
              <w:t>A. Before the highlight: already aware / noticed but did not consider privacy / did not notice or realize VLM capability / not a concern.</w:t>
              <w:br/>
              <w:t>B. Reminder decision for similar content: do not show a privacy reminder / show a brief privacy reminder.</w:t>
              <w:br/>
              <w:t>Category identities are hidden; participants see neutral linked-content labels.</w:t>
            </w:r>
          </w:p>
        </w:tc>
      </w:tr>
    </w:tbl>
    <w:p>
      <w:pPr>
        <w:spacing w:before="0" w:after="20"/>
      </w:pPr>
      <w:r>
        <w:t xml:space="preserve">The stimuli span private, public, and semi-public contexts. Coverage remains scene-level and internally category-complete across all six high-level categories. Phase A is unprompted pointing; Phase B uses neutral linked-content labels because participant-facing category identities are hidden.</w:t>
      </w:r>
    </w:p>
    <w:tbl>
      <w:tblPr>
        <w:tblStyle w:val="TableGrid"/>
        <w:tblLook w:firstColumn="1" w:firstRow="1" w:lastColumn="0" w:lastRow="0" w:noHBand="0" w:noVBand="1" w:val="04A0"/>
        <w:tblW w:type="dxa" w:w="10080"/>
        <w:tblInd w:type="dxa" w:w="144"/>
        <w:tblLayout w:type="fixed"/>
        <w:jc w:val="left"/>
      </w:tblPr>
      <w:tblGrid>
        <w:gridCol w:w="2016"/>
        <w:gridCol w:w="2016"/>
        <w:gridCol w:w="2016"/>
        <w:gridCol w:w="2016"/>
        <w:gridCol w:w="2016"/>
      </w:tblGrid>
      <w:tr>
        <w:trPr>
          <w:tblHeader w:val="true"/>
          <w:cantSplit/>
          <w:tblHeader w:val="true"/>
        </w:trPr>
        <w:tc>
          <w:tcPr>
            <w:tcW w:type="dxa" w:w="2016"/>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6"/>
              </w:rPr>
              <w:t>Criterion</w:t>
            </w:r>
          </w:p>
        </w:tc>
        <w:tc>
          <w:tcPr>
            <w:tcW w:type="dxa" w:w="2016"/>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6"/>
              </w:rPr>
              <w:t>Scene 1</w:t>
            </w:r>
          </w:p>
        </w:tc>
        <w:tc>
          <w:tcPr>
            <w:tcW w:type="dxa" w:w="2016"/>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6"/>
              </w:rPr>
              <w:t>Scene 2</w:t>
            </w:r>
          </w:p>
        </w:tc>
        <w:tc>
          <w:tcPr>
            <w:tcW w:type="dxa" w:w="2016"/>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6"/>
              </w:rPr>
              <w:t>Scene 3</w:t>
            </w:r>
          </w:p>
        </w:tc>
        <w:tc>
          <w:tcPr>
            <w:tcW w:type="dxa" w:w="2016"/>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6"/>
              </w:rPr>
              <w:t>Comment</w:t>
            </w:r>
          </w:p>
        </w:tc>
      </w:tr>
      <w:tr>
        <w:trPr>
          <w:cantSplit/>
        </w:trPr>
        <w:tc>
          <w:tcPr>
            <w:tcW w:type="dxa" w:w="2016"/>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sz w:val="16"/>
              </w:rPr>
              <w:t>Context is realistic and distinct</w:t>
            </w:r>
          </w:p>
        </w:tc>
        <w:tc>
          <w:tcPr>
            <w:tcW w:type="dxa" w:w="2016"/>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w:t>
            </w:r>
          </w:p>
        </w:tc>
        <w:tc>
          <w:tcPr>
            <w:tcW w:type="dxa" w:w="2016"/>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w:t>
            </w:r>
          </w:p>
        </w:tc>
        <w:tc>
          <w:tcPr>
            <w:tcW w:type="dxa" w:w="2016"/>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w:t>
            </w:r>
          </w:p>
        </w:tc>
        <w:tc>
          <w:tcPr>
            <w:tcW w:type="dxa" w:w="2016"/>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________________</w:t>
            </w:r>
          </w:p>
        </w:tc>
      </w:tr>
      <w:tr>
        <w:trPr>
          <w:cantSplit/>
        </w:trPr>
        <w:tc>
          <w:tcPr>
            <w:tcW w:type="dxa" w:w="2016"/>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sz w:val="16"/>
              </w:rPr>
              <w:t xml:space="preserve">Internal category coverage is complete for the scene</w:t>
            </w:r>
          </w:p>
        </w:tc>
        <w:tc>
          <w:tcPr>
            <w:tcW w:type="dxa" w:w="2016"/>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w:t>
            </w:r>
          </w:p>
        </w:tc>
        <w:tc>
          <w:tcPr>
            <w:tcW w:type="dxa" w:w="2016"/>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w:t>
            </w:r>
          </w:p>
        </w:tc>
        <w:tc>
          <w:tcPr>
            <w:tcW w:type="dxa" w:w="2016"/>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w:t>
            </w:r>
          </w:p>
        </w:tc>
        <w:tc>
          <w:tcPr>
            <w:tcW w:type="dxa" w:w="2016"/>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________________</w:t>
            </w:r>
          </w:p>
        </w:tc>
      </w:tr>
      <w:tr>
        <w:trPr>
          <w:cantSplit/>
        </w:trPr>
        <w:tc>
          <w:tcPr>
            <w:tcW w:type="dxa" w:w="2016"/>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sz w:val="16"/>
              </w:rPr>
              <w:t xml:space="preserve">The optional evidence highlight is correctly localized and understandable</w:t>
            </w:r>
          </w:p>
        </w:tc>
        <w:tc>
          <w:tcPr>
            <w:tcW w:type="dxa" w:w="2016"/>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w:t>
            </w:r>
          </w:p>
        </w:tc>
        <w:tc>
          <w:tcPr>
            <w:tcW w:type="dxa" w:w="2016"/>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w:t>
            </w:r>
          </w:p>
        </w:tc>
        <w:tc>
          <w:tcPr>
            <w:tcW w:type="dxa" w:w="2016"/>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w:t>
            </w:r>
          </w:p>
        </w:tc>
        <w:tc>
          <w:tcPr>
            <w:tcW w:type="dxa" w:w="2016"/>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________________</w:t>
            </w:r>
          </w:p>
        </w:tc>
      </w:tr>
      <w:tr>
        <w:trPr>
          <w:cantSplit/>
        </w:trPr>
        <w:tc>
          <w:tcPr>
            <w:tcW w:type="dxa" w:w="2016"/>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sz w:val="16"/>
              </w:rPr>
              <w:t>The scene includes both obvious and subtle privacy content</w:t>
            </w:r>
          </w:p>
        </w:tc>
        <w:tc>
          <w:tcPr>
            <w:tcW w:type="dxa" w:w="2016"/>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w:t>
            </w:r>
          </w:p>
        </w:tc>
        <w:tc>
          <w:tcPr>
            <w:tcW w:type="dxa" w:w="2016"/>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w:t>
            </w:r>
          </w:p>
        </w:tc>
        <w:tc>
          <w:tcPr>
            <w:tcW w:type="dxa" w:w="2016"/>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w:t>
            </w:r>
          </w:p>
        </w:tc>
        <w:tc>
          <w:tcPr>
            <w:tcW w:type="dxa" w:w="2016"/>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________________</w:t>
            </w:r>
          </w:p>
        </w:tc>
      </w:tr>
      <w:tr>
        <w:trPr>
          <w:cantSplit/>
        </w:trPr>
        <w:tc>
          <w:tcPr>
            <w:tcW w:type="dxa" w:w="2016"/>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sz w:val="16"/>
              </w:rPr>
              <w:t xml:space="preserve">Point-first marking and neutral linked-content review are usable</w:t>
            </w:r>
          </w:p>
        </w:tc>
        <w:tc>
          <w:tcPr>
            <w:tcW w:type="dxa" w:w="2016"/>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w:t>
            </w:r>
          </w:p>
        </w:tc>
        <w:tc>
          <w:tcPr>
            <w:tcW w:type="dxa" w:w="2016"/>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w:t>
            </w:r>
          </w:p>
        </w:tc>
        <w:tc>
          <w:tcPr>
            <w:tcW w:type="dxa" w:w="2016"/>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w:t>
            </w:r>
          </w:p>
        </w:tc>
        <w:tc>
          <w:tcPr>
            <w:tcW w:type="dxa" w:w="2016"/>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________________</w:t>
            </w:r>
          </w:p>
        </w:tc>
      </w:tr>
      <w:tr>
        <w:trPr>
          <w:cantSplit/>
        </w:trPr>
        <w:tc>
          <w:tcPr>
            <w:tcW w:type="dxa" w:w="2016"/>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sz w:val="16"/>
              </w:rPr>
              <w:t>Cultural and ethical risk is acceptable</w:t>
            </w:r>
          </w:p>
        </w:tc>
        <w:tc>
          <w:tcPr>
            <w:tcW w:type="dxa" w:w="2016"/>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w:t>
            </w:r>
          </w:p>
        </w:tc>
        <w:tc>
          <w:tcPr>
            <w:tcW w:type="dxa" w:w="2016"/>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w:t>
            </w:r>
          </w:p>
        </w:tc>
        <w:tc>
          <w:tcPr>
            <w:tcW w:type="dxa" w:w="2016"/>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w:t>
            </w:r>
          </w:p>
        </w:tc>
        <w:tc>
          <w:tcPr>
            <w:tcW w:type="dxa" w:w="2016"/>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________________</w:t>
            </w:r>
          </w:p>
        </w:tc>
      </w:tr>
    </w:tbl>
    <w:p>
      <w:pPr>
        <w:spacing w:before="0" w:after="20"/>
      </w:pPr>
      <w:r>
        <w:t>Implemented sequence: require the five-step Hint before the first scene (practice data are not saved; Hint time is separate). Phase A shows a clean image: participants place/delete points or confirm none; category/detection matching is internal, unmatched points are retained, and only ambiguous overlaps trigger a neutral chooser. Phase B reviews every present internal category sequentially with neutral linked-content labels, an optional Show/Hide highlight, awareness status, and binary reminder preference. Category identities remain hidden.</w:t>
      </w:r>
    </w:p>
    <w:p>
      <w:pPr>
        <w:pStyle w:val="Heading1"/>
        <w:spacing w:before="0" w:after="80"/>
      </w:pPr>
      <w:r>
        <w:rPr>
          <w:rFonts w:ascii="Liberation Sans" w:hAnsi="Liberation Sans"/>
          <w:b w:val="0"/>
          <w:i w:val="0"/>
        </w:rPr>
        <w:t>6. Probe-level review</w:t>
      </w:r>
    </w:p>
    <w:tbl>
      <w:tblPr>
        <w:tblStyle w:val="TableGrid"/>
        <w:tblLook w:firstColumn="1" w:firstRow="1" w:lastColumn="0" w:lastRow="0" w:noHBand="0" w:noVBand="1" w:val="04A0"/>
        <w:tblW w:type="dxa" w:w="10080"/>
        <w:tblInd w:type="dxa" w:w="144"/>
        <w:tblLayout w:type="fixed"/>
        <w:jc w:val="left"/>
      </w:tblPr>
      <w:tblGrid>
        <w:gridCol w:w="3360"/>
        <w:gridCol w:w="3360"/>
        <w:gridCol w:w="3360"/>
      </w:tblGrid>
      <w:tr>
        <w:trPr>
          <w:tblHeader w:val="true"/>
          <w:cantSplit/>
          <w:tblHeader w:val="true"/>
        </w:trPr>
        <w:tc>
          <w:tcPr>
            <w:tcW w:type="dxa" w:w="3360"/>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6"/>
              </w:rPr>
              <w:t>Review question</w:t>
            </w:r>
          </w:p>
        </w:tc>
        <w:tc>
          <w:tcPr>
            <w:tcW w:type="dxa" w:w="3360"/>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6"/>
              </w:rPr>
              <w:t>Rating</w:t>
            </w:r>
          </w:p>
        </w:tc>
        <w:tc>
          <w:tcPr>
            <w:tcW w:type="dxa" w:w="3360"/>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6"/>
              </w:rPr>
              <w:t>Comment</w:t>
            </w:r>
          </w:p>
        </w:tc>
      </w:tr>
      <w:tr>
        <w:trPr>
          <w:cantSplit/>
        </w:trPr>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t xml:space="preserve">Does the required five-step Hint teach point, delete, phase transition, response layout, and next-item navigation without contaminating real answers?</w:t>
            </w:r>
          </w:p>
        </w:tc>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w:t>
            </w:r>
          </w:p>
        </w:tc>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________________________</w:t>
            </w:r>
          </w:p>
        </w:tc>
      </w:tr>
      <w:tr>
        <w:trPr>
          <w:cantSplit/>
        </w:trPr>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t xml:space="preserve">Is it clear that Hint data are not saved and Hint time is excluded from Probe completion time?</w:t>
            </w:r>
          </w:p>
        </w:tc>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w:t>
            </w:r>
          </w:p>
        </w:tc>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________________________</w:t>
            </w:r>
          </w:p>
        </w:tc>
      </w:tr>
      <w:tr>
        <w:trPr>
          <w:cantSplit/>
        </w:trPr>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t xml:space="preserve">Does Phase A preserve an interpretable unprompted signal when categories and detections remain hidden and unmatched points are retained?</w:t>
            </w:r>
          </w:p>
        </w:tc>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w:t>
            </w:r>
          </w:p>
        </w:tc>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________________________</w:t>
            </w:r>
          </w:p>
        </w:tc>
      </w:tr>
      <w:tr>
        <w:trPr>
          <w:cantSplit/>
        </w:trPr>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t xml:space="preserve">Are neutral linked-content labels plus the Show/Hide highlight sufficient to identify the review target without category names?</w:t>
            </w:r>
          </w:p>
        </w:tc>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w:t>
            </w:r>
          </w:p>
        </w:tc>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________________________</w:t>
            </w:r>
          </w:p>
        </w:tc>
      </w:tr>
      <w:tr>
        <w:trPr>
          <w:cantSplit/>
        </w:trPr>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t>Do the awareness-status and binary reminder-preference items remain valid and sufficiently brief across every present internal category?</w:t>
            </w:r>
          </w:p>
        </w:tc>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w:t>
            </w:r>
          </w:p>
        </w:tc>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________________________</w:t>
            </w:r>
          </w:p>
        </w:tc>
      </w:tr>
      <w:tr>
        <w:trPr>
          <w:cantSplit/>
        </w:trPr>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t xml:space="preserve">Are pointer/delete, overlap chooser, move/zoom/pan/reset, keyboard controls, and list fallback sufficiently usable and accessible?</w:t>
            </w:r>
          </w:p>
        </w:tc>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w:t>
            </w:r>
          </w:p>
        </w:tc>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________________________</w:t>
            </w:r>
          </w:p>
        </w:tc>
      </w:tr>
    </w:tbl>
    <w:p>
      <w:pPr>
        <w:spacing w:before="0" w:after="20"/>
      </w:pPr>
    </w:p>
    <w:p>
      <w:pPr>
        <w:pStyle w:val="Heading1"/>
        <w:spacing w:before="0" w:after="80"/>
      </w:pPr>
      <w:r>
        <w:rPr>
          <w:rFonts w:ascii="Liberation Sans" w:hAnsi="Liberation Sans"/>
          <w:b w:val="0"/>
          <w:i w:val="0"/>
        </w:rPr>
        <w:t>7. Held-out evaluation review</w:t>
      </w:r>
    </w:p>
    <w:p>
      <w:pPr>
        <w:spacing w:after="40"/>
        <w:jc w:val="center"/>
      </w:pPr>
      <w:r>
        <w:drawing>
          <wp:inline xmlns:a="http://schemas.openxmlformats.org/drawingml/2006/main" xmlns:pic="http://schemas.openxmlformats.org/drawingml/2006/picture">
            <wp:extent cx="6400800" cy="2311400"/>
            <wp:docPr id="3" name="Picture 3" descr="Image: image3.png"/>
            <wp:cNvGraphicFramePr>
              <a:graphicFrameLocks noChangeAspect="1"/>
            </wp:cNvGraphicFramePr>
            <a:graphic>
              <a:graphicData uri="http://schemas.openxmlformats.org/drawingml/2006/picture">
                <pic:pic>
                  <pic:nvPicPr>
                    <pic:cNvPr id="0" name="vprivcal_policy_compare.png"/>
                    <pic:cNvPicPr/>
                  </pic:nvPicPr>
                  <pic:blipFill>
                    <a:blip r:embed="rId13"/>
                    <a:stretch>
                      <a:fillRect/>
                    </a:stretch>
                  </pic:blipFill>
                  <pic:spPr>
                    <a:xfrm>
                      <a:off x="0" y="0"/>
                      <a:ext cx="6400800" cy="2311400"/>
                    </a:xfrm>
                    <a:prstGeom prst="rect"/>
                  </pic:spPr>
                </pic:pic>
              </a:graphicData>
            </a:graphic>
          </wp:inline>
        </w:drawing>
      </w:r>
    </w:p>
    <w:tbl>
      <w:tblPr>
        <w:tblStyle w:val="TableGrid"/>
        <w:tblLook w:firstColumn="1" w:firstRow="1" w:lastColumn="0" w:lastRow="0" w:noHBand="0" w:noVBand="1" w:val="04A0"/>
        <w:tblW w:type="dxa" w:w="10080"/>
        <w:tblInd w:type="dxa" w:w="144"/>
        <w:tblLayout w:type="fixed"/>
        <w:jc w:val="left"/>
      </w:tblPr>
      <w:tblGrid>
        <w:gridCol w:w="5040"/>
        <w:gridCol w:w="5040"/>
      </w:tblGrid>
      <w:tr>
        <w:trPr>
          <w:tblHeader w:val="true"/>
          <w:cantSplit/>
          <w:tblHeader w:val="true"/>
        </w:trPr>
        <w:tc>
          <w:tcPr>
            <w:tcW w:type="dxa" w:w="5040"/>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6"/>
              </w:rPr>
              <w:t>Metric / design decision</w:t>
            </w:r>
          </w:p>
        </w:tc>
        <w:tc>
          <w:tcPr>
            <w:tcW w:type="dxa" w:w="5040"/>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6"/>
              </w:rPr>
              <w:t>Expert judgment</w:t>
            </w:r>
          </w:p>
        </w:tc>
      </w:tr>
      <w:tr>
        <w:trPr>
          <w:cantSplit/>
        </w:trPr>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t>Primary outcome: immediate acceptance rating (1–5) after each held-out cue decision</w:t>
            </w:r>
          </w:p>
        </w:tc>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Strong / Revise / Reject</w:t>
            </w:r>
          </w:p>
        </w:tc>
      </w:tr>
      <w:tr>
        <w:trPr>
          <w:cantSplit/>
        </w:trPr>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t>Binary reminder-decision alignment</w:t>
            </w:r>
          </w:p>
        </w:tc>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Strong / Revise / Reject</w:t>
            </w:r>
          </w:p>
        </w:tc>
      </w:tr>
      <w:tr>
        <w:trPr>
          <w:cantSplit/>
        </w:trPr>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t>False-reminder and missed-reminder rates</w:t>
            </w:r>
          </w:p>
        </w:tc>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Strong / Revise / Reject</w:t>
            </w:r>
          </w:p>
        </w:tc>
      </w:tr>
      <w:tr>
        <w:trPr>
          <w:cantSplit/>
        </w:trPr>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t>Separate detector validity from privacy relevance and reminder acceptance</w:t>
            </w:r>
          </w:p>
        </w:tc>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Strong / Revise / Reject</w:t>
            </w:r>
          </w:p>
        </w:tc>
      </w:tr>
      <w:tr>
        <w:trPr>
          <w:cantSplit/>
        </w:trPr>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t>Use short, manually verified held-out windows with emerging cues; do not claim long-term behavior or effectiveness</w:t>
            </w:r>
          </w:p>
        </w:tc>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Strong / Revise / Reject</w:t>
            </w:r>
          </w:p>
        </w:tc>
      </w:tr>
      <w:tr>
        <w:trPr>
          <w:cantSplit/>
        </w:trPr>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t>Simulate binary rule outputs before the pilot; label them non-empirical and keep them separate from participant acceptance evidence</w:t>
            </w:r>
          </w:p>
        </w:tc>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Strong / Revise / Reject</w:t>
            </w:r>
          </w:p>
        </w:tc>
      </w:tr>
    </w:tbl>
    <w:p>
      <w:pPr>
        <w:spacing w:before="0" w:after="20"/>
      </w:pPr>
    </w:p>
    <w:p>
      <w:pPr>
        <w:pStyle w:val="Heading1"/>
        <w:spacing w:before="0" w:after="80"/>
      </w:pPr>
      <w:r>
        <w:rPr>
          <w:rFonts w:ascii="Liberation Sans" w:hAnsi="Liberation Sans"/>
          <w:b w:val="0"/>
          <w:i w:val="0"/>
        </w:rPr>
        <w:t>8. Final decision</w:t>
      </w:r>
    </w:p>
    <w:p>
      <w:pPr>
        <w:spacing w:before="0" w:after="80"/>
      </w:pPr>
      <w:r>
        <w:rPr>
          <w:rFonts w:ascii="Liberation Sans" w:hAnsi="Liberation Sans"/>
          <w:b w:val="0"/>
          <w:i w:val="0"/>
          <w:sz w:val="18"/>
        </w:rPr>
        <w:t>VPrivCal-Q10:  □ Proceed  □ Minor revision  □ Major revision  □ Replace</w:t>
      </w:r>
    </w:p>
    <w:p>
      <w:pPr>
        <w:spacing w:before="0" w:after="80"/>
      </w:pPr>
      <w:r>
        <w:rPr>
          <w:rFonts w:ascii="Liberation Sans" w:hAnsi="Liberation Sans"/>
          <w:b w:val="0"/>
          <w:i w:val="0"/>
          <w:sz w:val="18"/>
        </w:rPr>
        <w:t xml:space="preserve">VPrivCal-Probe interface (including Hint):  □ Proceed  □ Minor revision  □ Major revision  □ Replace</w:t>
      </w:r>
    </w:p>
    <w:p>
      <w:pPr>
        <w:spacing w:before="0" w:after="80"/>
      </w:pPr>
      <w:r>
        <w:t>Workflow and immediate acceptance evaluation:  □ Proceed  □ Minor revision  □ Major revision  □ Replace</w:t>
      </w:r>
    </w:p>
    <w:p>
      <w:pPr>
        <w:spacing w:before="0" w:after="80"/>
      </w:pPr>
      <w:r>
        <w:rPr>
          <w:rFonts w:ascii="Liberation Sans" w:hAnsi="Liberation Sans"/>
          <w:b w:val="0"/>
          <w:i w:val="0"/>
          <w:sz w:val="18"/>
        </w:rPr>
        <w:t xml:space="preserve">Simulated policy-output pre-verification:  □ Proceed  □ Minor revision  □ Major revision  □ Defer</w:t>
      </w:r>
    </w:p>
    <w:p>
      <w:pPr>
        <w:spacing w:before="0" w:after="80"/>
      </w:pPr>
      <w:r>
        <w:rPr>
          <w:rFonts w:ascii="Liberation Sans" w:hAnsi="Liberation Sans"/>
          <w:b w:val="0"/>
          <w:i w:val="0"/>
          <w:sz w:val="18"/>
        </w:rPr>
        <w:t>Overall readiness for cognitive interviews:  □ Yes  □ Yes after revision  □ No</w:t>
      </w:r>
    </w:p>
    <w:p>
      <w:pPr>
        <w:spacing w:before="0" w:after="80"/>
      </w:pPr>
      <w:r>
        <w:rPr>
          <w:rFonts w:ascii="Liberation Sans" w:hAnsi="Liberation Sans"/>
          <w:b/>
          <w:i w:val="0"/>
          <w:sz w:val="18"/>
        </w:rPr>
        <w:t>Three highest-priority changes:</w:t>
      </w:r>
    </w:p>
    <w:p>
      <w:pPr>
        <w:spacing w:before="0" w:after="80"/>
      </w:pPr>
      <w:r>
        <w:rPr>
          <w:rFonts w:ascii="Liberation Sans" w:hAnsi="Liberation Sans"/>
          <w:b w:val="0"/>
          <w:i w:val="0"/>
          <w:sz w:val="17"/>
        </w:rPr>
        <w:t>1. __________________________________________________________________________________</w:t>
      </w:r>
    </w:p>
    <w:p>
      <w:pPr>
        <w:spacing w:before="0" w:after="80"/>
      </w:pPr>
      <w:r>
        <w:rPr>
          <w:rFonts w:ascii="Liberation Sans" w:hAnsi="Liberation Sans"/>
          <w:b w:val="0"/>
          <w:i w:val="0"/>
          <w:sz w:val="17"/>
        </w:rPr>
        <w:t>2. __________________________________________________________________________________</w:t>
      </w:r>
    </w:p>
    <w:p>
      <w:pPr>
        <w:spacing w:before="0" w:after="80"/>
      </w:pPr>
      <w:r>
        <w:rPr>
          <w:rFonts w:ascii="Liberation Sans" w:hAnsi="Liberation Sans"/>
          <w:b w:val="0"/>
          <w:i w:val="0"/>
          <w:sz w:val="17"/>
        </w:rPr>
        <w:t>3. __________________________________________________________________________________</w:t>
      </w:r>
    </w:p>
    <w:p>
      <w:pPr>
        <w:spacing w:before="0" w:after="80"/>
      </w:pPr>
      <w:r>
        <w:rPr>
          <w:rFonts w:ascii="Liberation Sans" w:hAnsi="Liberation Sans"/>
          <w:b w:val="0"/>
          <w:i w:val="0"/>
          <w:sz w:val="17"/>
        </w:rPr>
        <w:t>Alternative idea or missing test: ______________________________________________________________________</w:t>
      </w:r>
    </w:p>
    <w:sectPr w:rsidR="00FC693F" w:rsidRPr="0006063C" w:rsidSect="00034616">
      <w:headerReference w:type="default" r:id="rId9"/>
      <w:footerReference w:type="default" r:id="rId10"/>
      <w:pgSz w:w="12240" w:h="15840"/>
      <w:pgMar w:top="792" w:right="936" w:bottom="792" w:left="936"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color w:val="5A6570"/>
        <w:sz w:val="16"/>
      </w:rPr>
      <w:t xml:space="preserve">VPrivCal expert workshop  |  July 2026  |  </w:t>
    </w:r>
    <w:r>
      <w:rPr>
        <w:rFonts w:ascii="Liberation Sans" w:hAnsi="Liberation Sans"/>
        <w:color w:val="5A6570"/>
        <w:sz w:val="16"/>
      </w:rPr>
      <w:t xml:space="preserve">Page </w:t>
    </w:r>
    <w:fldSimple w:instr="PAGE">
      <w:r>
        <w:rPr>
          <w:rFonts w:ascii="Liberation Sans" w:hAnsi="Liberation Sans"/>
          <w:sz w:val="16"/>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b/>
        <w:color w:val="5A6570"/>
        <w:sz w:val="15"/>
      </w:rPr>
      <w:t>VPRIVCAL EXPERT WORKSHOP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Liberation Sans" w:hAnsi="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Liberation Sans" w:hAnsi="Liberation Sans"/>
      <w:b/>
      <w:bCs/>
      <w:color w:val="153B5B"/>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Liberation Sans" w:hAnsi="Liberation Sans"/>
      <w:b/>
      <w:bCs/>
      <w:color w:val="1E6F7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Liberation Sans" w:hAnsi="Liberation Sans"/>
      <w:b/>
      <w:bCs/>
      <w:color w:val="7255A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Liberation Sans" w:hAnsi="Liberation Sans"/>
      <w:b/>
      <w:color w:val="153B5B"/>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80"/>
    </w:pPr>
    <w:rPr>
      <w:rFonts w:asciiTheme="majorHAnsi" w:eastAsiaTheme="majorEastAsia" w:hAnsiTheme="majorHAnsi" w:cstheme="majorBidi" w:ascii="Liberation Sans" w:hAnsi="Liberation Sans"/>
      <w:b w:val="0"/>
      <w:i/>
      <w:iCs/>
      <w:color w:val="1E6F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40" w:after="120"/>
    </w:pPr>
    <w:rPr>
      <w:rFonts w:ascii="Liberation Sans" w:hAnsi="Liberation Sans"/>
      <w:i/>
      <w:color w:val="5A657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VPrivCal Expert Review – Binary Reminder and Acceptance Edition</dc:title>
  <dc:subject>Expert review of binary privacy-reminder calibration and immediate held-out acceptance</dc:subject>
  <dc:creator>OpenAI</dc:creator>
  <cp:keywords/>
  <dc:description>Version 6.2: printable table geometry and binary reminder outcomes.</dc:description>
  <cp:lastModifiedBy/>
  <cp:revision>1</cp:revision>
  <dcterms:created xsi:type="dcterms:W3CDTF">2013-12-23T23:15:00Z</dcterms:created>
  <dcterms:modified xsi:type="dcterms:W3CDTF">2013-12-23T23:15:00Z</dcterms:modified>
  <cp:category/>
</cp:coreProperties>
</file>