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center"/>
      </w:pPr>
      <w:r>
        <w:rPr>
          <w:rFonts w:ascii="Liberation Sans" w:hAnsi="Liberation Sans"/>
          <w:b w:val="0"/>
          <w:i w:val="0"/>
        </w:rPr>
        <w:t>VPrivCal Expert Review</w:t>
      </w:r>
    </w:p>
    <w:p>
      <w:pPr>
        <w:pStyle w:val="Subtitle"/>
        <w:spacing w:before="0" w:after="60"/>
        <w:jc w:val="center"/>
      </w:pPr>
      <w:r>
        <w:rPr>
          <w:rFonts w:ascii="Liberation Sans" w:hAnsi="Liberation Sans"/>
          <w:b w:val="0"/>
          <w:i w:val="0"/>
        </w:rPr>
        <w:t xml:space="preserve">Interface-aligned screening workbook for VPrivCal-Q10 and VPrivCal-Probe</w:t>
      </w:r>
    </w:p>
    <w:p>
      <w:pPr>
        <w:spacing w:before="0" w:after="240"/>
        <w:jc w:val="center"/>
      </w:pPr>
      <w:r>
        <w:rPr>
          <w:rFonts w:ascii="Liberation Sans" w:hAnsi="Liberation Sans"/>
          <w:b w:val="0"/>
          <w:i/>
          <w:color w:val="5A6570"/>
          <w:sz w:val="22"/>
        </w:rPr>
        <w:t>Short workshop version for professional researchers</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blHeader w:val="true"/>
        </w:trPr>
        <w:tc>
          <w:tcPr>
            <w:tcW w:type="dxa" w:w="10080"/>
            <w:shd w:fill="E8F4F2"/>
            <w:tcBorders>
              <w:top w:val="single" w:sz="8" w:color="1E6F78"/>
              <w:left w:val="single" w:sz="8" w:color="1E6F78"/>
              <w:bottom w:val="single" w:sz="8" w:color="1E6F78"/>
              <w:right w:val="single" w:sz="8" w:color="1E6F78"/>
              <w:insideH w:val="single" w:sz="8" w:color="1E6F78"/>
              <w:insideV w:val="single" w:sz="8" w:color="1E6F78"/>
            </w:tcBorders>
            <w:tcMar>
              <w:top w:w="72" w:type="dxa"/>
              <w:start w:w="110" w:type="dxa"/>
              <w:bottom w:w="72" w:type="dxa"/>
              <w:end w:w="110" w:type="dxa"/>
              <w:left w:w="72" w:type="dxa"/>
              <w:right w:w="72" w:type="dxa"/>
            </w:tcMar>
            <w:vAlign w:val="center"/>
          </w:tcPr>
          <w:p>
            <w:pPr>
              <w:spacing w:after="0"/>
            </w:pPr>
            <w:r>
              <w:t>Decision / research question</w:t>
              <w:br/>
              <w:t>Are the three-option trigger questions, expert-verified exposure labels, Probe interface, and held-out acceptance evaluation sufficiently clear, low-burden, and testable?</w:t>
            </w:r>
          </w:p>
        </w:tc>
      </w:tr>
    </w:tbl>
    <w:p>
      <w:pPr>
        <w:spacing w:before="0" w:after="20"/>
      </w:pPr>
    </w:p>
    <w:p>
      <w:pPr>
        <w:pStyle w:val="Heading1"/>
        <w:spacing w:before="0" w:after="80"/>
      </w:pPr>
      <w:r>
        <w:rPr>
          <w:rFonts w:ascii="Liberation Sans" w:hAnsi="Liberation Sans"/>
          <w:b w:val="0"/>
          <w:i w:val="0"/>
        </w:rPr>
        <w:t>Method at a glance</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Element</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Current design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VPrivCal-Q10</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Ten direct policy questions; Q1-Q6 share one three-option trigger scale.</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VPrivCal-Probe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Three egocentric scenes spanning private, public, and semi-public contexts. After a required Hint walkthrough, participants mark areas without naming categories, then review each present internal category through neutral linked-content labels and optional evidence highlights.</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Calibration target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 xml:space="preserve">Provisional pilot target: approximately 5-7 minutes total for Q10 plus Probe. Time the required Hint walkthrough separately and confirm the total empirically.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Effectiveness test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Generic versus Q10-only versus full VPrivCal under the same expert-verified cue set and standardized reminder; participants report cue awareness, immediate acceptance, and preferred binary decision.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Expert output</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Review the three trigger labels, exposure annotation, Probe burden, deterministic rule, controlled comparison, and pilot readiness.</w:t>
            </w:r>
          </w:p>
        </w:tc>
      </w:tr>
    </w:tbl>
    <w:p>
      <w:pPr>
        <w:spacing w:before="0" w:after="20"/>
      </w:pPr>
    </w:p>
    <w:p>
      <w:pPr>
        <w:spacing w:before="0" w:after="0"/>
      </w:pPr>
      <w:r>
        <w:t>Version 6.3 | July 2026 | Three-option trigger and acceptance edition</w:t>
      </w:r>
    </w:p>
    <w:p>
      <w:r>
        <w:br w:type="page"/>
      </w:r>
    </w:p>
    <w:p>
      <w:pPr>
        <w:pStyle w:val="Heading1"/>
        <w:spacing w:before="0" w:after="80"/>
      </w:pPr>
      <w:r>
        <w:rPr>
          <w:rFonts w:ascii="Liberation Sans" w:hAnsi="Liberation Sans"/>
          <w:b w:val="0"/>
          <w:i w:val="0"/>
        </w:rPr>
        <w:t>1. Reviewer instructions</w:t>
      </w:r>
    </w:p>
    <w:p>
      <w:pPr>
        <w:spacing w:before="0" w:after="80"/>
      </w:pPr>
      <w:r>
        <w:rPr>
          <w:rFonts w:ascii="Liberation Sans" w:hAnsi="Liberation Sans"/>
          <w:b w:val="0"/>
          <w:i w:val="0"/>
        </w:rPr>
        <w:t xml:space="preserve">Complete ratings independently before discussion. Use the expert-review interface, start each scene from a fresh state, and judge the visible design as implemented. Proposed fixes belong in the comment fields and should not inflate the current rating. The profile screen is currently disabled and is not participant-facing functionality.</w:t>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Rating</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7"/>
              </w:rPr>
              <w:t>Meaning</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1</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7"/>
              </w:rPr>
              <w:t>Major problem / not ready</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2</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7"/>
              </w:rPr>
              <w:t>Substantial revision needed</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7"/>
              </w:rPr>
              <w:t>3</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7"/>
              </w:rPr>
              <w:t>Acceptable with minor revision</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7"/>
              </w:rPr>
              <w:t>4</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7"/>
              </w:rPr>
              <w:t>Strong / ready for cognitive testing</w:t>
            </w:r>
          </w:p>
        </w:tc>
      </w:tr>
    </w:tbl>
    <w:p>
      <w:pPr>
        <w:spacing w:before="0" w:after="20"/>
      </w:pPr>
    </w:p>
    <w:p>
      <w:pPr>
        <w:pStyle w:val="Heading1"/>
        <w:spacing w:before="0" w:after="80"/>
      </w:pPr>
      <w:r>
        <w:rPr>
          <w:rFonts w:ascii="Liberation Sans" w:hAnsi="Liberation Sans"/>
          <w:b w:val="0"/>
          <w:i w:val="0"/>
        </w:rPr>
        <w:t>2. Method workflow</w:t>
      </w:r>
    </w:p>
    <w:p>
      <w:pPr>
        <w:spacing w:after="40"/>
        <w:jc w:val="center"/>
      </w:pPr>
      <w:r>
        <w:drawing>
          <wp:inline xmlns:a="http://schemas.openxmlformats.org/drawingml/2006/main" xmlns:pic="http://schemas.openxmlformats.org/drawingml/2006/picture">
            <wp:extent cx="6400800" cy="2026920"/>
            <wp:docPr id="1" name="Picture 1" descr="Image: image1.png"/>
            <wp:cNvGraphicFramePr>
              <a:graphicFrameLocks noChangeAspect="1"/>
            </wp:cNvGraphicFramePr>
            <a:graphic>
              <a:graphicData uri="http://schemas.openxmlformats.org/drawingml/2006/picture">
                <pic:pic>
                  <pic:nvPicPr>
                    <pic:cNvPr id="0" name="vprivcal_workflow.png"/>
                    <pic:cNvPicPr/>
                  </pic:nvPicPr>
                  <pic:blipFill>
                    <a:blip r:embed="rId11"/>
                    <a:stretch>
                      <a:fillRect/>
                    </a:stretch>
                  </pic:blipFill>
                  <pic:spPr>
                    <a:xfrm>
                      <a:off x="0" y="0"/>
                      <a:ext cx="6400800" cy="2026920"/>
                    </a:xfrm>
                    <a:prstGeom prst="rect"/>
                  </pic:spPr>
                </pic:pic>
              </a:graphicData>
            </a:graphic>
          </wp:inline>
        </w:drawing>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Review question</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Rating / comment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 xml:space="preserve">Does the live workflow make clear that Q10 and Probe are two components of one method while the profile screen remains disabled?</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   Comment: ______________________________</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Is the 5-7 minute target credible when the required Hint walkthrough and category-complete review are included and timed separately?</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   Comment: ______________________________</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Is it clear that experts lock each cue as presence-only or sensitive-detail exposed before the participant policy runs?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   Comment: ______________________________</w:t>
            </w:r>
          </w:p>
        </w:tc>
      </w:tr>
    </w:tbl>
    <w:p>
      <w:pPr>
        <w:spacing w:before="0" w:after="20"/>
      </w:pPr>
    </w:p>
    <w:p>
      <w:pPr>
        <w:pStyle w:val="Heading1"/>
        <w:spacing w:before="0" w:after="80"/>
      </w:pPr>
      <w:r>
        <w:rPr>
          <w:rFonts w:ascii="Liberation Sans" w:hAnsi="Liberation Sans"/>
          <w:b w:val="0"/>
          <w:i w:val="0"/>
        </w:rPr>
        <w:t>3. VPrivCal-Q10 candidate questions</w:t>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blHeader w:val="true"/>
        </w:trPr>
        <w:tc>
          <w:tcPr>
            <w:tcW w:type="dxa" w:w="10080"/>
            <w:shd w:fill="EAF3F8"/>
            <w:tcBorders>
              <w:top w:val="single" w:sz="8" w:color="153B5B"/>
              <w:left w:val="single" w:sz="8" w:color="153B5B"/>
              <w:bottom w:val="single" w:sz="8" w:color="153B5B"/>
              <w:right w:val="single" w:sz="8" w:color="153B5B"/>
              <w:insideH w:val="single" w:sz="8" w:color="153B5B"/>
              <w:insideV w:val="single" w:sz="8" w:color="153B5B"/>
            </w:tcBorders>
            <w:tcMar>
              <w:top w:w="72" w:type="dxa"/>
              <w:start w:w="110" w:type="dxa"/>
              <w:bottom w:w="72" w:type="dxa"/>
              <w:end w:w="110" w:type="dxa"/>
              <w:left w:w="72" w:type="dxa"/>
              <w:right w:w="72" w:type="dxa"/>
            </w:tcMar>
            <w:vAlign w:val="center"/>
          </w:tcPr>
          <w:p>
            <w:pPr>
              <w:spacing w:after="0"/>
            </w:pPr>
            <w:r>
              <w:t>Shared three-option trigger scale for Q1-Q6</w:t>
              <w:br/>
              <w:t>1 Do not show reminders for this category | 2 Show reminders only when identifying or sensitive details are exposed | 3 Show reminders whenever this verified category is present</w:t>
            </w:r>
          </w:p>
        </w:tc>
      </w:tr>
    </w:tbl>
    <w:p>
      <w:pPr>
        <w:spacing w:before="0" w:after="20"/>
      </w:pPr>
    </w:p>
    <w:tbl>
      <w:tblPr>
        <w:tblStyle w:val="TableGrid"/>
        <w:tblLook w:firstColumn="1" w:firstRow="1" w:lastColumn="0" w:lastRow="0" w:noHBand="0" w:noVBand="1" w:val="04A0"/>
        <w:tblW w:type="dxa" w:w="10080"/>
        <w:tblInd w:type="dxa" w:w="144"/>
        <w:tblLayout w:type="fixed"/>
        <w:jc w:val="left"/>
      </w:tblPr>
      <w:tblGrid>
        <w:gridCol w:w="1440"/>
        <w:gridCol w:w="1440"/>
        <w:gridCol w:w="1440"/>
        <w:gridCol w:w="1440"/>
        <w:gridCol w:w="1440"/>
        <w:gridCol w:w="1440"/>
        <w:gridCol w:w="1440"/>
      </w:tblGrid>
      <w:tr>
        <w:trPr>
          <w:tblHeader w:val="true"/>
          <w:cantSplit/>
          <w:tblHeader w:val="true"/>
          <w:tblHeader w:val="true"/>
        </w:trPr>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Item</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Category / policy dimension</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Relevance</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Clarity</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Actionability</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Predictive value</w:t>
            </w:r>
          </w:p>
        </w:tc>
        <w:tc>
          <w:tcPr>
            <w:tcW w:type="dxa" w:w="14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Decision</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Q1</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Biometric data</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Q2</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Children images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Q3</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Personally identifiable information (PII)</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Legal sensitivity information</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Q5</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Personal life</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Q6</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Background individuals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Q7</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Inferred privacy risks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Q8</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Other verified privacy categories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color w:val="1D2833"/>
                <w:sz w:val="16"/>
              </w:rPr>
              <w:t>Q9</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Uncertain detections</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Keep / Revise / Remove</w:t>
            </w:r>
          </w:p>
        </w:tc>
      </w:tr>
      <w:tr>
        <w:trPr>
          <w:cantSplit/>
        </w:trPr>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color w:val="1D2833"/>
                <w:sz w:val="16"/>
              </w:rPr>
              <w:t>Q10</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Task-irrelevant sensitive information</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14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Keep / Revise / Remove</w:t>
            </w:r>
          </w:p>
        </w:tc>
      </w:tr>
    </w:tbl>
    <w:p>
      <w:pPr>
        <w:spacing w:before="0" w:after="20"/>
      </w:pPr>
    </w:p>
    <w:p>
      <w:pPr>
        <w:pStyle w:val="Heading1"/>
        <w:spacing w:before="0" w:after="80"/>
      </w:pPr>
      <w:r>
        <w:rPr>
          <w:rFonts w:ascii="Liberation Sans" w:hAnsi="Liberation Sans"/>
          <w:b w:val="0"/>
          <w:i w:val="0"/>
        </w:rPr>
        <w:t>4. Item-specific prompts</w:t>
      </w:r>
    </w:p>
    <w:p>
      <w:pPr>
        <w:spacing w:before="0" w:after="20"/>
      </w:pPr>
      <w:r>
        <w:rPr>
          <w:rFonts w:ascii="Liberation Sans" w:hAnsi="Liberation Sans"/>
          <w:b/>
          <w:i w:val="0"/>
          <w:color w:val="1E6F78"/>
          <w:sz w:val="19"/>
        </w:rPr>
        <w:t>Q1. Biometric data</w:t>
      </w:r>
    </w:p>
    <w:p>
      <w:pPr>
        <w:spacing w:before="0" w:after="20"/>
      </w:pPr>
      <w:r>
        <w:rPr>
          <w:rFonts w:ascii="Liberation Sans" w:hAnsi="Liberation Sans"/>
          <w:b w:val="0"/>
          <w:i w:val="0"/>
          <w:sz w:val="17"/>
        </w:rPr>
        <w:t>Faces, fingerprints, and other distinctive body features that may identify a person.</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Q2. Children images</w:t>
      </w:r>
    </w:p>
    <w:p>
      <w:pPr>
        <w:spacing w:before="0" w:after="20"/>
      </w:pPr>
      <w:r>
        <w:rPr>
          <w:rFonts w:ascii="Liberation Sans" w:hAnsi="Liberation Sans"/>
          <w:b w:val="0"/>
          <w:i w:val="0"/>
          <w:sz w:val="17"/>
        </w:rPr>
        <w:t>Children, school events, playgrounds, and child-related activities.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Q3. Personally identifiable information (PII)</w:t>
      </w:r>
    </w:p>
    <w:p>
      <w:pPr>
        <w:spacing w:before="0" w:after="20"/>
      </w:pPr>
      <w:r>
        <w:rPr>
          <w:rFonts w:ascii="Liberation Sans" w:hAnsi="Liberation Sans"/>
          <w:b w:val="0"/>
          <w:i w:val="0"/>
          <w:sz w:val="17"/>
        </w:rPr>
        <w:t>Financial or medical data; names, passports, email addresses, phone numbers, GPS, license plates, and other identifiers.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Q4. Legal sensitivity information</w:t>
      </w:r>
    </w:p>
    <w:p>
      <w:pPr>
        <w:spacing w:before="0" w:after="20"/>
      </w:pPr>
      <w:r>
        <w:rPr>
          <w:rFonts w:ascii="Liberation Sans" w:hAnsi="Liberation Sans"/>
          <w:b w:val="0"/>
          <w:i w:val="0"/>
          <w:sz w:val="17"/>
        </w:rPr>
        <w:t>Nudity or explicit imagery; violent or unlawful acts; criminal acts; weapons or other high-risk items.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Q5. Personal life</w:t>
      </w:r>
    </w:p>
    <w:p>
      <w:pPr>
        <w:spacing w:before="0" w:after="20"/>
      </w:pPr>
      <w:r>
        <w:rPr>
          <w:rFonts w:ascii="Liberation Sans" w:hAnsi="Liberation Sans"/>
          <w:b w:val="0"/>
          <w:i w:val="0"/>
          <w:sz w:val="17"/>
        </w:rPr>
        <w:t>Home interiors, personal items, location context, landmarks, routines, relationships, and activities.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Q6. Background individuals</w:t>
      </w:r>
    </w:p>
    <w:p>
      <w:pPr>
        <w:spacing w:before="0" w:after="20"/>
      </w:pPr>
      <w:r>
        <w:t>Passersby, bystanders, coworkers, patients, patrons, and other people incidentally captured.</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Q7. Inferred privacy risks</w:t>
      </w:r>
    </w:p>
    <w:p>
      <w:pPr>
        <w:spacing w:before="0" w:after="20"/>
      </w:pPr>
      <w:r>
        <w:t>When a visual cue supports a sensitive inference, should the assistant show a brief privacy reminder?</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t>Q8. Other verified privacy categories</w:t>
      </w:r>
    </w:p>
    <w:p>
      <w:pPr>
        <w:spacing w:before="0" w:after="20"/>
      </w:pPr>
      <w:r>
        <w:t>If experts verify a privacy category not covered above, when should the assistant show a reminder?</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Q9. Uncertain detections</w:t>
      </w:r>
    </w:p>
    <w:p>
      <w:pPr>
        <w:spacing w:before="0" w:after="20"/>
      </w:pPr>
      <w:r>
        <w:t>When the assistant is unsure whether a cue is privacy-sensitive, should it show a brief privacy reminder?</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Q10. Task-irrelevant sensitive information</w:t>
      </w:r>
    </w:p>
    <w:p>
      <w:pPr>
        <w:spacing w:before="0" w:after="20"/>
      </w:pPr>
      <w:r>
        <w:t>When privacy-sensitive content is visible but not needed for the current task, should the assistant show a brief privacy reminder?</w:t>
      </w:r>
    </w:p>
    <w:p>
      <w:pPr>
        <w:spacing w:before="0" w:after="80"/>
      </w:pPr>
      <w:r>
        <w:rPr>
          <w:rFonts w:ascii="Liberation Sans" w:hAnsi="Liberation Sans"/>
          <w:b w:val="0"/>
          <w:i w:val="0"/>
          <w:sz w:val="16"/>
        </w:rPr>
        <w:t>Main concern / suggested wording: ______________________________________________________________</w:t>
      </w:r>
    </w:p>
    <w:p>
      <w:pPr>
        <w:pStyle w:val="Heading1"/>
        <w:spacing w:before="0" w:after="80"/>
      </w:pPr>
      <w:r>
        <w:rPr>
          <w:rFonts w:ascii="Liberation Sans" w:hAnsi="Liberation Sans"/>
          <w:b w:val="0"/>
          <w:i w:val="0"/>
        </w:rPr>
        <w:t>5. VPrivCal-Probe stimuli</w:t>
      </w:r>
    </w:p>
    <w:p>
      <w:pPr>
        <w:spacing w:after="40"/>
        <w:jc w:val="center"/>
      </w:pPr>
      <w:r>
        <w:drawing>
          <wp:inline xmlns:a="http://schemas.openxmlformats.org/drawingml/2006/main" xmlns:pic="http://schemas.openxmlformats.org/drawingml/2006/picture">
            <wp:extent cx="6400800" cy="3360420"/>
            <wp:docPr id="2" name="Picture 2" descr="Image: image2.png"/>
            <wp:cNvGraphicFramePr>
              <a:graphicFrameLocks noChangeAspect="1"/>
            </wp:cNvGraphicFramePr>
            <a:graphic>
              <a:graphicData uri="http://schemas.openxmlformats.org/drawingml/2006/picture">
                <pic:pic>
                  <pic:nvPicPr>
                    <pic:cNvPr id="0" name="vprivcal_probe_composite.png"/>
                    <pic:cNvPicPr/>
                  </pic:nvPicPr>
                  <pic:blipFill>
                    <a:blip r:embed="rId12"/>
                    <a:stretch>
                      <a:fillRect/>
                    </a:stretch>
                  </pic:blipFill>
                  <pic:spPr>
                    <a:xfrm>
                      <a:off x="0" y="0"/>
                      <a:ext cx="6400800" cy="3360420"/>
                    </a:xfrm>
                    <a:prstGeom prst="rect"/>
                  </pic:spPr>
                </pic:pic>
              </a:graphicData>
            </a:graphic>
          </wp:inline>
        </w:drawing>
      </w:r>
    </w:p>
    <w:tbl>
      <w:tblPr>
        <w:tblLook w:firstColumn="1" w:firstRow="1" w:lastColumn="0" w:lastRow="0" w:noHBand="0" w:noVBand="1" w:val="04A0"/>
        <w:tblW w:type="dxa" w:w="10080"/>
        <w:tblInd w:type="dxa" w:w="144"/>
        <w:tblLayout w:type="fixed"/>
        <w:jc w:val="left"/>
      </w:tblPr>
      <w:tblGrid>
        <w:gridCol w:w="10080"/>
      </w:tblGrid>
      <w:tr>
        <w:trPr>
          <w:cantSplit/>
          <w:tblHeader/>
          <w:tblHeader w:val="true"/>
          <w:tblHeader w:val="true"/>
        </w:trPr>
        <w:tc>
          <w:tcPr>
            <w:tcW w:type="dxa" w:w="10080"/>
            <w:shd w:fill="F1ECFA"/>
            <w:tcBorders>
              <w:top w:val="single" w:sz="8" w:color="7255A6"/>
              <w:left w:val="single" w:sz="8" w:color="7255A6"/>
              <w:bottom w:val="single" w:sz="8" w:color="7255A6"/>
              <w:right w:val="single" w:sz="8" w:color="7255A6"/>
              <w:insideH w:val="single" w:sz="8" w:color="7255A6"/>
              <w:insideV w:val="single" w:sz="8" w:color="7255A6"/>
            </w:tcBorders>
            <w:tcMar>
              <w:top w:w="72" w:type="dxa"/>
              <w:start w:w="110" w:type="dxa"/>
              <w:bottom w:w="72" w:type="dxa"/>
              <w:end w:w="110" w:type="dxa"/>
              <w:left w:w="72" w:type="dxa"/>
              <w:right w:w="72" w:type="dxa"/>
            </w:tcMar>
            <w:vAlign w:val="center"/>
          </w:tcPr>
          <w:p>
            <w:pPr>
              <w:spacing w:after="0"/>
            </w:pPr>
            <w:r>
              <w:t>Two questions per internal category-scene pair</w:t>
              <w:br/>
              <w:t>A. Before the highlight: already aware / noticed but did not consider privacy / did not notice or realize VLM capability / not a concern.</w:t>
              <w:br/>
              <w:t>B. Preferred trigger: never remind / remind only for identifying or sensitive-detail exposure / remind whenever the verified category is present.</w:t>
              <w:br/>
              <w:t>Category identities remain hidden; participants see neutral linked-content labels.</w:t>
            </w:r>
          </w:p>
        </w:tc>
      </w:tr>
    </w:tbl>
    <w:p>
      <w:pPr>
        <w:spacing w:before="0" w:after="20"/>
      </w:pPr>
      <w:r>
        <w:t xml:space="preserve">The stimuli span private, public, and semi-public contexts. Coverage remains scene-level and internally category-complete across all six high-level categories. Phase A is unprompted pointing; Phase B uses neutral linked-content labels because participant-facing category identities are hidden.</w:t>
      </w:r>
    </w:p>
    <w:tbl>
      <w:tblPr>
        <w:tblStyle w:val="TableGrid"/>
        <w:tblLook w:firstColumn="1" w:firstRow="1" w:lastColumn="0" w:lastRow="0" w:noHBand="0" w:noVBand="1" w:val="04A0"/>
        <w:tblW w:type="dxa" w:w="10080"/>
        <w:tblInd w:type="dxa" w:w="144"/>
        <w:tblLayout w:type="fixed"/>
        <w:jc w:val="left"/>
      </w:tblPr>
      <w:tblGrid>
        <w:gridCol w:w="2016"/>
        <w:gridCol w:w="2016"/>
        <w:gridCol w:w="2016"/>
        <w:gridCol w:w="2016"/>
        <w:gridCol w:w="2016"/>
      </w:tblGrid>
      <w:tr>
        <w:trPr>
          <w:tblHeader w:val="true"/>
          <w:cantSplit/>
          <w:tblHeader w:val="true"/>
          <w:tblHeader w:val="true"/>
        </w:trPr>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Criterion</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Scene 1</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Scene 2</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Scene 3</w:t>
            </w:r>
          </w:p>
        </w:tc>
        <w:tc>
          <w:tcPr>
            <w:tcW w:type="dxa" w:w="2016"/>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Comment</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sz w:val="16"/>
              </w:rPr>
              <w:t>Context is realistic and distinct</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 xml:space="preserve">Internal category coverage is complete for the scene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sz w:val="16"/>
              </w:rPr>
              <w:t xml:space="preserve">The optional evidence highlight is correctly localized and understandable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The scene includes both obvious and subtle privacy content</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sz w:val="16"/>
              </w:rPr>
              <w:t xml:space="preserve">Point-first marking and neutral linked-content review are usable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w:t>
            </w:r>
          </w:p>
        </w:tc>
      </w:tr>
      <w:tr>
        <w:trPr>
          <w:cantSplit/>
        </w:trPr>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sz w:val="16"/>
              </w:rPr>
              <w:t>Cultural and ethical risk is acceptable</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2016"/>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w:t>
            </w:r>
          </w:p>
        </w:tc>
      </w:tr>
    </w:tbl>
    <w:p>
      <w:pPr>
        <w:spacing w:before="0" w:after="20"/>
      </w:pPr>
      <w:r>
        <w:t>Implemented sequence: require the five-step Hint before the first scene (practice data are not saved; Hint time is separate). Phase A shows a clean image: participants place/delete points or confirm none; category/detection matching is internal, unmatched points are retained, and only ambiguous overlaps trigger a neutral chooser. Phase B reviews every present internal category sequentially with neutral linked-content labels, an optional Show/Hide highlight, awareness status, and three-option reminder-trigger preference. Category identities remain hidden.</w:t>
      </w:r>
    </w:p>
    <w:p>
      <w:pPr>
        <w:pStyle w:val="Heading1"/>
        <w:spacing w:before="0" w:after="80"/>
      </w:pPr>
      <w:r>
        <w:rPr>
          <w:rFonts w:ascii="Liberation Sans" w:hAnsi="Liberation Sans"/>
          <w:b w:val="0"/>
          <w:i w:val="0"/>
        </w:rPr>
        <w:t>6. Probe-level review</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cantSplit/>
          <w:tblHeader w:val="true"/>
          <w:tblHeader w:val="true"/>
        </w:trPr>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Review question</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Rating</w:t>
            </w:r>
          </w:p>
        </w:tc>
        <w:tc>
          <w:tcPr>
            <w:tcW w:type="dxa" w:w="336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Comment</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 xml:space="preserve">Does the required five-step Hint teach point, delete, phase transition, response layout, and next-item navigation without contaminating real answers?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Is it clear that Hint data are not saved and Hint time is excluded from Probe completion time?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 xml:space="preserve">Does Phase A preserve an interpretable unprompted signal when categories and detections remain hidden and unmatched points are retained?</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Are neutral linked-content labels plus the Show/Hide highlight sufficient to identify the review target without category names?</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Are the awareness-status and three-option trigger items distinct, understandable, and sufficiently brief across every category?</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________________________</w:t>
            </w:r>
          </w:p>
        </w:tc>
      </w:tr>
      <w:tr>
        <w:trPr>
          <w:cantSplit/>
        </w:trPr>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 xml:space="preserve">Are pointer/delete, overlap chooser, move/zoom/pan/reset, keyboard controls, and list fallback sufficiently usable and accessible?</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1 2 3 4</w:t>
            </w:r>
          </w:p>
        </w:tc>
        <w:tc>
          <w:tcPr>
            <w:tcW w:type="dxa" w:w="336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________________________</w:t>
            </w:r>
          </w:p>
        </w:tc>
      </w:tr>
    </w:tbl>
    <w:p>
      <w:pPr>
        <w:spacing w:before="0" w:after="20"/>
      </w:pPr>
    </w:p>
    <w:p>
      <w:pPr>
        <w:pStyle w:val="Heading1"/>
        <w:spacing w:before="0" w:after="80"/>
      </w:pPr>
      <w:r>
        <w:rPr>
          <w:rFonts w:ascii="Liberation Sans" w:hAnsi="Liberation Sans"/>
          <w:b w:val="0"/>
          <w:i w:val="0"/>
        </w:rPr>
        <w:t>7. Held-out evaluation review</w:t>
      </w:r>
    </w:p>
    <w:p>
      <w:pPr>
        <w:spacing w:after="40"/>
        <w:jc w:val="center"/>
      </w:pPr>
      <w:r>
        <w:drawing>
          <wp:inline xmlns:a="http://schemas.openxmlformats.org/drawingml/2006/main" xmlns:pic="http://schemas.openxmlformats.org/drawingml/2006/picture">
            <wp:extent cx="6400800" cy="2311400"/>
            <wp:docPr id="3" name="Picture 3" descr="Image: image3.png"/>
            <wp:cNvGraphicFramePr>
              <a:graphicFrameLocks noChangeAspect="1"/>
            </wp:cNvGraphicFramePr>
            <a:graphic>
              <a:graphicData uri="http://schemas.openxmlformats.org/drawingml/2006/picture">
                <pic:pic>
                  <pic:nvPicPr>
                    <pic:cNvPr id="0" name="vprivcal_policy_compare.png"/>
                    <pic:cNvPicPr/>
                  </pic:nvPicPr>
                  <pic:blipFill>
                    <a:blip r:embed="rId13"/>
                    <a:stretch>
                      <a:fillRect/>
                    </a:stretch>
                  </pic:blipFill>
                  <pic:spPr>
                    <a:xfrm>
                      <a:off x="0" y="0"/>
                      <a:ext cx="6400800" cy="2311400"/>
                    </a:xfrm>
                    <a:prstGeom prst="rect"/>
                  </pic:spPr>
                </pic:pic>
              </a:graphicData>
            </a:graphic>
          </wp:inline>
        </w:drawing>
      </w:r>
    </w:p>
    <w:tbl>
      <w:tblPr>
        <w:tblStyle w:val="TableGrid"/>
        <w:tblLook w:firstColumn="1" w:firstRow="1" w:lastColumn="0" w:lastRow="0" w:noHBand="0" w:noVBand="1" w:val="04A0"/>
        <w:tblW w:type="dxa" w:w="10080"/>
        <w:tblInd w:type="dxa" w:w="144"/>
        <w:tblLayout w:type="fixed"/>
        <w:jc w:val="left"/>
      </w:tblPr>
      <w:tblGrid>
        <w:gridCol w:w="5040"/>
        <w:gridCol w:w="5040"/>
      </w:tblGrid>
      <w:tr>
        <w:trPr>
          <w:tblHeader w:val="true"/>
          <w:cantSplit/>
          <w:tblHeader w:val="true"/>
          <w:tblHeader w:val="true"/>
        </w:trPr>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Metric / design decision</w:t>
            </w:r>
          </w:p>
        </w:tc>
        <w:tc>
          <w:tcPr>
            <w:tcW w:type="dxa" w:w="5040"/>
            <w:shd w:fill="153B5B"/>
            <w:tcBorders>
              <w:top w:val="single" w:sz="4" w:color="FFFFFF"/>
              <w:left w:val="single" w:sz="4" w:color="FFFFFF"/>
              <w:bottom w:val="single" w:sz="4" w:color="FFFFFF"/>
              <w:right w:val="single" w:sz="4" w:color="FFFFFF"/>
              <w:insideH w:val="single" w:sz="4" w:color="FFFFFF"/>
              <w:insideV w:val="single" w:sz="4" w:color="FFFFFF"/>
            </w:tcBorders>
            <w:tcMar>
              <w:top w:w="72" w:type="dxa"/>
              <w:start w:w="90" w:type="dxa"/>
              <w:bottom w:w="72" w:type="dxa"/>
              <w:end w:w="90" w:type="dxa"/>
              <w:left w:w="72" w:type="dxa"/>
              <w:right w:w="72" w:type="dxa"/>
            </w:tcMar>
            <w:vAlign w:val="center"/>
          </w:tcPr>
          <w:p>
            <w:pPr>
              <w:spacing w:after="0"/>
              <w:jc w:val="left"/>
            </w:pPr>
            <w:r>
              <w:rPr>
                <w:rFonts w:ascii="Liberation Sans" w:hAnsi="Liberation Sans"/>
                <w:b/>
                <w:color w:val="FFFFFF"/>
                <w:sz w:val="16"/>
              </w:rPr>
              <w:t>Expert judgment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Primary outcome: immediate acceptance rating (1-5) after each standardized reminder decision</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Cue-awareness difference between generic and VPrivCal policies</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Binary decision alignment, false-reminder rate, and missed-reminder rate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Two-expert verification of category and exposure level before study inclusion</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t>Balance presence-only and sensitive-detail-exposed held-out cues where feasible</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shd w:fill="F4F7F9"/>
            <w:vAlign w:val="center"/>
          </w:tcPr>
          <w:p>
            <w:pPr>
              <w:spacing w:after="0"/>
            </w:pPr>
            <w:r>
              <w:rPr>
                <w:rFonts w:ascii="Liberation Sans" w:hAnsi="Liberation Sans"/>
                <w:b w:val="0"/>
                <w:color w:val="1D2833"/>
                <w:sz w:val="16"/>
              </w:rPr>
              <w:t>Strong / Revise / Reject</w:t>
            </w:r>
          </w:p>
        </w:tc>
      </w:tr>
      <w:tr>
        <w:trPr>
          <w:cantSplit/>
        </w:trPr>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t>Treat simulations as software checks and short-video outcomes as immediate only</w:t>
            </w:r>
          </w:p>
        </w:tc>
        <w:tc>
          <w:tcPr>
            <w:tcW w:type="dxa" w:w="5040"/>
            <w:tcBorders>
              <w:top w:val="single" w:sz="4" w:color="C3CDD3"/>
              <w:left w:val="single" w:sz="4" w:color="C3CDD3"/>
              <w:bottom w:val="single" w:sz="4" w:color="C3CDD3"/>
              <w:right w:val="single" w:sz="4" w:color="C3CDD3"/>
              <w:insideH w:val="single" w:sz="4" w:color="C3CDD3"/>
              <w:insideV w:val="single" w:sz="4" w:color="C3CDD3"/>
            </w:tcBorders>
            <w:tcMar>
              <w:top w:w="72" w:type="dxa"/>
              <w:start w:w="90" w:type="dxa"/>
              <w:bottom w:w="72" w:type="dxa"/>
              <w:end w:w="90" w:type="dxa"/>
              <w:left w:w="72" w:type="dxa"/>
              <w:right w:w="72" w:type="dxa"/>
            </w:tcMar>
            <w:vAlign w:val="center"/>
          </w:tcPr>
          <w:p>
            <w:pPr>
              <w:spacing w:after="0"/>
            </w:pPr>
            <w:r>
              <w:rPr>
                <w:rFonts w:ascii="Liberation Sans" w:hAnsi="Liberation Sans"/>
                <w:b w:val="0"/>
                <w:color w:val="1D2833"/>
                <w:sz w:val="16"/>
              </w:rPr>
              <w:t>Strong / Revise / Reject</w:t>
            </w:r>
          </w:p>
        </w:tc>
      </w:tr>
    </w:tbl>
    <w:p>
      <w:pPr>
        <w:spacing w:before="0" w:after="20"/>
      </w:pPr>
    </w:p>
    <w:p>
      <w:pPr>
        <w:pStyle w:val="Heading2"/>
      </w:pPr>
      <w:r>
        <w:t>7.1 Exposure-label codebook review</w:t>
      </w:r>
    </w:p>
    <w:p>
      <w:r>
        <w:t>Experts first confirm category membership. Then ask whether the visible cue identifies or links a person, or exposes a private fact about a person or household. If yes, label SENSITIVE_DETAIL_EXPOSED; otherwise label PRESENCE_ONLY. Disagreements are adjudicated or excluded before the cue JSON is locked.</w:t>
      </w:r>
    </w:p>
    <w:tbl>
      <w:tblPr>
        <w:tblStyle w:val="TableGrid"/>
        <w:tblLook w:firstColumn="1" w:firstRow="1" w:lastColumn="0" w:lastRow="0" w:noHBand="0" w:noVBand="1" w:val="04A0"/>
        <w:tblW w:type="dxa" w:w="10080"/>
        <w:tblInd w:type="dxa" w:w="144"/>
        <w:tblLayout w:type="fixed"/>
        <w:jc w:val="left"/>
      </w:tblPr>
      <w:tblGrid>
        <w:gridCol w:w="3360"/>
        <w:gridCol w:w="3360"/>
        <w:gridCol w:w="3360"/>
      </w:tblGrid>
      <w:tr>
        <w:trPr>
          <w:tblHeader w:val="true"/>
        </w:trPr>
        <w:tc>
          <w:tcPr>
            <w:tcW w:type="dxa" w:w="3360"/>
            <w:vAlign w:val="center"/>
            <w:tcMar>
              <w:top w:w="72" w:type="dxa"/>
              <w:left w:w="72" w:type="dxa"/>
              <w:bottom w:w="72" w:type="dxa"/>
              <w:right w:w="72" w:type="dxa"/>
            </w:tcMar>
          </w:tcPr>
          <w:p>
            <w:pPr>
              <w:spacing w:after="0"/>
            </w:pPr>
            <w:r>
              <w:rPr>
                <w:b/>
                <w:sz w:val="18"/>
              </w:rPr>
              <w:t>Category</w:t>
            </w:r>
          </w:p>
        </w:tc>
        <w:tc>
          <w:tcPr>
            <w:tcW w:type="dxa" w:w="3360"/>
            <w:vAlign w:val="center"/>
            <w:tcMar>
              <w:top w:w="72" w:type="dxa"/>
              <w:left w:w="72" w:type="dxa"/>
              <w:bottom w:w="72" w:type="dxa"/>
              <w:right w:w="72" w:type="dxa"/>
            </w:tcMar>
          </w:tcPr>
          <w:p>
            <w:pPr>
              <w:spacing w:after="0"/>
            </w:pPr>
            <w:r>
              <w:rPr>
                <w:b/>
                <w:sz w:val="18"/>
              </w:rPr>
              <w:t>PRESENCE_ONLY anchor</w:t>
            </w:r>
          </w:p>
        </w:tc>
        <w:tc>
          <w:tcPr>
            <w:tcW w:type="dxa" w:w="3360"/>
            <w:vAlign w:val="center"/>
            <w:tcMar>
              <w:top w:w="72" w:type="dxa"/>
              <w:left w:w="72" w:type="dxa"/>
              <w:bottom w:w="72" w:type="dxa"/>
              <w:right w:w="72" w:type="dxa"/>
            </w:tcMar>
          </w:tcPr>
          <w:p>
            <w:pPr>
              <w:spacing w:after="0"/>
            </w:pPr>
            <w:r>
              <w:rPr>
                <w:b/>
                <w:sz w:val="18"/>
              </w:rPr>
              <w:t>SENSITIVE_DETAIL_EXPOSED anchor</w:t>
            </w:r>
          </w:p>
        </w:tc>
      </w:tr>
      <w:tr>
        <w:trPr/>
        <w:tc>
          <w:tcPr>
            <w:tcW w:type="dxa" w:w="3360"/>
            <w:vAlign w:val="center"/>
            <w:tcMar>
              <w:top w:w="72" w:type="dxa"/>
              <w:left w:w="72" w:type="dxa"/>
              <w:bottom w:w="72" w:type="dxa"/>
              <w:right w:w="72" w:type="dxa"/>
            </w:tcMar>
          </w:tcPr>
          <w:p>
            <w:pPr>
              <w:spacing w:after="0"/>
            </w:pPr>
            <w:r>
              <w:rPr>
                <w:sz w:val="17"/>
              </w:rPr>
              <w:t>Biometric data</w:t>
            </w:r>
          </w:p>
        </w:tc>
        <w:tc>
          <w:tcPr>
            <w:tcW w:type="dxa" w:w="3360"/>
            <w:vAlign w:val="center"/>
            <w:tcMar>
              <w:top w:w="72" w:type="dxa"/>
              <w:left w:w="72" w:type="dxa"/>
              <w:bottom w:w="72" w:type="dxa"/>
              <w:right w:w="72" w:type="dxa"/>
            </w:tcMar>
          </w:tcPr>
          <w:p>
            <w:pPr>
              <w:spacing w:after="0"/>
            </w:pPr>
            <w:r>
              <w:rPr>
                <w:sz w:val="17"/>
              </w:rPr>
              <w:t>Distant, occluded, or otherwise non-recognizable person/body feature.</w:t>
            </w:r>
          </w:p>
        </w:tc>
        <w:tc>
          <w:tcPr>
            <w:tcW w:type="dxa" w:w="3360"/>
            <w:vAlign w:val="center"/>
            <w:tcMar>
              <w:top w:w="72" w:type="dxa"/>
              <w:left w:w="72" w:type="dxa"/>
              <w:bottom w:w="72" w:type="dxa"/>
              <w:right w:w="72" w:type="dxa"/>
            </w:tcMar>
          </w:tcPr>
          <w:p>
            <w:pPr>
              <w:spacing w:after="0"/>
            </w:pPr>
            <w:r>
              <w:rPr>
                <w:sz w:val="17"/>
              </w:rPr>
              <w:t>A clear face or distinctive body feature that supports recognition or re-identification.</w:t>
            </w:r>
          </w:p>
        </w:tc>
      </w:tr>
      <w:tr>
        <w:trPr/>
        <w:tc>
          <w:tcPr>
            <w:tcW w:type="dxa" w:w="3360"/>
            <w:vAlign w:val="center"/>
            <w:tcMar>
              <w:top w:w="72" w:type="dxa"/>
              <w:left w:w="72" w:type="dxa"/>
              <w:bottom w:w="72" w:type="dxa"/>
              <w:right w:w="72" w:type="dxa"/>
            </w:tcMar>
          </w:tcPr>
          <w:p>
            <w:pPr>
              <w:spacing w:after="0"/>
            </w:pPr>
            <w:r>
              <w:rPr>
                <w:sz w:val="17"/>
              </w:rPr>
              <w:t>Children images</w:t>
            </w:r>
          </w:p>
        </w:tc>
        <w:tc>
          <w:tcPr>
            <w:tcW w:type="dxa" w:w="3360"/>
            <w:vAlign w:val="center"/>
            <w:tcMar>
              <w:top w:w="72" w:type="dxa"/>
              <w:left w:w="72" w:type="dxa"/>
              <w:bottom w:w="72" w:type="dxa"/>
              <w:right w:w="72" w:type="dxa"/>
            </w:tcMar>
          </w:tcPr>
          <w:p>
            <w:pPr>
              <w:spacing w:after="0"/>
            </w:pPr>
            <w:r>
              <w:rPr>
                <w:sz w:val="17"/>
              </w:rPr>
              <w:t>A child is present without a recognizable identity or linkable school/location detail.</w:t>
            </w:r>
          </w:p>
        </w:tc>
        <w:tc>
          <w:tcPr>
            <w:tcW w:type="dxa" w:w="3360"/>
            <w:vAlign w:val="center"/>
            <w:tcMar>
              <w:top w:w="72" w:type="dxa"/>
              <w:left w:w="72" w:type="dxa"/>
              <w:bottom w:w="72" w:type="dxa"/>
              <w:right w:w="72" w:type="dxa"/>
            </w:tcMar>
          </w:tcPr>
          <w:p>
            <w:pPr>
              <w:spacing w:after="0"/>
            </w:pPr>
            <w:r>
              <w:rPr>
                <w:sz w:val="17"/>
              </w:rPr>
              <w:t>A recognizable child, readable name, school affiliation, home link, or other identity/location detail.</w:t>
            </w:r>
          </w:p>
        </w:tc>
      </w:tr>
      <w:tr>
        <w:trPr/>
        <w:tc>
          <w:tcPr>
            <w:tcW w:type="dxa" w:w="3360"/>
            <w:vAlign w:val="center"/>
            <w:tcMar>
              <w:top w:w="72" w:type="dxa"/>
              <w:left w:w="72" w:type="dxa"/>
              <w:bottom w:w="72" w:type="dxa"/>
              <w:right w:w="72" w:type="dxa"/>
            </w:tcMar>
          </w:tcPr>
          <w:p>
            <w:pPr>
              <w:spacing w:after="0"/>
            </w:pPr>
            <w:r>
              <w:rPr>
                <w:sz w:val="17"/>
              </w:rPr>
              <w:t>PII</w:t>
            </w:r>
          </w:p>
        </w:tc>
        <w:tc>
          <w:tcPr>
            <w:tcW w:type="dxa" w:w="3360"/>
            <w:vAlign w:val="center"/>
            <w:tcMar>
              <w:top w:w="72" w:type="dxa"/>
              <w:left w:w="72" w:type="dxa"/>
              <w:bottom w:w="72" w:type="dxa"/>
              <w:right w:w="72" w:type="dxa"/>
            </w:tcMar>
          </w:tcPr>
          <w:p>
            <w:pPr>
              <w:spacing w:after="0"/>
            </w:pPr>
            <w:r>
              <w:rPr>
                <w:sz w:val="17"/>
              </w:rPr>
              <w:t>A document, screen, badge, plate, or device is present but identifying content is unreadable.</w:t>
            </w:r>
          </w:p>
        </w:tc>
        <w:tc>
          <w:tcPr>
            <w:tcW w:type="dxa" w:w="3360"/>
            <w:vAlign w:val="center"/>
            <w:tcMar>
              <w:top w:w="72" w:type="dxa"/>
              <w:left w:w="72" w:type="dxa"/>
              <w:bottom w:w="72" w:type="dxa"/>
              <w:right w:w="72" w:type="dxa"/>
            </w:tcMar>
          </w:tcPr>
          <w:p>
            <w:pPr>
              <w:spacing w:after="0"/>
            </w:pPr>
            <w:r>
              <w:rPr>
                <w:sz w:val="17"/>
              </w:rPr>
              <w:t>A readable name, address, account/contact number, email, plate, patient ID, or comparable identifier.</w:t>
            </w:r>
          </w:p>
        </w:tc>
      </w:tr>
      <w:tr>
        <w:trPr/>
        <w:tc>
          <w:tcPr>
            <w:tcW w:type="dxa" w:w="3360"/>
            <w:vAlign w:val="center"/>
            <w:tcMar>
              <w:top w:w="72" w:type="dxa"/>
              <w:left w:w="72" w:type="dxa"/>
              <w:bottom w:w="72" w:type="dxa"/>
              <w:right w:w="72" w:type="dxa"/>
            </w:tcMar>
          </w:tcPr>
          <w:p>
            <w:pPr>
              <w:spacing w:after="0"/>
            </w:pPr>
            <w:r>
              <w:rPr>
                <w:sz w:val="17"/>
              </w:rPr>
              <w:t>Legal sensitivity</w:t>
            </w:r>
          </w:p>
        </w:tc>
        <w:tc>
          <w:tcPr>
            <w:tcW w:type="dxa" w:w="3360"/>
            <w:vAlign w:val="center"/>
            <w:tcMar>
              <w:top w:w="72" w:type="dxa"/>
              <w:left w:w="72" w:type="dxa"/>
              <w:bottom w:w="72" w:type="dxa"/>
              <w:right w:w="72" w:type="dxa"/>
            </w:tcMar>
          </w:tcPr>
          <w:p>
            <w:pPr>
              <w:spacing w:after="0"/>
            </w:pPr>
            <w:r>
              <w:rPr>
                <w:sz w:val="17"/>
              </w:rPr>
              <w:t>A potentially sensitive object or setting is present without person-specific sensitive content.</w:t>
            </w:r>
          </w:p>
        </w:tc>
        <w:tc>
          <w:tcPr>
            <w:tcW w:type="dxa" w:w="3360"/>
            <w:vAlign w:val="center"/>
            <w:tcMar>
              <w:top w:w="72" w:type="dxa"/>
              <w:left w:w="72" w:type="dxa"/>
              <w:bottom w:w="72" w:type="dxa"/>
              <w:right w:w="72" w:type="dxa"/>
            </w:tcMar>
          </w:tcPr>
          <w:p>
            <w:pPr>
              <w:spacing w:after="0"/>
            </w:pPr>
            <w:r>
              <w:rPr>
                <w:sz w:val="17"/>
              </w:rPr>
              <w:t>Explicit content, a visible unlawful/high-risk act, or person-linked legal/safety information.</w:t>
            </w:r>
          </w:p>
        </w:tc>
      </w:tr>
      <w:tr>
        <w:trPr/>
        <w:tc>
          <w:tcPr>
            <w:tcW w:type="dxa" w:w="3360"/>
            <w:vAlign w:val="center"/>
            <w:tcMar>
              <w:top w:w="72" w:type="dxa"/>
              <w:left w:w="72" w:type="dxa"/>
              <w:bottom w:w="72" w:type="dxa"/>
              <w:right w:w="72" w:type="dxa"/>
            </w:tcMar>
          </w:tcPr>
          <w:p>
            <w:pPr>
              <w:spacing w:after="0"/>
            </w:pPr>
            <w:r>
              <w:rPr>
                <w:sz w:val="17"/>
              </w:rPr>
              <w:t>Personal life</w:t>
            </w:r>
          </w:p>
        </w:tc>
        <w:tc>
          <w:tcPr>
            <w:tcW w:type="dxa" w:w="3360"/>
            <w:vAlign w:val="center"/>
            <w:tcMar>
              <w:top w:w="72" w:type="dxa"/>
              <w:left w:w="72" w:type="dxa"/>
              <w:bottom w:w="72" w:type="dxa"/>
              <w:right w:w="72" w:type="dxa"/>
            </w:tcMar>
          </w:tcPr>
          <w:p>
            <w:pPr>
              <w:spacing w:after="0"/>
            </w:pPr>
            <w:r>
              <w:rPr>
                <w:sz w:val="17"/>
              </w:rPr>
              <w:t>A generic home, routine, relationship, or personal object is visible without a linkable private fact.</w:t>
            </w:r>
          </w:p>
        </w:tc>
        <w:tc>
          <w:tcPr>
            <w:tcW w:type="dxa" w:w="3360"/>
            <w:vAlign w:val="center"/>
            <w:tcMar>
              <w:top w:w="72" w:type="dxa"/>
              <w:left w:w="72" w:type="dxa"/>
              <w:bottom w:w="72" w:type="dxa"/>
              <w:right w:w="72" w:type="dxa"/>
            </w:tcMar>
          </w:tcPr>
          <w:p>
            <w:pPr>
              <w:spacing w:after="0"/>
            </w:pPr>
            <w:r>
              <w:rPr>
                <w:sz w:val="17"/>
              </w:rPr>
              <w:t>An intimate activity, precise location, relationship/routine, or household detail is exposed and linkable.</w:t>
            </w:r>
          </w:p>
        </w:tc>
      </w:tr>
      <w:tr>
        <w:trPr/>
        <w:tc>
          <w:tcPr>
            <w:tcW w:type="dxa" w:w="3360"/>
            <w:vAlign w:val="center"/>
            <w:tcMar>
              <w:top w:w="72" w:type="dxa"/>
              <w:left w:w="72" w:type="dxa"/>
              <w:bottom w:w="72" w:type="dxa"/>
              <w:right w:w="72" w:type="dxa"/>
            </w:tcMar>
          </w:tcPr>
          <w:p>
            <w:pPr>
              <w:spacing w:after="0"/>
            </w:pPr>
            <w:r>
              <w:rPr>
                <w:sz w:val="17"/>
              </w:rPr>
              <w:t>Background individuals</w:t>
            </w:r>
          </w:p>
        </w:tc>
        <w:tc>
          <w:tcPr>
            <w:tcW w:type="dxa" w:w="3360"/>
            <w:vAlign w:val="center"/>
            <w:tcMar>
              <w:top w:w="72" w:type="dxa"/>
              <w:left w:w="72" w:type="dxa"/>
              <w:bottom w:w="72" w:type="dxa"/>
              <w:right w:w="72" w:type="dxa"/>
            </w:tcMar>
          </w:tcPr>
          <w:p>
            <w:pPr>
              <w:spacing w:after="0"/>
            </w:pPr>
            <w:r>
              <w:rPr>
                <w:sz w:val="17"/>
              </w:rPr>
              <w:t>An incidental person is distant or non-recognizable.</w:t>
            </w:r>
          </w:p>
        </w:tc>
        <w:tc>
          <w:tcPr>
            <w:tcW w:type="dxa" w:w="3360"/>
            <w:vAlign w:val="center"/>
            <w:tcMar>
              <w:top w:w="72" w:type="dxa"/>
              <w:left w:w="72" w:type="dxa"/>
              <w:bottom w:w="72" w:type="dxa"/>
              <w:right w:w="72" w:type="dxa"/>
            </w:tcMar>
          </w:tcPr>
          <w:p>
            <w:pPr>
              <w:spacing w:after="0"/>
            </w:pPr>
            <w:r>
              <w:rPr>
                <w:sz w:val="17"/>
              </w:rPr>
              <w:t>A bystander is recognizable or linked to a readable name, workplace, health context, or other private detail.</w:t>
            </w:r>
          </w:p>
        </w:tc>
      </w:tr>
    </w:tbl>
    <w:p>
      <w:r>
        <w:t>Reviewer judgment: Can two independent experts apply these anchors consistently?  □ Strong  □ Revise  □ Reject    Comment: ____________________________________________</w:t>
      </w:r>
    </w:p>
    <w:p>
      <w:pPr>
        <w:pStyle w:val="Heading1"/>
        <w:spacing w:before="0" w:after="80"/>
      </w:pPr>
      <w:r>
        <w:rPr>
          <w:rFonts w:ascii="Liberation Sans" w:hAnsi="Liberation Sans"/>
          <w:b w:val="0"/>
          <w:i w:val="0"/>
        </w:rPr>
        <w:t>8. Final decision</w:t>
      </w:r>
    </w:p>
    <w:p>
      <w:pPr>
        <w:spacing w:before="0" w:after="80"/>
      </w:pPr>
      <w:r>
        <w:rPr>
          <w:rFonts w:ascii="Liberation Sans" w:hAnsi="Liberation Sans"/>
          <w:b w:val="0"/>
          <w:i w:val="0"/>
          <w:sz w:val="18"/>
        </w:rPr>
        <w:t>VPrivCal-Q10:  □ Proceed  □ Minor revision  □ Major revision  □ Replace</w:t>
      </w:r>
    </w:p>
    <w:p>
      <w:pPr>
        <w:spacing w:before="0" w:after="80"/>
      </w:pPr>
      <w:r>
        <w:rPr>
          <w:rFonts w:ascii="Liberation Sans" w:hAnsi="Liberation Sans"/>
          <w:b w:val="0"/>
          <w:i w:val="0"/>
          <w:sz w:val="18"/>
        </w:rPr>
        <w:t xml:space="preserve">VPrivCal-Probe interface (including Hint):  □ Proceed  □ Minor revision  □ Major revision  □ Replace</w:t>
      </w:r>
    </w:p>
    <w:p>
      <w:pPr>
        <w:spacing w:before="0" w:after="80"/>
      </w:pPr>
      <w:r>
        <w:t>Workflow, expert verification, and immediate acceptance evaluation:  □ Proceed  □ Minor revision  □ Major revision  □ Replace</w:t>
      </w:r>
    </w:p>
    <w:p>
      <w:pPr>
        <w:spacing w:before="0" w:after="80"/>
      </w:pPr>
      <w:r>
        <w:rPr>
          <w:rFonts w:ascii="Liberation Sans" w:hAnsi="Liberation Sans"/>
          <w:b w:val="0"/>
          <w:i w:val="0"/>
          <w:sz w:val="18"/>
        </w:rPr>
        <w:t xml:space="preserve">Simulated policy-output pre-verification:  □ Proceed  □ Minor revision  □ Major revision  □ Defer</w:t>
      </w:r>
    </w:p>
    <w:p>
      <w:pPr>
        <w:spacing w:before="0" w:after="80"/>
      </w:pPr>
      <w:r>
        <w:rPr>
          <w:rFonts w:ascii="Liberation Sans" w:hAnsi="Liberation Sans"/>
          <w:b w:val="0"/>
          <w:i w:val="0"/>
          <w:sz w:val="18"/>
        </w:rPr>
        <w:t>Overall readiness for cognitive interviews:  □ Yes  □ Yes after revision  □ No</w:t>
      </w:r>
    </w:p>
    <w:p>
      <w:pPr>
        <w:spacing w:before="0" w:after="80"/>
      </w:pPr>
      <w:r>
        <w:rPr>
          <w:rFonts w:ascii="Liberation Sans" w:hAnsi="Liberation Sans"/>
          <w:b/>
          <w:i w:val="0"/>
          <w:sz w:val="18"/>
        </w:rPr>
        <w:t>Three highest-priority changes:</w:t>
      </w:r>
    </w:p>
    <w:p>
      <w:pPr>
        <w:spacing w:before="0" w:after="80"/>
      </w:pPr>
      <w:r>
        <w:rPr>
          <w:rFonts w:ascii="Liberation Sans" w:hAnsi="Liberation Sans"/>
          <w:b w:val="0"/>
          <w:i w:val="0"/>
          <w:sz w:val="17"/>
        </w:rPr>
        <w:t>1. __________________________________________________________________________________</w:t>
      </w:r>
    </w:p>
    <w:p>
      <w:pPr>
        <w:spacing w:before="0" w:after="80"/>
      </w:pPr>
      <w:r>
        <w:rPr>
          <w:rFonts w:ascii="Liberation Sans" w:hAnsi="Liberation Sans"/>
          <w:b w:val="0"/>
          <w:i w:val="0"/>
          <w:sz w:val="17"/>
        </w:rPr>
        <w:t>2. __________________________________________________________________________________</w:t>
      </w:r>
    </w:p>
    <w:p>
      <w:pPr>
        <w:spacing w:before="0" w:after="80"/>
      </w:pPr>
      <w:r>
        <w:rPr>
          <w:rFonts w:ascii="Liberation Sans" w:hAnsi="Liberation Sans"/>
          <w:b w:val="0"/>
          <w:i w:val="0"/>
          <w:sz w:val="17"/>
        </w:rPr>
        <w:t>3. __________________________________________________________________________________</w:t>
      </w:r>
    </w:p>
    <w:p>
      <w:pPr>
        <w:spacing w:before="0" w:after="80"/>
      </w:pPr>
      <w:r>
        <w:rPr>
          <w:rFonts w:ascii="Liberation Sans" w:hAnsi="Liberation Sans"/>
          <w:b w:val="0"/>
          <w:i w:val="0"/>
          <w:sz w:val="17"/>
        </w:rPr>
        <w:t>Alternative idea or missing test: ______________________________________________________________________</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6570"/>
        <w:sz w:val="16"/>
      </w:rPr>
      <w:t xml:space="preserve">VPrivCal expert workshop  |  July 2026  |  </w:t>
    </w:r>
    <w:r>
      <w:rPr>
        <w:rFonts w:ascii="Liberation Sans" w:hAnsi="Liberation Sans"/>
        <w:color w:val="5A6570"/>
        <w:sz w:val="16"/>
      </w:rPr>
      <w:t xml:space="preserve">Page </w:t>
    </w:r>
    <w:fldSimple w:instr="PAGE">
      <w:r>
        <w:rPr>
          <w:rFonts w:ascii="Liberation Sans" w:hAnsi="Liberation Sans"/>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A6570"/>
        <w:sz w:val="15"/>
      </w:rPr>
      <w:t>VPRIVCAL EXPERT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E6F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7255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53B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1E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pPr>
    <w:rPr>
      <w:rFonts w:ascii="Liberation Sans" w:hAnsi="Liberation Sans"/>
      <w:i/>
      <w:color w:val="5A65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VPrivCal Expert Review - Three-Option Trigger Edition</dc:title>
  <dc:subject>Expert review of three trigger preferences and verified-exposure rules</dc:subject>
  <dc:creator>OpenAI</dc:creator>
  <cp:keywords/>
  <dc:description>Version 6.3; explicit printable table widths.</dc:description>
  <cp:lastModifiedBy/>
  <cp:revision>1</cp:revision>
  <dcterms:created xsi:type="dcterms:W3CDTF">2013-12-23T23:15:00Z</dcterms:created>
  <dcterms:modified xsi:type="dcterms:W3CDTF">2013-12-23T23:15:00Z</dcterms:modified>
  <cp:category/>
</cp:coreProperties>
</file>