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center"/>
      </w:pPr>
      <w:r>
        <w:rPr>
          <w:rFonts w:ascii="Liberation Sans" w:hAnsi="Liberation Sans"/>
          <w:b w:val="0"/>
          <w:i w:val="0"/>
        </w:rPr>
        <w:t>VPrivCal Expert Review</w:t>
      </w:r>
    </w:p>
    <w:p>
      <w:pPr>
        <w:pStyle w:val="Subtitle"/>
        <w:spacing w:before="0" w:after="60"/>
        <w:jc w:val="center"/>
      </w:pPr>
      <w:r>
        <w:rPr>
          <w:rFonts w:ascii="Liberation Sans" w:hAnsi="Liberation Sans"/>
          <w:b w:val="0"/>
          <w:i w:val="0"/>
        </w:rPr>
        <w:t>Direct-use screening workbook for VPrivCal-Q10 and VPrivCal-Probe</w:t>
      </w:r>
    </w:p>
    <w:p>
      <w:pPr>
        <w:spacing w:before="0" w:after="240"/>
        <w:jc w:val="center"/>
      </w:pPr>
      <w:r>
        <w:rPr>
          <w:rFonts w:ascii="Liberation Sans" w:hAnsi="Liberation Sans"/>
          <w:b w:val="0"/>
          <w:i/>
          <w:color w:val="5A6570"/>
          <w:sz w:val="22"/>
        </w:rPr>
        <w:t>Short workshop version for professional researchers</w:t>
      </w:r>
    </w:p>
    <w:tbl>
      <w:tblPr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10080"/>
      </w:tblGrid>
      <w:tr>
        <w:trPr>
          <w:cantSplit/>
          <w:tblHeader/>
          <w:tblHeader w:val="true"/>
        </w:trPr>
        <w:tc>
          <w:tcPr>
            <w:tcW w:type="dxa" w:w="10080"/>
            <w:shd w:fill="E8F4F2"/>
            <w:tcBorders>
              <w:top w:val="single" w:sz="8" w:color="1E6F78"/>
              <w:left w:val="single" w:sz="8" w:color="1E6F78"/>
              <w:bottom w:val="single" w:sz="8" w:color="1E6F78"/>
              <w:right w:val="single" w:sz="8" w:color="1E6F78"/>
              <w:insideH w:val="single" w:sz="8" w:color="1E6F78"/>
              <w:insideV w:val="single" w:sz="8" w:color="1E6F78"/>
            </w:tcBorders>
            <w:tcMar>
              <w:top w:w="72" w:type="dxa"/>
              <w:start w:w="110" w:type="dxa"/>
              <w:bottom w:w="72" w:type="dxa"/>
              <w:end w:w="11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Decision / research question</w:t>
              <w:br/>
              <w:t>Are the three-option trigger questions, expert-verified exposure labels, Probe workflow, and held-out evaluation ready for cognitive testing?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Method at a glance</w:t>
      </w: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5040"/>
        <w:gridCol w:w="5040"/>
      </w:tblGrid>
      <w:tr>
        <w:trPr>
          <w:tblHeader w:val="true"/>
          <w:cantSplit/>
          <w:tblHeader w:val="true"/>
        </w:trPr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Current design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VPrivCal-Q10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Ten direct policy questions; Q1-Q6 share one three-option trigger scale.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VPrivCal-Probe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Three egocentric scenes spanning private, public, and semi-public contexts. Participants point first, then review every predefined category present in each scene.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Calibration target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Pilot target: approximately 5-7 minutes total for Q10 plus the revised category-complete Probe; timing must be confirmed empirically.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Effectiveness test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Generic versus Q10-only versus full VPrivCal on the same locked expert-verified held-out cues.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Expert output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Keep/revise/remove decisions for the questions, exposure rule, Probe, stimuli, and evaluation.</w:t>
            </w:r>
          </w:p>
        </w:tc>
      </w:tr>
    </w:tbl>
    <w:p>
      <w:pPr>
        <w:spacing w:before="0" w:after="20"/>
      </w:pPr>
    </w:p>
    <w:p>
      <w:pPr>
        <w:spacing w:before="0" w:after="0"/>
      </w:pPr>
      <w:r>
        <w:t>Version 7 | July 2026 | Three-option trigger edition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1. Reviewer instructions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</w:rPr>
        <w:t>Complete ratings independently before discussion. Judge the current design as written. Proposed fixes belong in the comment fields and should not inflate the current rating.</w:t>
      </w: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5040"/>
        <w:gridCol w:w="5040"/>
      </w:tblGrid>
      <w:tr>
        <w:trPr>
          <w:tblHeader w:val="true"/>
          <w:cantSplit/>
          <w:tblHeader w:val="true"/>
        </w:trPr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1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Major problem / not ready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2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Substantial revision needed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3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Acceptable with minor revision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4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Strong / ready for cognitive testing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2. Method workflow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02692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rivcal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5040"/>
        <w:gridCol w:w="5040"/>
      </w:tblGrid>
      <w:tr>
        <w:trPr>
          <w:tblHeader w:val="true"/>
          <w:cantSplit/>
          <w:tblHeader w:val="true"/>
        </w:trPr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Rating / comment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Does the workflow make clear that Q10 and Probe are two components of one method?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 2  3  4   Comment: ______________________________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Is the revised 5-7 minute pilot target credible without forcing rushed responses?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 2  3  4   Comment: ______________________________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Is it clear that effectiveness is measured on held-out video cases, not during the probe?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 2  3  4   Comment: ______________________________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3. VPrivCal-Q10 candidate questions</w:t>
      </w:r>
    </w:p>
    <w:tbl>
      <w:tblPr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10080"/>
      </w:tblGrid>
      <w:tr>
        <w:trPr>
          <w:cantSplit/>
          <w:tblHeader/>
          <w:tblHeader w:val="true"/>
        </w:trPr>
        <w:tc>
          <w:tcPr>
            <w:tcW w:type="dxa" w:w="10080"/>
            <w:shd w:fill="EAF3F8"/>
            <w:tcBorders>
              <w:top w:val="single" w:sz="8" w:color="153B5B"/>
              <w:left w:val="single" w:sz="8" w:color="153B5B"/>
              <w:bottom w:val="single" w:sz="8" w:color="153B5B"/>
              <w:right w:val="single" w:sz="8" w:color="153B5B"/>
              <w:insideH w:val="single" w:sz="8" w:color="153B5B"/>
              <w:insideV w:val="single" w:sz="8" w:color="153B5B"/>
            </w:tcBorders>
            <w:tcMar>
              <w:top w:w="72" w:type="dxa"/>
              <w:start w:w="110" w:type="dxa"/>
              <w:bottom w:w="72" w:type="dxa"/>
              <w:end w:w="11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Shared three-option trigger scale for Q1-Q6</w:t>
              <w:br/>
              <w:t>1 Do not show reminders for this category | 2 Show reminders only when identifying or sensitive details are exposed | 3 Show reminders whenever this verified category is present</w:t>
            </w:r>
          </w:p>
        </w:tc>
      </w:tr>
    </w:tbl>
    <w:p>
      <w:pPr>
        <w:spacing w:before="0" w:after="20"/>
      </w:pP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  <w:tblHeader w:val="true"/>
        </w:trPr>
        <w:tc>
          <w:tcPr>
            <w:tcW w:type="dxa" w:w="14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Category / policy dimension</w:t>
            </w:r>
          </w:p>
        </w:tc>
        <w:tc>
          <w:tcPr>
            <w:tcW w:type="dxa" w:w="14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Relevance</w:t>
            </w:r>
          </w:p>
        </w:tc>
        <w:tc>
          <w:tcPr>
            <w:tcW w:type="dxa" w:w="14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Clarity</w:t>
            </w:r>
          </w:p>
        </w:tc>
        <w:tc>
          <w:tcPr>
            <w:tcW w:type="dxa" w:w="14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Actionability</w:t>
            </w:r>
          </w:p>
        </w:tc>
        <w:tc>
          <w:tcPr>
            <w:tcW w:type="dxa" w:w="14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Predictive value</w:t>
            </w:r>
          </w:p>
        </w:tc>
        <w:tc>
          <w:tcPr>
            <w:tcW w:type="dxa" w:w="14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Q1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Biometric data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Q2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Children images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Q3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Personally identifiable information (PII)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Legal sensitivity information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Q5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Personal life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Q6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Background individuals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Q7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Inferred privacy risks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Q8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Other verified privacy categories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Q9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Uncertain detections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Q10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Task-irrelevant sensitive information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14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Keep / Revise / Remove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4. Item-specific prompts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Q1. Biometric data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Faces, fingerprints, and other distinctive body features that may identify a person.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Q2. Children images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Children, school events, playgrounds, and child-related activities.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Q3. Personally identifiable information (PII)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Financial or medical data; names, passports, email addresses, phone numbers, GPS, license plates, and other identifiers.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Q4. Legal sensitivity information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Nudity or explicit imagery; violent or unlawful acts; criminal acts; weapons or other high-risk items.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Q5. Personal life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Home interiors, personal items, location context, landmarks, routines, relationships, and activities.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Q6. Background individuals</w:t>
      </w:r>
    </w:p>
    <w:p>
      <w:pPr>
        <w:spacing w:before="0" w:after="20"/>
      </w:pPr>
      <w:r>
        <w:t>Passersby, bystanders, coworkers, patients, patrons, and other people incidentally captured.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7255A6"/>
          <w:sz w:val="19"/>
        </w:rPr>
        <w:t>Q7. Inferred privacy risks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How should reminders work when the VLM can infer sensitive information that is not directly visible?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t>Q8. Other verified privacy categories</w:t>
      </w:r>
    </w:p>
    <w:p>
      <w:pPr>
        <w:spacing w:before="0" w:after="20"/>
      </w:pPr>
      <w:r>
        <w:t>If experts verify a privacy category not covered above, when should the assistant show a reminder?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7255A6"/>
          <w:sz w:val="19"/>
        </w:rPr>
        <w:t>Q9. Uncertain detections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What should happen when the VLM is unsure whether a cue is sensitive?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7255A6"/>
          <w:sz w:val="19"/>
        </w:rPr>
        <w:t>Q10. Task-irrelevant sensitive information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What should happen when sensitive information is visible but unnecessary for the current task?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5. VPrivCal-Probe stimuli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6042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rivcal_probe_compo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10080"/>
      </w:tblGrid>
      <w:tr>
        <w:trPr>
          <w:cantSplit/>
          <w:tblHeader/>
          <w:tblHeader w:val="true"/>
        </w:trPr>
        <w:tc>
          <w:tcPr>
            <w:tcW w:type="dxa" w:w="10080"/>
            <w:shd w:fill="F1ECFA"/>
            <w:tcBorders>
              <w:top w:val="single" w:sz="8" w:color="7255A6"/>
              <w:left w:val="single" w:sz="8" w:color="7255A6"/>
              <w:bottom w:val="single" w:sz="8" w:color="7255A6"/>
              <w:right w:val="single" w:sz="8" w:color="7255A6"/>
              <w:insideH w:val="single" w:sz="8" w:color="7255A6"/>
              <w:insideV w:val="single" w:sz="8" w:color="7255A6"/>
            </w:tcBorders>
            <w:tcMar>
              <w:top w:w="72" w:type="dxa"/>
              <w:start w:w="110" w:type="dxa"/>
              <w:bottom w:w="72" w:type="dxa"/>
              <w:end w:w="11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Two participant questions per category-image pair</w:t>
              <w:br/>
              <w:t>A. Awareness status: already aware / noticed without considering privacy / did not notice or realize VLM capability / not a concern.</w:t>
              <w:br/>
              <w:t>B. Preferred trigger: never remind / sensitive-detail exposure only / whenever the verified category is present.</w:t>
            </w:r>
          </w:p>
        </w:tc>
      </w:tr>
    </w:tbl>
    <w:p>
      <w:pPr>
        <w:spacing w:before="0" w:after="20"/>
      </w:pPr>
      <w:r>
        <w:t>The revised stimuli span three contexts: a private indoor family party, a public cafe, and a semi-public hospital waiting area. The coverage criterion is scene-level rather than two categories per image: the interface asks about every category present in each scene, and the full set covers all six high-level categories.</w:t>
      </w: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  <w:tblHeader w:val="true"/>
        </w:trPr>
        <w:tc>
          <w:tcPr>
            <w:tcW w:type="dxa" w:w="201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01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Scene 1</w:t>
            </w:r>
          </w:p>
        </w:tc>
        <w:tc>
          <w:tcPr>
            <w:tcW w:type="dxa" w:w="201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Scene 2</w:t>
            </w:r>
          </w:p>
        </w:tc>
        <w:tc>
          <w:tcPr>
            <w:tcW w:type="dxa" w:w="201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Scene 3</w:t>
            </w:r>
          </w:p>
        </w:tc>
        <w:tc>
          <w:tcPr>
            <w:tcW w:type="dxa" w:w="201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Comment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Context is realistic and distinct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available category list is complete for the scene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sz w:val="16"/>
              </w:rPr>
              <w:t>Linked evidence is visible and correctly localized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scene includes both obvious and subtle privacy content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sz w:val="16"/>
              </w:rPr>
              <w:t>Point-to-select mapping is usable without revealing categories too early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Cultural and ethical risk is acceptable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201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</w:t>
            </w:r>
          </w:p>
        </w:tc>
      </w:tr>
    </w:tbl>
    <w:p>
      <w:pPr>
        <w:spacing w:before="0" w:after="20"/>
      </w:pPr>
      <w:r>
        <w:t>Interaction sequence: first show the clean image and let participants point to any privacy-sensitive content they noticed; map each click to a researcher-verified detection and proposed category; then reveal all available categories in that scene, highlight linked evidence, and ask awareness status plus preferred reminder trigger for each category-image pair.</w:t>
      </w: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6. Probe-level review</w:t>
      </w: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3360"/>
        <w:gridCol w:w="3360"/>
        <w:gridCol w:w="3360"/>
      </w:tblGrid>
      <w:tr>
        <w:trPr>
          <w:tblHeader w:val="true"/>
          <w:cantSplit/>
          <w:tblHeader w:val="true"/>
        </w:trPr>
        <w:tc>
          <w:tcPr>
            <w:tcW w:type="dxa" w:w="336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336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336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Comment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Can the awareness-status item distinguish already-aware, interpretive-gap, and perceptual/capability-gap responses?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Does the three-option preferred-trigger item map deterministically to the reminder policy?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Is it valid and sufficiently brief to ask the trigger question for every category present?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Could expert-verified evidence still create agreement or demand effects?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Does the point-first, reveal-second sequence preserve an interpretable unprompted awareness signal?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Should any category, detection region, or scene be replaced?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36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7. Held-out evaluation review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1140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rivcal_policy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5040"/>
        <w:gridCol w:w="5040"/>
      </w:tblGrid>
      <w:tr>
        <w:trPr>
          <w:tblHeader w:val="true"/>
          <w:cantSplit/>
          <w:tblHeader w:val="true"/>
        </w:trPr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Metric / design decision</w:t>
            </w:r>
          </w:p>
        </w:tc>
        <w:tc>
          <w:tcPr>
            <w:tcW w:type="dxa" w:w="504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Expert judgment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Primary outcome: immediate reminder-decision acceptance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Privacy-cue awareness under generic versus personalized triggering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Binary alignment, false reminders, and missed reminders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Two-expert verification of detection category and exposure level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t>Use the same standardized reminder presentation in all conditions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shd w:fill="F4F7F9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t>Counterbalanced policy evaluation on locked held-out cues</w:t>
            </w:r>
          </w:p>
        </w:tc>
        <w:tc>
          <w:tcPr>
            <w:tcW w:type="dxa" w:w="5040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2" w:type="dxa"/>
              <w:start w:w="90" w:type="dxa"/>
              <w:bottom w:w="72" w:type="dxa"/>
              <w:end w:w="90" w:type="dxa"/>
              <w:left w:w="72" w:type="dxa"/>
              <w:right w:w="72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t>7.1 Exposure-label codebook review</w:t>
      </w:r>
    </w:p>
    <w:p>
      <w:r>
        <w:t>Experts first confirm category membership. Then ask whether the visible cue identifies or links a person, or exposes a private fact about a person or household. If yes, label SENSITIVE_DETAIL_EXPOSED; otherwise label PRESENCE_ONLY. Disagreements are adjudicated or excluded before the cue JSON is locked.</w:t>
      </w:r>
    </w:p>
    <w:tbl>
      <w:tblPr>
        <w:tblStyle w:val="TableGrid"/>
        <w:tblLook w:firstColumn="1" w:firstRow="1" w:lastColumn="0" w:lastRow="0" w:noHBand="0" w:noVBand="1" w:val="04A0"/>
        <w:tblW w:type="dxa" w:w="10080"/>
        <w:tblInd w:type="dxa" w:w="144"/>
        <w:tblLayout w:type="fixed"/>
        <w:jc w:val="left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PRESENCE_ONLY anchor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SENSITIVE_DETAIL_EXPOSED anchor</w:t>
            </w:r>
          </w:p>
        </w:tc>
      </w:tr>
      <w:tr>
        <w:trPr/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Biometric data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Distant, occluded, or otherwise non-recognizable person/body feature.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clear face or distinctive body feature that supports recognition or re-identification.</w:t>
            </w:r>
          </w:p>
        </w:tc>
      </w:tr>
      <w:tr>
        <w:trPr/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Children images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child is present without a recognizable identity or linkable school/location detail.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recognizable child, readable name, school affiliation, home link, or other identity/location detail.</w:t>
            </w:r>
          </w:p>
        </w:tc>
      </w:tr>
      <w:tr>
        <w:trPr/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PII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document, screen, badge, plate, or device is present but identifying content is unreadable.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readable name, address, account/contact number, email, plate, patient ID, or comparable identifier.</w:t>
            </w:r>
          </w:p>
        </w:tc>
      </w:tr>
      <w:tr>
        <w:trPr/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Legal sensitivity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potentially sensitive object or setting is present without person-specific sensitive content.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Explicit content, a visible unlawful/high-risk act, or person-linked legal/safety information.</w:t>
            </w:r>
          </w:p>
        </w:tc>
      </w:tr>
      <w:tr>
        <w:trPr/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life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generic home, routine, relationship, or personal object is visible without a linkable private fact.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An intimate activity, precise location, relationship/routine, or household detail is exposed and linkable.</w:t>
            </w:r>
          </w:p>
        </w:tc>
      </w:tr>
      <w:tr>
        <w:trPr/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Background individuals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An incidental person is distant or non-recognizable.</w:t>
            </w:r>
          </w:p>
        </w:tc>
        <w:tc>
          <w:tcPr>
            <w:tcW w:type="dxa" w:w="3360"/>
            <w:vAlign w:val="center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spacing w:after="0"/>
            </w:pPr>
            <w:r>
              <w:rPr>
                <w:sz w:val="17"/>
              </w:rPr>
              <w:t>A bystander is recognizable or linked to a readable name, workplace, health context, or other private detail.</w:t>
            </w:r>
          </w:p>
        </w:tc>
      </w:tr>
    </w:tbl>
    <w:p>
      <w:r>
        <w:t>Reviewer judgment: Can two independent experts apply these anchors consistently?  □ Strong  □ Revise  □ Reject    Comment: ____________________________________________</w:t>
      </w: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8. Final decision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VPrivCal-Q10:  □ Proceed  □ Minor revision  □ Major revision  □ Replace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VPrivCal-Probe:  □ Proceed  □ Minor revision  □ Major revision  □ Replace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Workflow and evaluation:  □ Proceed  □ Minor revision  □ Major revision  □ Replace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Overall readiness for cognitive interviews:  □ Yes  □ Yes after revision  □ No</w:t>
      </w:r>
    </w:p>
    <w:p>
      <w:pPr>
        <w:spacing w:before="0" w:after="80"/>
      </w:pPr>
      <w:r>
        <w:rPr>
          <w:rFonts w:ascii="Liberation Sans" w:hAnsi="Liberation Sans"/>
          <w:b/>
          <w:i w:val="0"/>
          <w:sz w:val="18"/>
        </w:rPr>
        <w:t>Three highest-priority changes: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1. __________________________________________________________________________________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2. __________________________________________________________________________________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3. __________________________________________________________________________________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Alternative idea or missing test: 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A6570"/>
        <w:sz w:val="16"/>
      </w:rPr>
      <w:t xml:space="preserve">VPrivCal expert workshop  |  July 2026  |  </w:t>
    </w:r>
    <w:r>
      <w:rPr>
        <w:rFonts w:ascii="Liberation Sans" w:hAnsi="Liberation Sans"/>
        <w:color w:val="5A6570"/>
        <w:sz w:val="16"/>
      </w:rPr>
      <w:t xml:space="preserve">Page </w:t>
    </w:r>
    <w:fldSimple w:instr="PAGE">
      <w:r>
        <w:rPr>
          <w:rFonts w:ascii="Liberation Sans" w:hAnsi="Liberation Sans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A6570"/>
        <w:sz w:val="15"/>
      </w:rPr>
      <w:t>VPRIVCAL EXPERT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53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E6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255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Liberation Sans" w:hAnsi="Liberation Sans"/>
      <w:b/>
      <w:color w:val="153B5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Liberation Sans" w:hAnsi="Liberation Sans"/>
      <w:b w:val="0"/>
      <w:i/>
      <w:iCs/>
      <w:color w:val="1E6F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20"/>
    </w:pPr>
    <w:rPr>
      <w:rFonts w:ascii="Liberation Sans" w:hAnsi="Liberation Sans"/>
      <w:i/>
      <w:color w:val="5A65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VPrivCal Expert Workshop - Three-Option Trigger Edition</dc:title>
  <dc:subject>VPrivCal expert workshop</dc:subject>
  <dc:creator>OpenAI</dc:creator>
  <cp:keywords/>
  <dc:description>Version 7; explicit printable table widths.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