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  <w:jc w:val="center"/>
      </w:pPr>
      <w:r>
        <w:rPr>
          <w:rFonts w:ascii="Liberation Sans" w:hAnsi="Liberation Sans"/>
          <w:b w:val="0"/>
          <w:i w:val="0"/>
        </w:rPr>
        <w:t>VPrivCal Expert Review</w:t>
      </w:r>
    </w:p>
    <w:p>
      <w:pPr>
        <w:pStyle w:val="Subtitle"/>
        <w:spacing w:before="0" w:after="60"/>
        <w:jc w:val="center"/>
      </w:pPr>
      <w:r>
        <w:rPr>
          <w:rFonts w:ascii="Liberation Sans" w:hAnsi="Liberation Sans"/>
          <w:b w:val="0"/>
          <w:i w:val="0"/>
        </w:rPr>
        <w:t>Direct-use screening workbook for VPrivCal-Q10 and VPrivCal-Probe</w:t>
      </w:r>
    </w:p>
    <w:p>
      <w:pPr>
        <w:spacing w:before="0" w:after="240"/>
        <w:jc w:val="center"/>
      </w:pPr>
      <w:r>
        <w:rPr>
          <w:rFonts w:ascii="Liberation Sans" w:hAnsi="Liberation Sans"/>
          <w:b w:val="0"/>
          <w:i/>
          <w:color w:val="5A6570"/>
          <w:sz w:val="22"/>
        </w:rPr>
        <w:t>Short workshop version for professional researchers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  <w:tblHeader/>
        </w:trPr>
        <w:tc>
          <w:tcPr>
            <w:tcW w:type="dxa" w:w="10368"/>
            <w:shd w:fill="E8F4F2"/>
            <w:tcBorders>
              <w:top w:val="single" w:sz="8" w:color="1E6F78"/>
              <w:left w:val="single" w:sz="8" w:color="1E6F78"/>
              <w:bottom w:val="single" w:sz="8" w:color="1E6F78"/>
              <w:right w:val="single" w:sz="8" w:color="1E6F78"/>
              <w:insideH w:val="single" w:sz="8" w:color="1E6F78"/>
              <w:insideV w:val="single" w:sz="8" w:color="1E6F7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Decision / research question</w:t>
              <w:br/>
              <w:t>Are the revised questions, category-complete three-scene Probe, point-to-select interaction, workflow, and held-out evaluation sufficiently clear, actionable, low-burden, and safe to proceed to user cognitive interviews?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Method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232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92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Current design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VPrivCal-Q10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Ten direct policy questions; Q1-Q6 share one response scale.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VPrivCal-Probe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t>Three egocentric scenes spanning private, public, and semi-public contexts. Participants point first, then review every predefined category present in each scene.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Calibration target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t>Pilot target: approximately 5-7 minutes total for Q10 plus the revised category-complete Probe; timing must be confirmed empirically.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Effectiveness test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Generic versus Q10-only versus full VPrivCal on held-out videos.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Expert output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Keep/revise/remove decisions, stimulus issue log, and pilot-readiness vote.</w:t>
            </w:r>
          </w:p>
        </w:tc>
      </w:tr>
    </w:tbl>
    <w:p>
      <w:pPr>
        <w:spacing w:before="0" w:after="20"/>
      </w:pPr>
    </w:p>
    <w:p>
      <w:pPr>
        <w:spacing w:before="0" w:after="0"/>
      </w:pPr>
      <w:r>
        <w:t>Version 6.0 | July 2026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1. Reviewer instructions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</w:rPr>
        <w:t>Complete ratings independently before discussion. Judge the current design as written. Proposed fixes belong in the comment fields and should not inflate the current rating.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1584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8568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1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Major problem / not ready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2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Substantial revision needed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3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Acceptable with minor revision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7"/>
              </w:rPr>
              <w:t>4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7"/>
              </w:rPr>
              <w:t>Strong / ready for cognitive testing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2. Method workflow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204139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rivcal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0413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6336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3816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Rating / comment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Does the workflow make clear that Q10 and Probe are two components of one method?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 2  3  4   Comment: ______________________________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t>Is the revised 5-7 minute pilot target credible without forcing rushed responses?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 2  3  4   Comment: ______________________________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Is it clear that effectiveness is measured on held-out video cases, not during the probe?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 2  3  4   Comment: ______________________________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3. VPrivCal-Q10 candidate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  <w:tblHeader/>
        </w:trPr>
        <w:tc>
          <w:tcPr>
            <w:tcW w:type="dxa" w:w="10368"/>
            <w:shd w:fill="EAF3F8"/>
            <w:tcBorders>
              <w:top w:val="single" w:sz="8" w:color="153B5B"/>
              <w:left w:val="single" w:sz="8" w:color="153B5B"/>
              <w:bottom w:val="single" w:sz="8" w:color="153B5B"/>
              <w:right w:val="single" w:sz="8" w:color="153B5B"/>
              <w:insideH w:val="single" w:sz="8" w:color="153B5B"/>
              <w:insideV w:val="single" w:sz="8" w:color="153B5B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53B5B"/>
                <w:sz w:val="19"/>
              </w:rPr>
              <w:t>Shared scale for Q1-Q6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D2833"/>
                <w:sz w:val="18"/>
              </w:rPr>
              <w:t>1 Use for the current task without interruption | 2 Handle silently and avoid unnecessary detail | 3 Give a brief reminder | 4 Ask before using it | 5 Do not use it unless explicitly requested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605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3096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Category / policy dimension</w:t>
            </w:r>
          </w:p>
        </w:tc>
        <w:tc>
          <w:tcPr>
            <w:tcW w:type="dxa" w:w="1037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Relevance</w:t>
            </w:r>
          </w:p>
        </w:tc>
        <w:tc>
          <w:tcPr>
            <w:tcW w:type="dxa" w:w="893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Clarity</w:t>
            </w:r>
          </w:p>
        </w:tc>
        <w:tc>
          <w:tcPr>
            <w:tcW w:type="dxa" w:w="1181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Actionability</w:t>
            </w:r>
          </w:p>
        </w:tc>
        <w:tc>
          <w:tcPr>
            <w:tcW w:type="dxa" w:w="1325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Predictive value</w:t>
            </w:r>
          </w:p>
        </w:tc>
        <w:tc>
          <w:tcPr>
            <w:tcW w:type="dxa" w:w="1944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Q1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Biometric data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Q2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Children images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Q3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Personally identifiable information (PII)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Legal sensitivity information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Q5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Personal life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Q6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Background individuals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Q7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Inferred privacy risks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Q8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Reminder sensitivity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Q9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Uncertain detections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4"/>
              </w:rPr>
              <w:t>Q10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Task-irrelevant sensitive information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1 2 3 4</w:t>
            </w:r>
          </w:p>
        </w:tc>
        <w:tc>
          <w:tcPr>
            <w:tcW w:type="dxa" w:w="1481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4"/>
              </w:rPr>
              <w:t>Keep / Revise / Remove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4. Item-specific prompts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Q1. Biometric data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Faces, fingerprints, and other distinctive body features that may identify a person.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Q2. Children images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Children, school events, playgrounds, and child-related activities.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Q3. Personally identifiable information (PII)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Financial or medical data; names, passports, email addresses, phone numbers, GPS, license plates, and other identifiers.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Q4. Legal sensitivity information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Nudity or explicit imagery; violent or unlawful acts; criminal acts; weapons or other high-risk items.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Q5. Personal life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Home interiors, personal items, location context, landmarks, routines, relationships, and activities.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1E6F78"/>
          <w:sz w:val="19"/>
        </w:rPr>
        <w:t>Q6. Background individuals</w:t>
      </w:r>
    </w:p>
    <w:p>
      <w:pPr>
        <w:spacing w:before="0" w:after="20"/>
      </w:pPr>
      <w:r>
        <w:t>Passersby, bystanders, coworkers, patients, patrons, and other people incidentally captured.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7255A6"/>
          <w:sz w:val="19"/>
        </w:rPr>
        <w:t>Q7. Inferred privacy risks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How should reminders work when the VLM can infer sensitive information that is not directly visible?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7255A6"/>
          <w:sz w:val="19"/>
        </w:rPr>
        <w:t>Q8. Reminder sensitivity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What balance should the system use between missed risks and unnecessary reminders?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7255A6"/>
          <w:sz w:val="19"/>
        </w:rPr>
        <w:t>Q9. Uncertain detections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What should happen when the VLM is unsure whether a cue is sensitive?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spacing w:before="0" w:after="20"/>
      </w:pPr>
      <w:r>
        <w:rPr>
          <w:rFonts w:ascii="Liberation Sans" w:hAnsi="Liberation Sans"/>
          <w:b/>
          <w:i w:val="0"/>
          <w:color w:val="7255A6"/>
          <w:sz w:val="19"/>
        </w:rPr>
        <w:t>Q10. Task-irrelevant sensitive information</w:t>
      </w:r>
    </w:p>
    <w:p>
      <w:pPr>
        <w:spacing w:before="0" w:after="20"/>
      </w:pPr>
      <w:r>
        <w:rPr>
          <w:rFonts w:ascii="Liberation Sans" w:hAnsi="Liberation Sans"/>
          <w:b w:val="0"/>
          <w:i w:val="0"/>
          <w:sz w:val="17"/>
        </w:rPr>
        <w:t>What should happen when sensitive information is visible but unnecessary for the current task?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6"/>
        </w:rPr>
        <w:t>Main concern / suggested wording: ______________________________________________________________</w:t>
      </w: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5. VPrivCal-Probe stimuli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384423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rivcal_probe_compo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844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  <w:tblHeader/>
        </w:trPr>
        <w:tc>
          <w:tcPr>
            <w:tcW w:type="dxa" w:w="10368"/>
            <w:shd w:fill="F1ECFA"/>
            <w:tcBorders>
              <w:top w:val="single" w:sz="8" w:color="7255A6"/>
              <w:left w:val="single" w:sz="8" w:color="7255A6"/>
              <w:bottom w:val="single" w:sz="8" w:color="7255A6"/>
              <w:right w:val="single" w:sz="8" w:color="7255A6"/>
              <w:insideH w:val="single" w:sz="8" w:color="7255A6"/>
              <w:insideV w:val="single" w:sz="8" w:color="7255A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Two participant questions per category-image pair</w:t>
              <w:br/>
              <w:t>A. Before this category evidence was highlighted: already aware / noticed but did not consider privacy / did not notice or realize VLM capability / not a concern.</w:t>
              <w:br/>
              <w:t>B. Preferred future action: no intervention / silent handling / brief reminder / ask before use / avoid unless explicitly requested.</w:t>
            </w:r>
          </w:p>
        </w:tc>
      </w:tr>
    </w:tbl>
    <w:p>
      <w:pPr>
        <w:spacing w:before="0" w:after="20"/>
      </w:pPr>
      <w:r>
        <w:t>The revised stimuli span three contexts: a private indoor family party, a public cafe, and a semi-public hospital waiting area. The coverage criterion is scene-level rather than two categories per image: the interface asks about every category present in each scene, and the full set covers all six high-level categories.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3384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Criterion</w:t>
            </w:r>
          </w:p>
        </w:tc>
        <w:tc>
          <w:tcPr>
            <w:tcW w:type="dxa" w:w="10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Scene 1</w:t>
            </w:r>
          </w:p>
        </w:tc>
        <w:tc>
          <w:tcPr>
            <w:tcW w:type="dxa" w:w="10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Scene 2</w:t>
            </w:r>
          </w:p>
        </w:tc>
        <w:tc>
          <w:tcPr>
            <w:tcW w:type="dxa" w:w="10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Scene 3</w:t>
            </w:r>
          </w:p>
        </w:tc>
        <w:tc>
          <w:tcPr>
            <w:tcW w:type="dxa" w:w="3528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Comment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t>Context is realistic and distinct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t>The available category list is complete for the scene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t>Linked evidence is visible and correctly localized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t>The scene includes both obvious and subtle privacy content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t>Point-to-select mapping is usable without revealing categories too early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t>Cultural and ethical risk is acceptable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1 2 3 4</w:t>
            </w:r>
          </w:p>
        </w:tc>
        <w:tc>
          <w:tcPr>
            <w:tcW w:type="dxa" w:w="207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5"/>
              </w:rPr>
              <w:t>________________</w:t>
            </w:r>
          </w:p>
        </w:tc>
      </w:tr>
    </w:tbl>
    <w:p>
      <w:pPr>
        <w:spacing w:before="0" w:after="20"/>
      </w:pPr>
      <w:r>
        <w:t>Interaction sequence: first show the clean image and let participants point to any privacy-sensitive content they noticed; map each click to a researcher-verified detection and proposed category; then reveal all available categories in that scene, highlight linked evidence, and ask awareness status plus preferred future action for each category-image pair.</w:t>
      </w: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6. Probe-level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612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1152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2880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Comment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t>Can the awareness-status item distinguish already-aware, interpretive-gap, and perceptual/capability-gap responses?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t>Does the preferred-action item map directly to the reminder policy?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t>Is it valid and sufficiently brief to ask about every category present in each scene?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t>Could revealing category-linked evidence create agreement or demand effects?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t>Does the point-first, reveal-second sequence preserve an interpretable unprompted awareness signal?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t>Should any category, detection region, or scene be replaced?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1 2 3 4</w:t>
            </w:r>
          </w:p>
        </w:tc>
        <w:tc>
          <w:tcPr>
            <w:tcW w:type="dxa" w:w="3456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________________________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7. Held-out evaluation review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1140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rivcal_policy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1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6624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Metric / design decision</w:t>
            </w:r>
          </w:p>
        </w:tc>
        <w:tc>
          <w:tcPr>
            <w:tcW w:type="dxa" w:w="3528"/>
            <w:shd w:fill="153B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Expert judgment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Primary outcome: exact preferred-action alignment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Ordinal action error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Over-reminder and under-protection rates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Separate detection validity from privacy relevance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Use held-out egocentric videos with temporally emerging cues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  <w:tr>
        <w:trPr>
          <w:cantSplit/>
        </w:trPr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D2833"/>
                <w:sz w:val="16"/>
              </w:rPr>
              <w:t>Counterbalanced within-subject policy evaluation</w:t>
            </w:r>
          </w:p>
        </w:tc>
        <w:tc>
          <w:tcPr>
            <w:tcW w:type="dxa" w:w="5184"/>
            <w:tcBorders>
              <w:top w:val="single" w:sz="4" w:color="C3CDD3"/>
              <w:left w:val="single" w:sz="4" w:color="C3CDD3"/>
              <w:bottom w:val="single" w:sz="4" w:color="C3CDD3"/>
              <w:right w:val="single" w:sz="4" w:color="C3CDD3"/>
              <w:insideH w:val="single" w:sz="4" w:color="C3CDD3"/>
              <w:insideV w:val="single" w:sz="4" w:color="C3CDD3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1D2833"/>
                <w:sz w:val="16"/>
              </w:rPr>
              <w:t>Strong / Revise / Reject</w:t>
            </w:r>
          </w:p>
        </w:tc>
      </w:tr>
    </w:tbl>
    <w:p>
      <w:pPr>
        <w:spacing w:before="0" w:after="20"/>
      </w:pPr>
    </w:p>
    <w:p>
      <w:pPr>
        <w:pStyle w:val="Heading1"/>
        <w:spacing w:before="0" w:after="80"/>
      </w:pPr>
      <w:r>
        <w:rPr>
          <w:rFonts w:ascii="Liberation Sans" w:hAnsi="Liberation Sans"/>
          <w:b w:val="0"/>
          <w:i w:val="0"/>
        </w:rPr>
        <w:t>8. Final decision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8"/>
        </w:rPr>
        <w:t>VPrivCal-Q10:  □ Proceed  □ Minor revision  □ Major revision  □ Replace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8"/>
        </w:rPr>
        <w:t>VPrivCal-Probe:  □ Proceed  □ Minor revision  □ Major revision  □ Replace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8"/>
        </w:rPr>
        <w:t>Workflow and evaluation:  □ Proceed  □ Minor revision  □ Major revision  □ Replace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8"/>
        </w:rPr>
        <w:t>Overall readiness for cognitive interviews:  □ Yes  □ Yes after revision  □ No</w:t>
      </w:r>
    </w:p>
    <w:p>
      <w:pPr>
        <w:spacing w:before="0" w:after="80"/>
      </w:pPr>
      <w:r>
        <w:rPr>
          <w:rFonts w:ascii="Liberation Sans" w:hAnsi="Liberation Sans"/>
          <w:b/>
          <w:i w:val="0"/>
          <w:sz w:val="18"/>
        </w:rPr>
        <w:t>Three highest-priority changes: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7"/>
        </w:rPr>
        <w:t>1. __________________________________________________________________________________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7"/>
        </w:rPr>
        <w:t>2. __________________________________________________________________________________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7"/>
        </w:rPr>
        <w:t>3. __________________________________________________________________________________</w:t>
      </w:r>
    </w:p>
    <w:p>
      <w:pPr>
        <w:spacing w:before="0" w:after="80"/>
      </w:pPr>
      <w:r>
        <w:rPr>
          <w:rFonts w:ascii="Liberation Sans" w:hAnsi="Liberation Sans"/>
          <w:b w:val="0"/>
          <w:i w:val="0"/>
          <w:sz w:val="17"/>
        </w:rPr>
        <w:t>Alternative idea or missing test: 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A6570"/>
        <w:sz w:val="16"/>
      </w:rPr>
      <w:t xml:space="preserve">VPrivCal expert workshop  |  July 2026  |  </w:t>
    </w:r>
    <w:r>
      <w:rPr>
        <w:rFonts w:ascii="Liberation Sans" w:hAnsi="Liberation Sans"/>
        <w:color w:val="5A6570"/>
        <w:sz w:val="16"/>
      </w:rPr>
      <w:t xml:space="preserve">Page </w:t>
    </w:r>
    <w:fldSimple w:instr="PAGE">
      <w:r>
        <w:rPr>
          <w:rFonts w:ascii="Liberation Sans" w:hAnsi="Liberation Sans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A6570"/>
        <w:sz w:val="15"/>
      </w:rPr>
      <w:t>VPRIVCAL EXPERT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53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E6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7255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Liberation Sans" w:hAnsi="Liberation Sans"/>
      <w:b/>
      <w:color w:val="153B5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Liberation Sans" w:hAnsi="Liberation Sans"/>
      <w:b w:val="0"/>
      <w:i/>
      <w:iCs/>
      <w:color w:val="1E6F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120"/>
    </w:pPr>
    <w:rPr>
      <w:rFonts w:ascii="Liberation Sans" w:hAnsi="Liberation Sans"/>
      <w:i/>
      <w:color w:val="5A65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VPrivCal expert workshop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