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0" w:after="80"/>
        <w:jc w:val="center"/>
      </w:pPr>
      <w:r>
        <w:rPr>
          <w:rFonts w:ascii="Liberation Sans" w:hAnsi="Liberation Sans"/>
          <w:b w:val="0"/>
          <w:i w:val="0"/>
        </w:rPr>
        <w:t>VPrivCal</w:t>
      </w:r>
    </w:p>
    <w:p>
      <w:pPr>
        <w:pStyle w:val="Subtitle"/>
        <w:spacing w:before="0" w:after="60"/>
        <w:jc w:val="center"/>
      </w:pPr>
      <w:r>
        <w:rPr>
          <w:rFonts w:ascii="Liberation Sans" w:hAnsi="Liberation Sans"/>
          <w:b w:val="0"/>
          <w:i w:val="0"/>
        </w:rPr>
        <w:t>A Brief Preference-Elicitation and Awareness-Confirmation Method for User-Aligned Privacy Reminders in Vision-Language Assistants</w:t>
      </w:r>
    </w:p>
    <w:p>
      <w:pPr>
        <w:spacing w:before="0" w:after="240"/>
        <w:jc w:val="center"/>
      </w:pPr>
      <w:r>
        <w:rPr>
          <w:rFonts w:ascii="Liberation Sans" w:hAnsi="Liberation Sans"/>
          <w:b w:val="0"/>
          <w:i/>
          <w:color w:val="5A6570"/>
          <w:sz w:val="22"/>
        </w:rPr>
        <w:t>Updated full research plan for egocentric VLM scenarios</w:t>
      </w:r>
    </w:p>
    <w:tbl>
      <w:tblPr>
        <w:tblW w:type="auto" w:w="0"/>
        <w:jc w:val="center"/>
        <w:tblLayout w:type="fixed"/>
        <w:tblLook w:firstColumn="1" w:firstRow="1" w:lastColumn="0" w:lastRow="0" w:noHBand="0" w:noVBand="1" w:val="04A0"/>
      </w:tblPr>
      <w:tblGrid>
        <w:gridCol w:w="10152"/>
      </w:tblGrid>
      <w:tr>
        <w:trPr>
          <w:cantSplit/>
          <w:tblHeader/>
        </w:trPr>
        <w:tc>
          <w:tcPr>
            <w:tcW w:type="dxa" w:w="10368"/>
            <w:shd w:fill="E8F4F2"/>
            <w:tcBorders>
              <w:top w:val="single" w:sz="8" w:color="1E6F78"/>
              <w:left w:val="single" w:sz="8" w:color="1E6F78"/>
              <w:bottom w:val="single" w:sz="8" w:color="1E6F78"/>
              <w:right w:val="single" w:sz="8" w:color="1E6F78"/>
              <w:insideH w:val="single" w:sz="8" w:color="1E6F78"/>
              <w:insideV w:val="single" w:sz="8" w:color="1E6F78"/>
            </w:tcBorders>
            <w:tcMar>
              <w:top w:w="90" w:type="dxa"/>
              <w:start w:w="110" w:type="dxa"/>
              <w:bottom w:w="90" w:type="dxa"/>
              <w:end w:w="110" w:type="dxa"/>
            </w:tcMar>
          </w:tcPr>
          <w:p>
            <w:pPr>
              <w:spacing w:after="0"/>
            </w:pPr>
            <w:r>
              <w:t>Decision / research question</w:t>
              <w:br/>
              <w:t>Can a brief calibration produce a personalized privacy-reminder policy that better matches an individual user’s preferences in unseen egocentric video interactions than a generic policy?</w:t>
            </w:r>
          </w:p>
        </w:tc>
      </w:tr>
    </w:tbl>
    <w:p>
      <w:pPr>
        <w:spacing w:before="0" w:after="20"/>
      </w:pPr>
    </w:p>
    <w:p>
      <w:pPr>
        <w:pStyle w:val="Heading1"/>
        <w:spacing w:before="0" w:after="80"/>
      </w:pPr>
      <w:r>
        <w:rPr>
          <w:rFonts w:ascii="Liberation Sans" w:hAnsi="Liberation Sans"/>
          <w:b w:val="0"/>
          <w:i w:val="0"/>
        </w:rPr>
        <w:t>Method at a glance</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2232"/>
            <w:shd w:fill="153B5B"/>
            <w:tcBorders>
              <w:top w:val="single" w:sz="4" w:color="FFFFFF"/>
              <w:left w:val="single" w:sz="4" w:color="FFFFFF"/>
              <w:bottom w:val="single" w:sz="4" w:color="FFFFFF"/>
              <w:right w:val="single" w:sz="4" w:color="FFFFFF"/>
              <w:insideH w:val="single" w:sz="4" w:color="FFFFFF"/>
              <w:insideV w:val="single" w:sz="4" w:color="FFFFFF"/>
            </w:tcBorders>
            <w:tcMar>
              <w:top w:w="70" w:type="dxa"/>
              <w:start w:w="90" w:type="dxa"/>
              <w:bottom w:w="70" w:type="dxa"/>
              <w:end w:w="90" w:type="dxa"/>
            </w:tcMar>
            <w:vAlign w:val="center"/>
          </w:tcPr>
          <w:p>
            <w:pPr>
              <w:jc w:val="left"/>
            </w:pPr>
            <w:r>
              <w:rPr>
                <w:rFonts w:ascii="Liberation Sans" w:hAnsi="Liberation Sans"/>
                <w:b/>
                <w:color w:val="FFFFFF"/>
                <w:sz w:val="17"/>
              </w:rPr>
              <w:t>Element</w:t>
            </w:r>
          </w:p>
        </w:tc>
        <w:tc>
          <w:tcPr>
            <w:tcW w:type="dxa" w:w="7920"/>
            <w:shd w:fill="153B5B"/>
            <w:tcBorders>
              <w:top w:val="single" w:sz="4" w:color="FFFFFF"/>
              <w:left w:val="single" w:sz="4" w:color="FFFFFF"/>
              <w:bottom w:val="single" w:sz="4" w:color="FFFFFF"/>
              <w:right w:val="single" w:sz="4" w:color="FFFFFF"/>
              <w:insideH w:val="single" w:sz="4" w:color="FFFFFF"/>
              <w:insideV w:val="single" w:sz="4" w:color="FFFFFF"/>
            </w:tcBorders>
            <w:tcMar>
              <w:top w:w="70" w:type="dxa"/>
              <w:start w:w="90" w:type="dxa"/>
              <w:bottom w:w="70" w:type="dxa"/>
              <w:end w:w="90" w:type="dxa"/>
            </w:tcMar>
            <w:vAlign w:val="center"/>
          </w:tcPr>
          <w:p>
            <w:pPr>
              <w:jc w:val="left"/>
            </w:pPr>
            <w:r>
              <w:rPr>
                <w:rFonts w:ascii="Liberation Sans" w:hAnsi="Liberation Sans"/>
                <w:b/>
                <w:color w:val="FFFFFF"/>
                <w:sz w:val="17"/>
              </w:rPr>
              <w:t>Current design</w:t>
            </w:r>
          </w:p>
        </w:tc>
      </w:tr>
      <w:tr>
        <w:trPr>
          <w:cantSplit/>
        </w:trPr>
        <w:tc>
          <w:tcPr>
            <w:tcW w:type="dxa" w:w="5184"/>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rPr>
                <w:rFonts w:ascii="Liberation Sans" w:hAnsi="Liberation Sans"/>
                <w:b/>
                <w:color w:val="1D2833"/>
                <w:sz w:val="17"/>
              </w:rPr>
              <w:t>Overall method</w:t>
            </w:r>
          </w:p>
        </w:tc>
        <w:tc>
          <w:tcPr>
            <w:tcW w:type="dxa" w:w="5184"/>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rPr>
                <w:rFonts w:ascii="Liberation Sans" w:hAnsi="Liberation Sans"/>
                <w:b w:val="0"/>
                <w:color w:val="1D2833"/>
                <w:sz w:val="17"/>
              </w:rPr>
              <w:t>One rapid calibration method with two components: VPrivCal-Q10 and VPrivCal-Probe.</w:t>
            </w:r>
          </w:p>
        </w:tc>
      </w:tr>
      <w:tr>
        <w:trPr>
          <w:cantSplit/>
        </w:trPr>
        <w:tc>
          <w:tcPr>
            <w:tcW w:type="dxa" w:w="5184"/>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tcPr>
          <w:p>
            <w:pPr>
              <w:spacing w:after="0"/>
            </w:pPr>
            <w:r>
              <w:rPr>
                <w:rFonts w:ascii="Liberation Sans" w:hAnsi="Liberation Sans"/>
                <w:b/>
                <w:color w:val="1D2833"/>
                <w:sz w:val="17"/>
              </w:rPr>
              <w:t>Component 1</w:t>
            </w:r>
          </w:p>
        </w:tc>
        <w:tc>
          <w:tcPr>
            <w:tcW w:type="dxa" w:w="5184"/>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tcPr>
          <w:p>
            <w:pPr>
              <w:spacing w:after="0"/>
            </w:pPr>
            <w:r>
              <w:rPr>
                <w:rFonts w:ascii="Liberation Sans" w:hAnsi="Liberation Sans"/>
                <w:b w:val="0"/>
                <w:color w:val="1D2833"/>
                <w:sz w:val="17"/>
              </w:rPr>
              <w:t>VPrivCal-Q10 initializes category and reminder-policy defaults.</w:t>
            </w:r>
          </w:p>
        </w:tc>
      </w:tr>
      <w:tr>
        <w:trPr>
          <w:cantSplit/>
        </w:trPr>
        <w:tc>
          <w:tcPr>
            <w:tcW w:type="dxa" w:w="5184"/>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rPr>
                <w:rFonts w:ascii="Liberation Sans" w:hAnsi="Liberation Sans"/>
                <w:b/>
                <w:color w:val="1D2833"/>
                <w:sz w:val="17"/>
              </w:rPr>
              <w:t>Component 2</w:t>
            </w:r>
          </w:p>
        </w:tc>
        <w:tc>
          <w:tcPr>
            <w:tcW w:type="dxa" w:w="5184"/>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t>VPrivCal-Probe uses three egocentric scenes spanning private, public, and semi-public settings. Participants point to noticed content, then review every predefined category present in each scene.</w:t>
            </w:r>
          </w:p>
        </w:tc>
      </w:tr>
      <w:tr>
        <w:trPr>
          <w:cantSplit/>
        </w:trPr>
        <w:tc>
          <w:tcPr>
            <w:tcW w:type="dxa" w:w="5184"/>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tcPr>
          <w:p>
            <w:pPr>
              <w:spacing w:after="0"/>
            </w:pPr>
            <w:r>
              <w:rPr>
                <w:rFonts w:ascii="Liberation Sans" w:hAnsi="Liberation Sans"/>
                <w:b/>
                <w:color w:val="1D2833"/>
                <w:sz w:val="17"/>
              </w:rPr>
              <w:t>Output</w:t>
            </w:r>
          </w:p>
        </w:tc>
        <w:tc>
          <w:tcPr>
            <w:tcW w:type="dxa" w:w="5184"/>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tcPr>
          <w:p>
            <w:pPr>
              <w:spacing w:after="0"/>
            </w:pPr>
            <w:r>
              <w:rPr>
                <w:rFonts w:ascii="Liberation Sans" w:hAnsi="Liberation Sans"/>
                <w:b w:val="0"/>
                <w:color w:val="1D2833"/>
                <w:sz w:val="17"/>
              </w:rPr>
              <w:t>A transparent, user-specific privacy-reminder policy.</w:t>
            </w:r>
          </w:p>
        </w:tc>
      </w:tr>
      <w:tr>
        <w:trPr>
          <w:cantSplit/>
        </w:trPr>
        <w:tc>
          <w:tcPr>
            <w:tcW w:type="dxa" w:w="5184"/>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rPr>
                <w:rFonts w:ascii="Liberation Sans" w:hAnsi="Liberation Sans"/>
                <w:b/>
                <w:color w:val="1D2833"/>
                <w:sz w:val="17"/>
              </w:rPr>
              <w:t>Primary evaluation</w:t>
            </w:r>
          </w:p>
        </w:tc>
        <w:tc>
          <w:tcPr>
            <w:tcW w:type="dxa" w:w="5184"/>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rPr>
                <w:rFonts w:ascii="Liberation Sans" w:hAnsi="Liberation Sans"/>
                <w:b w:val="0"/>
                <w:color w:val="1D2833"/>
                <w:sz w:val="17"/>
              </w:rPr>
              <w:t>Generic policy versus Q10-only policy versus full VPrivCal on held-out egocentric videos.</w:t>
            </w:r>
          </w:p>
        </w:tc>
      </w:tr>
      <w:tr>
        <w:trPr>
          <w:cantSplit/>
        </w:trPr>
        <w:tc>
          <w:tcPr>
            <w:tcW w:type="dxa" w:w="5184"/>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tcPr>
          <w:p>
            <w:pPr>
              <w:spacing w:after="0"/>
            </w:pPr>
            <w:r>
              <w:rPr>
                <w:rFonts w:ascii="Liberation Sans" w:hAnsi="Liberation Sans"/>
                <w:b/>
                <w:color w:val="1D2833"/>
                <w:sz w:val="17"/>
              </w:rPr>
              <w:t>Primary outcomes</w:t>
            </w:r>
          </w:p>
        </w:tc>
        <w:tc>
          <w:tcPr>
            <w:tcW w:type="dxa" w:w="5184"/>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tcPr>
          <w:p>
            <w:pPr>
              <w:spacing w:after="0"/>
            </w:pPr>
            <w:r>
              <w:rPr>
                <w:rFonts w:ascii="Liberation Sans" w:hAnsi="Liberation Sans"/>
                <w:b w:val="0"/>
                <w:color w:val="1D2833"/>
                <w:sz w:val="17"/>
              </w:rPr>
              <w:t>Preference alignment, over-reminding, under-protection, severe under-protection, burden, and user-friendliness.</w:t>
            </w:r>
          </w:p>
        </w:tc>
      </w:tr>
    </w:tbl>
    <w:p>
      <w:pPr>
        <w:spacing w:before="0" w:after="20"/>
      </w:pPr>
    </w:p>
    <w:p>
      <w:pPr>
        <w:spacing w:before="0" w:after="0"/>
      </w:pPr>
      <w:r>
        <w:t>Version 6.0 | July 2026 | Unified naming: VPrivCal-Q10 + VPrivCal-Probe</w:t>
      </w:r>
    </w:p>
    <w:p>
      <w:r>
        <w:br w:type="page"/>
      </w:r>
    </w:p>
    <w:p>
      <w:pPr>
        <w:pStyle w:val="Heading1"/>
        <w:spacing w:before="0" w:after="80"/>
      </w:pPr>
      <w:r>
        <w:rPr>
          <w:rFonts w:ascii="Liberation Sans" w:hAnsi="Liberation Sans"/>
          <w:b w:val="0"/>
          <w:i w:val="0"/>
        </w:rPr>
        <w:t>1. Executive summary</w:t>
      </w:r>
    </w:p>
    <w:p>
      <w:pPr>
        <w:spacing w:before="0" w:after="80"/>
      </w:pPr>
      <w:r>
        <w:t>VPrivCal is a brief cold-start calibration method for egocentric VLM assistants, including wearable-camera and AI-glasses scenarios. It is intentionally narrower than a general visual-privacy taxonomy or a full consent-management system. The method first asks ten direct policy questions, then uses three egocentric scenes spanning private, public, and semi-public settings. Participants point to privacy-sensitive content they noticed before the system reveals detections, and then answer awareness and preferred-action questions for every predefined privacy category present in each scene.</w:t>
      </w:r>
    </w:p>
    <w:p>
      <w:pPr>
        <w:spacing w:before="0" w:after="80"/>
      </w:pPr>
      <w:r>
        <w:rPr>
          <w:rFonts w:ascii="Liberation Sans" w:hAnsi="Liberation Sans"/>
          <w:b w:val="0"/>
          <w:i w:val="0"/>
        </w:rPr>
        <w:t>The calibration itself is not the effectiveness outcome. Its value is tested on held-out egocentric video cues. The principal claim is therefore conditional: VPrivCal is effective only if the resulting policy better predicts the same participant’s later desired actions, reduces unnecessary reminders, and does not increase under-protection.</w:t>
      </w:r>
    </w:p>
    <w:tbl>
      <w:tblPr>
        <w:tblW w:type="auto" w:w="0"/>
        <w:jc w:val="center"/>
        <w:tblLayout w:type="fixed"/>
        <w:tblLook w:firstColumn="1" w:firstRow="1" w:lastColumn="0" w:lastRow="0" w:noHBand="0" w:noVBand="1" w:val="04A0"/>
      </w:tblPr>
      <w:tblGrid>
        <w:gridCol w:w="10152"/>
      </w:tblGrid>
      <w:tr>
        <w:trPr>
          <w:cantSplit/>
          <w:tblHeader/>
        </w:trPr>
        <w:tc>
          <w:tcPr>
            <w:tcW w:type="dxa" w:w="10368"/>
            <w:shd w:fill="FFF0E6"/>
            <w:tcBorders>
              <w:top w:val="single" w:sz="8" w:color="C85F1A"/>
              <w:left w:val="single" w:sz="8" w:color="C85F1A"/>
              <w:bottom w:val="single" w:sz="8" w:color="C85F1A"/>
              <w:right w:val="single" w:sz="8" w:color="C85F1A"/>
              <w:insideH w:val="single" w:sz="8" w:color="C85F1A"/>
              <w:insideV w:val="single" w:sz="8" w:color="C85F1A"/>
            </w:tcBorders>
            <w:tcMar>
              <w:top w:w="90" w:type="dxa"/>
              <w:start w:w="110" w:type="dxa"/>
              <w:bottom w:w="90" w:type="dxa"/>
              <w:end w:w="110" w:type="dxa"/>
            </w:tcMar>
          </w:tcPr>
          <w:p>
            <w:pPr>
              <w:spacing w:after="40"/>
            </w:pPr>
            <w:r>
              <w:rPr>
                <w:rFonts w:ascii="Liberation Sans" w:hAnsi="Liberation Sans"/>
                <w:b/>
                <w:color w:val="C85F1A"/>
                <w:sz w:val="19"/>
              </w:rPr>
              <w:t>Scope boundary</w:t>
            </w:r>
          </w:p>
          <w:p>
            <w:pPr>
              <w:spacing w:after="0"/>
            </w:pPr>
            <w:r>
              <w:rPr>
                <w:rFonts w:ascii="Liberation Sans" w:hAnsi="Liberation Sans"/>
                <w:color w:val="1D2833"/>
                <w:sz w:val="18"/>
              </w:rPr>
              <w:t>The first study concerns user-facing privacy reminders and pre-use intervention decisions in egocentric visual assistance. Long-term memory, external sharing, and delegated actions are excluded unless a later system version implements those behaviors.</w:t>
            </w:r>
          </w:p>
        </w:tc>
      </w:tr>
    </w:tbl>
    <w:p>
      <w:pPr>
        <w:spacing w:before="0" w:after="20"/>
      </w:pPr>
    </w:p>
    <w:p>
      <w:pPr>
        <w:pStyle w:val="Heading1"/>
        <w:spacing w:before="0" w:after="80"/>
      </w:pPr>
      <w:r>
        <w:rPr>
          <w:rFonts w:ascii="Liberation Sans" w:hAnsi="Liberation Sans"/>
          <w:b w:val="0"/>
          <w:i w:val="0"/>
        </w:rPr>
        <w:t>2. Unified method architecture</w:t>
      </w:r>
    </w:p>
    <w:p>
      <w:pPr>
        <w:spacing w:after="40"/>
        <w:jc w:val="center"/>
      </w:pPr>
      <w:r>
        <w:drawing>
          <wp:inline xmlns:a="http://schemas.openxmlformats.org/drawingml/2006/main" xmlns:pic="http://schemas.openxmlformats.org/drawingml/2006/picture">
            <wp:extent cx="6446520" cy="2041398"/>
            <wp:docPr id="1" name="Picture 1" descr="Image: image1.png"/>
            <wp:cNvGraphicFramePr>
              <a:graphicFrameLocks noChangeAspect="1"/>
            </wp:cNvGraphicFramePr>
            <a:graphic>
              <a:graphicData uri="http://schemas.openxmlformats.org/drawingml/2006/picture">
                <pic:pic>
                  <pic:nvPicPr>
                    <pic:cNvPr id="0" name="vprivcal_workflow.png"/>
                    <pic:cNvPicPr/>
                  </pic:nvPicPr>
                  <pic:blipFill>
                    <a:blip r:embed="rId11"/>
                    <a:stretch>
                      <a:fillRect/>
                    </a:stretch>
                  </pic:blipFill>
                  <pic:spPr>
                    <a:xfrm>
                      <a:off x="0" y="0"/>
                      <a:ext cx="6446520" cy="2041398"/>
                    </a:xfrm>
                    <a:prstGeom prst="rect"/>
                  </pic:spPr>
                </pic:pic>
              </a:graphicData>
            </a:graphic>
          </wp:inline>
        </w:drawing>
      </w:r>
    </w:p>
    <w:p>
      <w:pPr>
        <w:pStyle w:val="FigureCaption"/>
        <w:spacing w:before="0" w:after="80"/>
        <w:jc w:val="center"/>
      </w:pPr>
      <w:r>
        <w:rPr>
          <w:rFonts w:ascii="Liberation Sans" w:hAnsi="Liberation Sans"/>
          <w:b w:val="0"/>
          <w:i w:val="0"/>
        </w:rPr>
        <w:t>Figure 1. VPrivCal workflow. The two components belong to one method; policy effectiveness is assessed only on held-out video cases.</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cantSplit/>
        </w:trPr>
        <w:tc>
          <w:tcPr>
            <w:tcW w:type="dxa" w:w="1944"/>
            <w:shd w:fill="153B5B"/>
            <w:tcBorders>
              <w:top w:val="single" w:sz="4" w:color="FFFFFF"/>
              <w:left w:val="single" w:sz="4" w:color="FFFFFF"/>
              <w:bottom w:val="single" w:sz="4" w:color="FFFFFF"/>
              <w:right w:val="single" w:sz="4" w:color="FFFFFF"/>
              <w:insideH w:val="single" w:sz="4" w:color="FFFFFF"/>
              <w:insideV w:val="single" w:sz="4" w:color="FFFFFF"/>
            </w:tcBorders>
            <w:tcMar>
              <w:top w:w="70" w:type="dxa"/>
              <w:start w:w="90" w:type="dxa"/>
              <w:bottom w:w="70" w:type="dxa"/>
              <w:end w:w="90" w:type="dxa"/>
            </w:tcMar>
            <w:vAlign w:val="center"/>
          </w:tcPr>
          <w:p>
            <w:pPr>
              <w:jc w:val="left"/>
            </w:pPr>
            <w:r>
              <w:rPr>
                <w:rFonts w:ascii="Liberation Sans" w:hAnsi="Liberation Sans"/>
                <w:b/>
                <w:color w:val="FFFFFF"/>
                <w:sz w:val="17"/>
              </w:rPr>
              <w:t>Component</w:t>
            </w:r>
          </w:p>
        </w:tc>
        <w:tc>
          <w:tcPr>
            <w:tcW w:type="dxa" w:w="3024"/>
            <w:shd w:fill="153B5B"/>
            <w:tcBorders>
              <w:top w:val="single" w:sz="4" w:color="FFFFFF"/>
              <w:left w:val="single" w:sz="4" w:color="FFFFFF"/>
              <w:bottom w:val="single" w:sz="4" w:color="FFFFFF"/>
              <w:right w:val="single" w:sz="4" w:color="FFFFFF"/>
              <w:insideH w:val="single" w:sz="4" w:color="FFFFFF"/>
              <w:insideV w:val="single" w:sz="4" w:color="FFFFFF"/>
            </w:tcBorders>
            <w:tcMar>
              <w:top w:w="70" w:type="dxa"/>
              <w:start w:w="90" w:type="dxa"/>
              <w:bottom w:w="70" w:type="dxa"/>
              <w:end w:w="90" w:type="dxa"/>
            </w:tcMar>
            <w:vAlign w:val="center"/>
          </w:tcPr>
          <w:p>
            <w:pPr>
              <w:jc w:val="left"/>
            </w:pPr>
            <w:r>
              <w:rPr>
                <w:rFonts w:ascii="Liberation Sans" w:hAnsi="Liberation Sans"/>
                <w:b/>
                <w:color w:val="FFFFFF"/>
                <w:sz w:val="17"/>
              </w:rPr>
              <w:t>Role</w:t>
            </w:r>
          </w:p>
        </w:tc>
        <w:tc>
          <w:tcPr>
            <w:tcW w:type="dxa" w:w="5184"/>
            <w:shd w:fill="153B5B"/>
            <w:tcBorders>
              <w:top w:val="single" w:sz="4" w:color="FFFFFF"/>
              <w:left w:val="single" w:sz="4" w:color="FFFFFF"/>
              <w:bottom w:val="single" w:sz="4" w:color="FFFFFF"/>
              <w:right w:val="single" w:sz="4" w:color="FFFFFF"/>
              <w:insideH w:val="single" w:sz="4" w:color="FFFFFF"/>
              <w:insideV w:val="single" w:sz="4" w:color="FFFFFF"/>
            </w:tcBorders>
            <w:tcMar>
              <w:top w:w="70" w:type="dxa"/>
              <w:start w:w="90" w:type="dxa"/>
              <w:bottom w:w="70" w:type="dxa"/>
              <w:end w:w="90" w:type="dxa"/>
            </w:tcMar>
            <w:vAlign w:val="center"/>
          </w:tcPr>
          <w:p>
            <w:pPr>
              <w:jc w:val="left"/>
            </w:pPr>
            <w:r>
              <w:rPr>
                <w:rFonts w:ascii="Liberation Sans" w:hAnsi="Liberation Sans"/>
                <w:b/>
                <w:color w:val="FFFFFF"/>
                <w:sz w:val="17"/>
              </w:rPr>
              <w:t>Signal</w:t>
            </w:r>
          </w:p>
        </w:tc>
      </w:tr>
      <w:tr>
        <w:trPr>
          <w:cantSplit/>
        </w:trPr>
        <w:tc>
          <w:tcPr>
            <w:tcW w:type="dxa" w:w="3456"/>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rPr>
                <w:rFonts w:ascii="Liberation Sans" w:hAnsi="Liberation Sans"/>
                <w:b/>
                <w:color w:val="1D2833"/>
                <w:sz w:val="17"/>
              </w:rPr>
              <w:t>VPrivCal-Q10</w:t>
            </w:r>
          </w:p>
        </w:tc>
        <w:tc>
          <w:tcPr>
            <w:tcW w:type="dxa" w:w="3456"/>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rPr>
                <w:rFonts w:ascii="Liberation Sans" w:hAnsi="Liberation Sans"/>
                <w:b w:val="0"/>
                <w:color w:val="1D2833"/>
                <w:sz w:val="17"/>
              </w:rPr>
              <w:t>Rapid preference initialization</w:t>
            </w:r>
          </w:p>
        </w:tc>
        <w:tc>
          <w:tcPr>
            <w:tcW w:type="dxa" w:w="3456"/>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rPr>
                <w:rFonts w:ascii="Liberation Sans" w:hAnsi="Liberation Sans"/>
                <w:b w:val="0"/>
                <w:color w:val="1D2833"/>
                <w:sz w:val="17"/>
              </w:rPr>
              <w:t>Six category defaults plus four reminder-policy settings.</w:t>
            </w:r>
          </w:p>
        </w:tc>
      </w:tr>
      <w:tr>
        <w:trPr>
          <w:cantSplit/>
        </w:trPr>
        <w:tc>
          <w:tcPr>
            <w:tcW w:type="dxa" w:w="3456"/>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tcPr>
          <w:p>
            <w:pPr>
              <w:spacing w:after="0"/>
            </w:pPr>
            <w:r>
              <w:rPr>
                <w:rFonts w:ascii="Liberation Sans" w:hAnsi="Liberation Sans"/>
                <w:b/>
                <w:color w:val="1D2833"/>
                <w:sz w:val="17"/>
              </w:rPr>
              <w:t>VPrivCal-Probe</w:t>
            </w:r>
          </w:p>
        </w:tc>
        <w:tc>
          <w:tcPr>
            <w:tcW w:type="dxa" w:w="3456"/>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tcPr>
          <w:p>
            <w:pPr>
              <w:spacing w:after="0"/>
            </w:pPr>
            <w:r>
              <w:rPr>
                <w:rFonts w:ascii="Liberation Sans" w:hAnsi="Liberation Sans"/>
                <w:b w:val="0"/>
                <w:color w:val="1D2833"/>
                <w:sz w:val="17"/>
              </w:rPr>
              <w:t>Contextual awareness confirmation and correction</w:t>
            </w:r>
          </w:p>
        </w:tc>
        <w:tc>
          <w:tcPr>
            <w:tcW w:type="dxa" w:w="3456"/>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tcPr>
          <w:p>
            <w:pPr>
              <w:spacing w:after="0"/>
            </w:pPr>
            <w:r>
              <w:t>For every available category-image pair: prior awareness status and preferred future action, linked to one or more detected regions.</w:t>
            </w:r>
          </w:p>
        </w:tc>
      </w:tr>
      <w:tr>
        <w:trPr>
          <w:cantSplit/>
        </w:trPr>
        <w:tc>
          <w:tcPr>
            <w:tcW w:type="dxa" w:w="3456"/>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rPr>
                <w:rFonts w:ascii="Liberation Sans" w:hAnsi="Liberation Sans"/>
                <w:b/>
                <w:color w:val="1D2833"/>
                <w:sz w:val="17"/>
              </w:rPr>
              <w:t>Policy layer</w:t>
            </w:r>
          </w:p>
        </w:tc>
        <w:tc>
          <w:tcPr>
            <w:tcW w:type="dxa" w:w="3456"/>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rPr>
                <w:rFonts w:ascii="Liberation Sans" w:hAnsi="Liberation Sans"/>
                <w:b w:val="0"/>
                <w:color w:val="1D2833"/>
                <w:sz w:val="17"/>
              </w:rPr>
              <w:t>Transparent personalization</w:t>
            </w:r>
          </w:p>
        </w:tc>
        <w:tc>
          <w:tcPr>
            <w:tcW w:type="dxa" w:w="3456"/>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t>Category priors are updated by contextual category-level corrections and scene type.</w:t>
            </w:r>
          </w:p>
        </w:tc>
      </w:tr>
      <w:tr>
        <w:trPr>
          <w:cantSplit/>
        </w:trPr>
        <w:tc>
          <w:tcPr>
            <w:tcW w:type="dxa" w:w="3456"/>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tcPr>
          <w:p>
            <w:pPr>
              <w:spacing w:after="0"/>
            </w:pPr>
            <w:r>
              <w:rPr>
                <w:rFonts w:ascii="Liberation Sans" w:hAnsi="Liberation Sans"/>
                <w:b/>
                <w:color w:val="1D2833"/>
                <w:sz w:val="17"/>
              </w:rPr>
              <w:t>Held-out evaluation</w:t>
            </w:r>
          </w:p>
        </w:tc>
        <w:tc>
          <w:tcPr>
            <w:tcW w:type="dxa" w:w="3456"/>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tcPr>
          <w:p>
            <w:pPr>
              <w:spacing w:after="0"/>
            </w:pPr>
            <w:r>
              <w:rPr>
                <w:rFonts w:ascii="Liberation Sans" w:hAnsi="Liberation Sans"/>
                <w:b w:val="0"/>
                <w:color w:val="1D2833"/>
                <w:sz w:val="17"/>
              </w:rPr>
              <w:t>Effectiveness test</w:t>
            </w:r>
          </w:p>
        </w:tc>
        <w:tc>
          <w:tcPr>
            <w:tcW w:type="dxa" w:w="3456"/>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tcPr>
          <w:p>
            <w:pPr>
              <w:spacing w:after="0"/>
            </w:pPr>
            <w:r>
              <w:rPr>
                <w:rFonts w:ascii="Liberation Sans" w:hAnsi="Liberation Sans"/>
                <w:b w:val="0"/>
                <w:color w:val="1D2833"/>
                <w:sz w:val="17"/>
              </w:rPr>
              <w:t>Compare policy actions with the participant’s desired actions on new videos.</w:t>
            </w:r>
          </w:p>
        </w:tc>
      </w:tr>
    </w:tbl>
    <w:p>
      <w:pPr>
        <w:spacing w:before="0" w:after="20"/>
      </w:pPr>
    </w:p>
    <w:p>
      <w:pPr>
        <w:pStyle w:val="Heading1"/>
        <w:spacing w:before="0" w:after="80"/>
      </w:pPr>
      <w:r>
        <w:rPr>
          <w:rFonts w:ascii="Liberation Sans" w:hAnsi="Liberation Sans"/>
          <w:b w:val="0"/>
          <w:i w:val="0"/>
        </w:rPr>
        <w:t>3. Research questions and hypotheses</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1008"/>
            <w:shd w:fill="153B5B"/>
            <w:tcBorders>
              <w:top w:val="single" w:sz="4" w:color="FFFFFF"/>
              <w:left w:val="single" w:sz="4" w:color="FFFFFF"/>
              <w:bottom w:val="single" w:sz="4" w:color="FFFFFF"/>
              <w:right w:val="single" w:sz="4" w:color="FFFFFF"/>
              <w:insideH w:val="single" w:sz="4" w:color="FFFFFF"/>
              <w:insideV w:val="single" w:sz="4" w:color="FFFFFF"/>
            </w:tcBorders>
            <w:tcMar>
              <w:top w:w="70" w:type="dxa"/>
              <w:start w:w="90" w:type="dxa"/>
              <w:bottom w:w="70" w:type="dxa"/>
              <w:end w:w="90" w:type="dxa"/>
            </w:tcMar>
            <w:vAlign w:val="center"/>
          </w:tcPr>
          <w:p>
            <w:pPr>
              <w:jc w:val="left"/>
            </w:pPr>
            <w:r>
              <w:rPr>
                <w:rFonts w:ascii="Liberation Sans" w:hAnsi="Liberation Sans"/>
                <w:b/>
                <w:color w:val="FFFFFF"/>
                <w:sz w:val="17"/>
              </w:rPr>
              <w:t>ID</w:t>
            </w:r>
          </w:p>
        </w:tc>
        <w:tc>
          <w:tcPr>
            <w:tcW w:type="dxa" w:w="9144"/>
            <w:shd w:fill="153B5B"/>
            <w:tcBorders>
              <w:top w:val="single" w:sz="4" w:color="FFFFFF"/>
              <w:left w:val="single" w:sz="4" w:color="FFFFFF"/>
              <w:bottom w:val="single" w:sz="4" w:color="FFFFFF"/>
              <w:right w:val="single" w:sz="4" w:color="FFFFFF"/>
              <w:insideH w:val="single" w:sz="4" w:color="FFFFFF"/>
              <w:insideV w:val="single" w:sz="4" w:color="FFFFFF"/>
            </w:tcBorders>
            <w:tcMar>
              <w:top w:w="70" w:type="dxa"/>
              <w:start w:w="90" w:type="dxa"/>
              <w:bottom w:w="70" w:type="dxa"/>
              <w:end w:w="90" w:type="dxa"/>
            </w:tcMar>
            <w:vAlign w:val="center"/>
          </w:tcPr>
          <w:p>
            <w:pPr>
              <w:jc w:val="left"/>
            </w:pPr>
            <w:r>
              <w:rPr>
                <w:rFonts w:ascii="Liberation Sans" w:hAnsi="Liberation Sans"/>
                <w:b/>
                <w:color w:val="FFFFFF"/>
                <w:sz w:val="17"/>
              </w:rPr>
              <w:t>Research question / hypothesis</w:t>
            </w:r>
          </w:p>
        </w:tc>
      </w:tr>
      <w:tr>
        <w:trPr>
          <w:cantSplit/>
        </w:trPr>
        <w:tc>
          <w:tcPr>
            <w:tcW w:type="dxa" w:w="5184"/>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rPr>
                <w:rFonts w:ascii="Liberation Sans" w:hAnsi="Liberation Sans"/>
                <w:b/>
                <w:color w:val="1D2833"/>
                <w:sz w:val="17"/>
              </w:rPr>
              <w:t>RQ1</w:t>
            </w:r>
          </w:p>
        </w:tc>
        <w:tc>
          <w:tcPr>
            <w:tcW w:type="dxa" w:w="5184"/>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rPr>
                <w:rFonts w:ascii="Liberation Sans" w:hAnsi="Liberation Sans"/>
                <w:b w:val="0"/>
                <w:color w:val="1D2833"/>
                <w:sz w:val="17"/>
              </w:rPr>
              <w:t>Can VPrivCal-Q10 predict desired reminder actions for unseen egocentric video cues?</w:t>
            </w:r>
          </w:p>
        </w:tc>
      </w:tr>
      <w:tr>
        <w:trPr>
          <w:cantSplit/>
        </w:trPr>
        <w:tc>
          <w:tcPr>
            <w:tcW w:type="dxa" w:w="5184"/>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tcPr>
          <w:p>
            <w:pPr>
              <w:spacing w:after="0"/>
            </w:pPr>
            <w:r>
              <w:rPr>
                <w:rFonts w:ascii="Liberation Sans" w:hAnsi="Liberation Sans"/>
                <w:b/>
                <w:color w:val="1D2833"/>
                <w:sz w:val="17"/>
              </w:rPr>
              <w:t>RQ2</w:t>
            </w:r>
          </w:p>
        </w:tc>
        <w:tc>
          <w:tcPr>
            <w:tcW w:type="dxa" w:w="5184"/>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tcPr>
          <w:p>
            <w:pPr>
              <w:spacing w:after="0"/>
            </w:pPr>
            <w:r>
              <w:rPr>
                <w:rFonts w:ascii="Liberation Sans" w:hAnsi="Liberation Sans"/>
                <w:b w:val="0"/>
                <w:color w:val="1D2833"/>
                <w:sz w:val="17"/>
              </w:rPr>
              <w:t>Does full VPrivCal (Q10 + Probe) improve held-out action alignment over a generic policy and a Q10-only policy?</w:t>
            </w:r>
          </w:p>
        </w:tc>
      </w:tr>
      <w:tr>
        <w:trPr>
          <w:cantSplit/>
        </w:trPr>
        <w:tc>
          <w:tcPr>
            <w:tcW w:type="dxa" w:w="5184"/>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rPr>
                <w:rFonts w:ascii="Liberation Sans" w:hAnsi="Liberation Sans"/>
                <w:b/>
                <w:color w:val="1D2833"/>
                <w:sz w:val="17"/>
              </w:rPr>
              <w:t>RQ3</w:t>
            </w:r>
          </w:p>
        </w:tc>
        <w:tc>
          <w:tcPr>
            <w:tcW w:type="dxa" w:w="5184"/>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rPr>
                <w:rFonts w:ascii="Liberation Sans" w:hAnsi="Liberation Sans"/>
                <w:b w:val="0"/>
                <w:color w:val="1D2833"/>
                <w:sz w:val="17"/>
              </w:rPr>
              <w:t>Does full VPrivCal reduce over-reminding without increasing under-protection or severe under-protection?</w:t>
            </w:r>
          </w:p>
        </w:tc>
      </w:tr>
      <w:tr>
        <w:trPr>
          <w:cantSplit/>
        </w:trPr>
        <w:tc>
          <w:tcPr>
            <w:tcW w:type="dxa" w:w="5184"/>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tcPr>
          <w:p>
            <w:pPr>
              <w:spacing w:after="0"/>
            </w:pPr>
            <w:r>
              <w:rPr>
                <w:rFonts w:ascii="Liberation Sans" w:hAnsi="Liberation Sans"/>
                <w:b/>
                <w:color w:val="1D2833"/>
                <w:sz w:val="17"/>
              </w:rPr>
              <w:t>RQ4</w:t>
            </w:r>
          </w:p>
        </w:tc>
        <w:tc>
          <w:tcPr>
            <w:tcW w:type="dxa" w:w="5184"/>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tcPr>
          <w:p>
            <w:pPr>
              <w:spacing w:after="0"/>
            </w:pPr>
            <w:r>
              <w:rPr>
                <w:rFonts w:ascii="Liberation Sans" w:hAnsi="Liberation Sans"/>
                <w:b w:val="0"/>
                <w:color w:val="1D2833"/>
                <w:sz w:val="17"/>
              </w:rPr>
              <w:t>Which visual categories and awareness-gap types transfer most reliably from static calibration images to dynamic video?</w:t>
            </w:r>
          </w:p>
        </w:tc>
      </w:tr>
      <w:tr>
        <w:trPr>
          <w:cantSplit/>
        </w:trPr>
        <w:tc>
          <w:tcPr>
            <w:tcW w:type="dxa" w:w="5184"/>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rPr>
                <w:rFonts w:ascii="Liberation Sans" w:hAnsi="Liberation Sans"/>
                <w:b/>
                <w:color w:val="1D2833"/>
                <w:sz w:val="17"/>
              </w:rPr>
              <w:t>H1</w:t>
            </w:r>
          </w:p>
        </w:tc>
        <w:tc>
          <w:tcPr>
            <w:tcW w:type="dxa" w:w="5184"/>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rPr>
                <w:rFonts w:ascii="Liberation Sans" w:hAnsi="Liberation Sans"/>
                <w:b w:val="0"/>
                <w:color w:val="1D2833"/>
                <w:sz w:val="17"/>
              </w:rPr>
              <w:t>Full VPrivCal will yield lower ordinal action error than the generic and Q10-only policies.</w:t>
            </w:r>
          </w:p>
        </w:tc>
      </w:tr>
      <w:tr>
        <w:trPr>
          <w:cantSplit/>
        </w:trPr>
        <w:tc>
          <w:tcPr>
            <w:tcW w:type="dxa" w:w="5184"/>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tcPr>
          <w:p>
            <w:pPr>
              <w:spacing w:after="0"/>
            </w:pPr>
            <w:r>
              <w:rPr>
                <w:rFonts w:ascii="Liberation Sans" w:hAnsi="Liberation Sans"/>
                <w:b/>
                <w:color w:val="1D2833"/>
                <w:sz w:val="17"/>
              </w:rPr>
              <w:t>H2</w:t>
            </w:r>
          </w:p>
        </w:tc>
        <w:tc>
          <w:tcPr>
            <w:tcW w:type="dxa" w:w="5184"/>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tcPr>
          <w:p>
            <w:pPr>
              <w:spacing w:after="0"/>
            </w:pPr>
            <w:r>
              <w:rPr>
                <w:rFonts w:ascii="Liberation Sans" w:hAnsi="Liberation Sans"/>
                <w:b w:val="0"/>
                <w:color w:val="1D2833"/>
                <w:sz w:val="17"/>
              </w:rPr>
              <w:t>Full VPrivCal will reduce unnecessary reminders while preserving protection for high-severity cues.</w:t>
            </w:r>
          </w:p>
        </w:tc>
      </w:tr>
      <w:tr>
        <w:trPr>
          <w:cantSplit/>
        </w:trPr>
        <w:tc>
          <w:tcPr>
            <w:tcW w:type="dxa" w:w="5184"/>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rPr>
                <w:rFonts w:ascii="Liberation Sans" w:hAnsi="Liberation Sans"/>
                <w:b/>
                <w:color w:val="1D2833"/>
                <w:sz w:val="17"/>
              </w:rPr>
              <w:t>H3</w:t>
            </w:r>
          </w:p>
        </w:tc>
        <w:tc>
          <w:tcPr>
            <w:tcW w:type="dxa" w:w="5184"/>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rPr>
                <w:rFonts w:ascii="Liberation Sans" w:hAnsi="Liberation Sans"/>
                <w:b w:val="0"/>
                <w:color w:val="1D2833"/>
                <w:sz w:val="17"/>
              </w:rPr>
              <w:t>Participants will report higher reminder relevance and perceived control for full VPrivCal.</w:t>
            </w:r>
          </w:p>
        </w:tc>
      </w:tr>
    </w:tbl>
    <w:p>
      <w:pPr>
        <w:spacing w:before="0" w:after="20"/>
      </w:pPr>
    </w:p>
    <w:p>
      <w:pPr>
        <w:pStyle w:val="Heading1"/>
        <w:spacing w:before="0" w:after="80"/>
      </w:pPr>
      <w:r>
        <w:rPr>
          <w:rFonts w:ascii="Liberation Sans" w:hAnsi="Liberation Sans"/>
          <w:b w:val="0"/>
          <w:i w:val="0"/>
        </w:rPr>
        <w:t>4. VPrivCal-Q10: rapid preference initialization</w:t>
      </w:r>
    </w:p>
    <w:p>
      <w:pPr>
        <w:spacing w:before="0" w:after="80"/>
      </w:pPr>
      <w:r>
        <w:rPr>
          <w:rFonts w:ascii="Liberation Sans" w:hAnsi="Liberation Sans"/>
          <w:b w:val="0"/>
          <w:i w:val="0"/>
        </w:rPr>
        <w:t>Q1-Q6 retain the six high-level visual privacy categories used in the project. To reduce repetition and leading wording, the system presents one shared question and response scale, then shows the six categories one by one.</w:t>
      </w:r>
    </w:p>
    <w:tbl>
      <w:tblPr>
        <w:tblW w:type="auto" w:w="0"/>
        <w:jc w:val="center"/>
        <w:tblLayout w:type="fixed"/>
        <w:tblLook w:firstColumn="1" w:firstRow="1" w:lastColumn="0" w:lastRow="0" w:noHBand="0" w:noVBand="1" w:val="04A0"/>
      </w:tblPr>
      <w:tblGrid>
        <w:gridCol w:w="10152"/>
      </w:tblGrid>
      <w:tr>
        <w:trPr>
          <w:cantSplit/>
          <w:tblHeader/>
        </w:trPr>
        <w:tc>
          <w:tcPr>
            <w:tcW w:type="dxa" w:w="10368"/>
            <w:shd w:fill="EAF3F8"/>
            <w:tcBorders>
              <w:top w:val="single" w:sz="8" w:color="153B5B"/>
              <w:left w:val="single" w:sz="8" w:color="153B5B"/>
              <w:bottom w:val="single" w:sz="8" w:color="153B5B"/>
              <w:right w:val="single" w:sz="8" w:color="153B5B"/>
              <w:insideH w:val="single" w:sz="8" w:color="153B5B"/>
              <w:insideV w:val="single" w:sz="8" w:color="153B5B"/>
            </w:tcBorders>
            <w:tcMar>
              <w:top w:w="90" w:type="dxa"/>
              <w:start w:w="110" w:type="dxa"/>
              <w:bottom w:w="90" w:type="dxa"/>
              <w:end w:w="110" w:type="dxa"/>
            </w:tcMar>
          </w:tcPr>
          <w:p>
            <w:pPr>
              <w:spacing w:after="40"/>
            </w:pPr>
            <w:r>
              <w:rPr>
                <w:rFonts w:ascii="Liberation Sans" w:hAnsi="Liberation Sans"/>
                <w:b/>
                <w:color w:val="153B5B"/>
                <w:sz w:val="19"/>
              </w:rPr>
              <w:t>Shared question for Q1-Q6</w:t>
            </w:r>
          </w:p>
          <w:p>
            <w:pPr>
              <w:spacing w:after="0"/>
            </w:pPr>
            <w:r>
              <w:rPr>
                <w:rFonts w:ascii="Liberation Sans" w:hAnsi="Liberation Sans"/>
                <w:color w:val="1D2833"/>
                <w:sz w:val="18"/>
              </w:rPr>
              <w:t>When this type of information appears in an egocentric image or video, what should the assistant do by default?</w:t>
              <w:br/>
              <w:br/>
              <w:t>1 Use for the current task without interruption | 2 Handle silently and avoid unnecessary detail | 3 Give a brief reminder | 4 Ask before using it | 5 Do not use it unless explicitly requested</w:t>
            </w:r>
          </w:p>
        </w:tc>
      </w:tr>
    </w:tbl>
    <w:p>
      <w:pPr>
        <w:spacing w:before="0" w:after="20"/>
      </w:pPr>
    </w:p>
    <w:tbl>
      <w:tblPr>
        <w:tblStyle w:val="TableGrid"/>
        <w:tblW w:type="auto" w:w="0"/>
        <w:jc w:val="center"/>
        <w:tblLayout w:type="fixed"/>
        <w:tblLook w:firstColumn="1" w:firstRow="1" w:lastColumn="0" w:lastRow="0" w:noHBand="0" w:noVBand="1" w:val="04A0"/>
      </w:tblPr>
      <w:tblGrid>
        <w:gridCol w:w="2592"/>
        <w:gridCol w:w="2592"/>
        <w:gridCol w:w="2592"/>
        <w:gridCol w:w="2592"/>
      </w:tblGrid>
      <w:tr>
        <w:trPr>
          <w:tblHeader w:val="true"/>
          <w:cantSplit/>
        </w:trPr>
        <w:tc>
          <w:tcPr>
            <w:tcW w:type="dxa" w:w="648"/>
            <w:shd w:fill="153B5B"/>
            <w:tcBorders>
              <w:top w:val="single" w:sz="4" w:color="FFFFFF"/>
              <w:left w:val="single" w:sz="4" w:color="FFFFFF"/>
              <w:bottom w:val="single" w:sz="4" w:color="FFFFFF"/>
              <w:right w:val="single" w:sz="4" w:color="FFFFFF"/>
              <w:insideH w:val="single" w:sz="4" w:color="FFFFFF"/>
              <w:insideV w:val="single" w:sz="4" w:color="FFFFFF"/>
            </w:tcBorders>
            <w:tcMar>
              <w:top w:w="70" w:type="dxa"/>
              <w:start w:w="90" w:type="dxa"/>
              <w:bottom w:w="70" w:type="dxa"/>
              <w:end w:w="90" w:type="dxa"/>
            </w:tcMar>
            <w:vAlign w:val="center"/>
          </w:tcPr>
          <w:p>
            <w:pPr>
              <w:jc w:val="left"/>
            </w:pPr>
            <w:r>
              <w:rPr>
                <w:rFonts w:ascii="Liberation Sans" w:hAnsi="Liberation Sans"/>
                <w:b/>
                <w:color w:val="FFFFFF"/>
                <w:sz w:val="16"/>
              </w:rPr>
              <w:t>Item</w:t>
            </w:r>
          </w:p>
        </w:tc>
        <w:tc>
          <w:tcPr>
            <w:tcW w:type="dxa" w:w="2088"/>
            <w:shd w:fill="153B5B"/>
            <w:tcBorders>
              <w:top w:val="single" w:sz="4" w:color="FFFFFF"/>
              <w:left w:val="single" w:sz="4" w:color="FFFFFF"/>
              <w:bottom w:val="single" w:sz="4" w:color="FFFFFF"/>
              <w:right w:val="single" w:sz="4" w:color="FFFFFF"/>
              <w:insideH w:val="single" w:sz="4" w:color="FFFFFF"/>
              <w:insideV w:val="single" w:sz="4" w:color="FFFFFF"/>
            </w:tcBorders>
            <w:tcMar>
              <w:top w:w="70" w:type="dxa"/>
              <w:start w:w="90" w:type="dxa"/>
              <w:bottom w:w="70" w:type="dxa"/>
              <w:end w:w="90" w:type="dxa"/>
            </w:tcMar>
            <w:vAlign w:val="center"/>
          </w:tcPr>
          <w:p>
            <w:pPr>
              <w:jc w:val="left"/>
            </w:pPr>
            <w:r>
              <w:rPr>
                <w:rFonts w:ascii="Liberation Sans" w:hAnsi="Liberation Sans"/>
                <w:b/>
                <w:color w:val="FFFFFF"/>
                <w:sz w:val="16"/>
              </w:rPr>
              <w:t>Category</w:t>
            </w:r>
          </w:p>
        </w:tc>
        <w:tc>
          <w:tcPr>
            <w:tcW w:type="dxa" w:w="5400"/>
            <w:shd w:fill="153B5B"/>
            <w:tcBorders>
              <w:top w:val="single" w:sz="4" w:color="FFFFFF"/>
              <w:left w:val="single" w:sz="4" w:color="FFFFFF"/>
              <w:bottom w:val="single" w:sz="4" w:color="FFFFFF"/>
              <w:right w:val="single" w:sz="4" w:color="FFFFFF"/>
              <w:insideH w:val="single" w:sz="4" w:color="FFFFFF"/>
              <w:insideV w:val="single" w:sz="4" w:color="FFFFFF"/>
            </w:tcBorders>
            <w:tcMar>
              <w:top w:w="70" w:type="dxa"/>
              <w:start w:w="90" w:type="dxa"/>
              <w:bottom w:w="70" w:type="dxa"/>
              <w:end w:w="90" w:type="dxa"/>
            </w:tcMar>
            <w:vAlign w:val="center"/>
          </w:tcPr>
          <w:p>
            <w:pPr>
              <w:jc w:val="left"/>
            </w:pPr>
            <w:r>
              <w:rPr>
                <w:rFonts w:ascii="Liberation Sans" w:hAnsi="Liberation Sans"/>
                <w:b/>
                <w:color w:val="FFFFFF"/>
                <w:sz w:val="16"/>
              </w:rPr>
              <w:t>Examples</w:t>
            </w:r>
          </w:p>
        </w:tc>
        <w:tc>
          <w:tcPr>
            <w:tcW w:type="dxa" w:w="2016"/>
            <w:shd w:fill="153B5B"/>
            <w:tcBorders>
              <w:top w:val="single" w:sz="4" w:color="FFFFFF"/>
              <w:left w:val="single" w:sz="4" w:color="FFFFFF"/>
              <w:bottom w:val="single" w:sz="4" w:color="FFFFFF"/>
              <w:right w:val="single" w:sz="4" w:color="FFFFFF"/>
              <w:insideH w:val="single" w:sz="4" w:color="FFFFFF"/>
              <w:insideV w:val="single" w:sz="4" w:color="FFFFFF"/>
            </w:tcBorders>
            <w:tcMar>
              <w:top w:w="70" w:type="dxa"/>
              <w:start w:w="90" w:type="dxa"/>
              <w:bottom w:w="70" w:type="dxa"/>
              <w:end w:w="90" w:type="dxa"/>
            </w:tcMar>
            <w:vAlign w:val="center"/>
          </w:tcPr>
          <w:p>
            <w:pPr>
              <w:jc w:val="left"/>
            </w:pPr>
            <w:r>
              <w:rPr>
                <w:rFonts w:ascii="Liberation Sans" w:hAnsi="Liberation Sans"/>
                <w:b/>
                <w:color w:val="FFFFFF"/>
                <w:sz w:val="16"/>
              </w:rPr>
              <w:t>Policy parameter</w:t>
            </w:r>
          </w:p>
        </w:tc>
      </w:tr>
      <w:tr>
        <w:trPr>
          <w:cantSplit/>
        </w:trPr>
        <w:tc>
          <w:tcPr>
            <w:tcW w:type="dxa" w:w="2592"/>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rPr>
                <w:rFonts w:ascii="Liberation Sans" w:hAnsi="Liberation Sans"/>
                <w:b/>
                <w:color w:val="1D2833"/>
                <w:sz w:val="16"/>
              </w:rPr>
              <w:t>Q1</w:t>
            </w:r>
          </w:p>
        </w:tc>
        <w:tc>
          <w:tcPr>
            <w:tcW w:type="dxa" w:w="2592"/>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rPr>
                <w:rFonts w:ascii="Liberation Sans" w:hAnsi="Liberation Sans"/>
                <w:b w:val="0"/>
                <w:color w:val="1D2833"/>
                <w:sz w:val="16"/>
              </w:rPr>
              <w:t>Biometric data</w:t>
            </w:r>
          </w:p>
        </w:tc>
        <w:tc>
          <w:tcPr>
            <w:tcW w:type="dxa" w:w="2592"/>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rPr>
                <w:rFonts w:ascii="Liberation Sans" w:hAnsi="Liberation Sans"/>
                <w:b w:val="0"/>
                <w:color w:val="1D2833"/>
                <w:sz w:val="16"/>
              </w:rPr>
              <w:t>Faces, fingerprints, and other distinctive body features that may identify a person.</w:t>
            </w:r>
          </w:p>
        </w:tc>
        <w:tc>
          <w:tcPr>
            <w:tcW w:type="dxa" w:w="2592"/>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rPr>
                <w:rFonts w:ascii="Liberation Sans" w:hAnsi="Liberation Sans"/>
                <w:b w:val="0"/>
                <w:color w:val="1D2833"/>
                <w:sz w:val="16"/>
              </w:rPr>
              <w:t>biometric_data_action</w:t>
            </w:r>
          </w:p>
        </w:tc>
      </w:tr>
      <w:tr>
        <w:trPr>
          <w:cantSplit/>
        </w:trPr>
        <w:tc>
          <w:tcPr>
            <w:tcW w:type="dxa" w:w="2592"/>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tcPr>
          <w:p>
            <w:pPr>
              <w:spacing w:after="0"/>
            </w:pPr>
            <w:r>
              <w:rPr>
                <w:rFonts w:ascii="Liberation Sans" w:hAnsi="Liberation Sans"/>
                <w:b/>
                <w:color w:val="1D2833"/>
                <w:sz w:val="16"/>
              </w:rPr>
              <w:t>Q2</w:t>
            </w:r>
          </w:p>
        </w:tc>
        <w:tc>
          <w:tcPr>
            <w:tcW w:type="dxa" w:w="2592"/>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tcPr>
          <w:p>
            <w:pPr>
              <w:spacing w:after="0"/>
            </w:pPr>
            <w:r>
              <w:rPr>
                <w:rFonts w:ascii="Liberation Sans" w:hAnsi="Liberation Sans"/>
                <w:b w:val="0"/>
                <w:color w:val="1D2833"/>
                <w:sz w:val="16"/>
              </w:rPr>
              <w:t>Children images</w:t>
            </w:r>
          </w:p>
        </w:tc>
        <w:tc>
          <w:tcPr>
            <w:tcW w:type="dxa" w:w="2592"/>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tcPr>
          <w:p>
            <w:pPr>
              <w:spacing w:after="0"/>
            </w:pPr>
            <w:r>
              <w:rPr>
                <w:rFonts w:ascii="Liberation Sans" w:hAnsi="Liberation Sans"/>
                <w:b w:val="0"/>
                <w:color w:val="1D2833"/>
                <w:sz w:val="16"/>
              </w:rPr>
              <w:t>Children, school events, playgrounds, and child-related activities.</w:t>
            </w:r>
          </w:p>
        </w:tc>
        <w:tc>
          <w:tcPr>
            <w:tcW w:type="dxa" w:w="2592"/>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tcPr>
          <w:p>
            <w:pPr>
              <w:spacing w:after="0"/>
            </w:pPr>
            <w:r>
              <w:rPr>
                <w:rFonts w:ascii="Liberation Sans" w:hAnsi="Liberation Sans"/>
                <w:b w:val="0"/>
                <w:color w:val="1D2833"/>
                <w:sz w:val="16"/>
              </w:rPr>
              <w:t>children_images_action</w:t>
            </w:r>
          </w:p>
        </w:tc>
      </w:tr>
      <w:tr>
        <w:trPr>
          <w:cantSplit/>
        </w:trPr>
        <w:tc>
          <w:tcPr>
            <w:tcW w:type="dxa" w:w="2592"/>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rPr>
                <w:rFonts w:ascii="Liberation Sans" w:hAnsi="Liberation Sans"/>
                <w:b/>
                <w:color w:val="1D2833"/>
                <w:sz w:val="16"/>
              </w:rPr>
              <w:t>Q3</w:t>
            </w:r>
          </w:p>
        </w:tc>
        <w:tc>
          <w:tcPr>
            <w:tcW w:type="dxa" w:w="2592"/>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rPr>
                <w:rFonts w:ascii="Liberation Sans" w:hAnsi="Liberation Sans"/>
                <w:b w:val="0"/>
                <w:color w:val="1D2833"/>
                <w:sz w:val="16"/>
              </w:rPr>
              <w:t>Personally identifiable information (PII)</w:t>
            </w:r>
          </w:p>
        </w:tc>
        <w:tc>
          <w:tcPr>
            <w:tcW w:type="dxa" w:w="2592"/>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rPr>
                <w:rFonts w:ascii="Liberation Sans" w:hAnsi="Liberation Sans"/>
                <w:b w:val="0"/>
                <w:color w:val="1D2833"/>
                <w:sz w:val="16"/>
              </w:rPr>
              <w:t>Financial or medical data; names, passports, email addresses, phone numbers, GPS, license plates, and other identifiers.</w:t>
            </w:r>
          </w:p>
        </w:tc>
        <w:tc>
          <w:tcPr>
            <w:tcW w:type="dxa" w:w="2592"/>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rPr>
                <w:rFonts w:ascii="Liberation Sans" w:hAnsi="Liberation Sans"/>
                <w:b w:val="0"/>
                <w:color w:val="1D2833"/>
                <w:sz w:val="16"/>
              </w:rPr>
              <w:t>pii_action</w:t>
            </w:r>
          </w:p>
        </w:tc>
      </w:tr>
      <w:tr>
        <w:trPr>
          <w:cantSplit/>
        </w:trPr>
        <w:tc>
          <w:tcPr>
            <w:tcW w:type="dxa" w:w="2592"/>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tcPr>
          <w:p>
            <w:pPr>
              <w:spacing w:after="0"/>
            </w:pPr>
            <w:r>
              <w:rPr>
                <w:rFonts w:ascii="Liberation Sans" w:hAnsi="Liberation Sans"/>
                <w:b/>
                <w:color w:val="1D2833"/>
                <w:sz w:val="16"/>
              </w:rPr>
              <w:t>Q4</w:t>
            </w:r>
          </w:p>
        </w:tc>
        <w:tc>
          <w:tcPr>
            <w:tcW w:type="dxa" w:w="2592"/>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tcPr>
          <w:p>
            <w:pPr>
              <w:spacing w:after="0"/>
            </w:pPr>
            <w:r>
              <w:rPr>
                <w:rFonts w:ascii="Liberation Sans" w:hAnsi="Liberation Sans"/>
                <w:b w:val="0"/>
                <w:color w:val="1D2833"/>
                <w:sz w:val="16"/>
              </w:rPr>
              <w:t>Legal sensitivity information</w:t>
            </w:r>
          </w:p>
        </w:tc>
        <w:tc>
          <w:tcPr>
            <w:tcW w:type="dxa" w:w="2592"/>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tcPr>
          <w:p>
            <w:pPr>
              <w:spacing w:after="0"/>
            </w:pPr>
            <w:r>
              <w:rPr>
                <w:rFonts w:ascii="Liberation Sans" w:hAnsi="Liberation Sans"/>
                <w:b w:val="0"/>
                <w:color w:val="1D2833"/>
                <w:sz w:val="16"/>
              </w:rPr>
              <w:t>Nudity or explicit imagery; violent or unlawful acts; criminal acts; weapons or other high-risk items.</w:t>
            </w:r>
          </w:p>
        </w:tc>
        <w:tc>
          <w:tcPr>
            <w:tcW w:type="dxa" w:w="2592"/>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tcPr>
          <w:p>
            <w:pPr>
              <w:spacing w:after="0"/>
            </w:pPr>
            <w:r>
              <w:rPr>
                <w:rFonts w:ascii="Liberation Sans" w:hAnsi="Liberation Sans"/>
                <w:b w:val="0"/>
                <w:color w:val="1D2833"/>
                <w:sz w:val="16"/>
              </w:rPr>
              <w:t>legal_sensitivity_action</w:t>
            </w:r>
          </w:p>
        </w:tc>
      </w:tr>
      <w:tr>
        <w:trPr>
          <w:cantSplit/>
        </w:trPr>
        <w:tc>
          <w:tcPr>
            <w:tcW w:type="dxa" w:w="2592"/>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rPr>
                <w:rFonts w:ascii="Liberation Sans" w:hAnsi="Liberation Sans"/>
                <w:b/>
                <w:color w:val="1D2833"/>
                <w:sz w:val="16"/>
              </w:rPr>
              <w:t>Q5</w:t>
            </w:r>
          </w:p>
        </w:tc>
        <w:tc>
          <w:tcPr>
            <w:tcW w:type="dxa" w:w="2592"/>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rPr>
                <w:rFonts w:ascii="Liberation Sans" w:hAnsi="Liberation Sans"/>
                <w:b w:val="0"/>
                <w:color w:val="1D2833"/>
                <w:sz w:val="16"/>
              </w:rPr>
              <w:t>Personal life</w:t>
            </w:r>
          </w:p>
        </w:tc>
        <w:tc>
          <w:tcPr>
            <w:tcW w:type="dxa" w:w="2592"/>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rPr>
                <w:rFonts w:ascii="Liberation Sans" w:hAnsi="Liberation Sans"/>
                <w:b w:val="0"/>
                <w:color w:val="1D2833"/>
                <w:sz w:val="16"/>
              </w:rPr>
              <w:t>Home interiors, personal items, location context, landmarks, routines, relationships, and activities.</w:t>
            </w:r>
          </w:p>
        </w:tc>
        <w:tc>
          <w:tcPr>
            <w:tcW w:type="dxa" w:w="2592"/>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rPr>
                <w:rFonts w:ascii="Liberation Sans" w:hAnsi="Liberation Sans"/>
                <w:b w:val="0"/>
                <w:color w:val="1D2833"/>
                <w:sz w:val="16"/>
              </w:rPr>
              <w:t>personal_life_action</w:t>
            </w:r>
          </w:p>
        </w:tc>
      </w:tr>
      <w:tr>
        <w:trPr>
          <w:cantSplit/>
        </w:trPr>
        <w:tc>
          <w:tcPr>
            <w:tcW w:type="dxa" w:w="2592"/>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tcPr>
          <w:p>
            <w:pPr>
              <w:spacing w:after="0"/>
            </w:pPr>
            <w:r>
              <w:rPr>
                <w:rFonts w:ascii="Liberation Sans" w:hAnsi="Liberation Sans"/>
                <w:b/>
                <w:color w:val="1D2833"/>
                <w:sz w:val="16"/>
              </w:rPr>
              <w:t>Q6</w:t>
            </w:r>
          </w:p>
        </w:tc>
        <w:tc>
          <w:tcPr>
            <w:tcW w:type="dxa" w:w="2592"/>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tcPr>
          <w:p>
            <w:pPr>
              <w:spacing w:after="0"/>
            </w:pPr>
            <w:r>
              <w:rPr>
                <w:rFonts w:ascii="Liberation Sans" w:hAnsi="Liberation Sans"/>
                <w:b w:val="0"/>
                <w:color w:val="1D2833"/>
                <w:sz w:val="16"/>
              </w:rPr>
              <w:t>Background individuals</w:t>
            </w:r>
          </w:p>
        </w:tc>
        <w:tc>
          <w:tcPr>
            <w:tcW w:type="dxa" w:w="2592"/>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tcPr>
          <w:p>
            <w:pPr>
              <w:spacing w:after="0"/>
            </w:pPr>
            <w:r>
              <w:t>Passersby, bystanders, coworkers, patients, patrons, and other people incidentally captured.</w:t>
            </w:r>
          </w:p>
        </w:tc>
        <w:tc>
          <w:tcPr>
            <w:tcW w:type="dxa" w:w="2592"/>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tcPr>
          <w:p>
            <w:pPr>
              <w:spacing w:after="0"/>
            </w:pPr>
            <w:r>
              <w:rPr>
                <w:rFonts w:ascii="Liberation Sans" w:hAnsi="Liberation Sans"/>
                <w:b w:val="0"/>
                <w:color w:val="1D2833"/>
                <w:sz w:val="16"/>
              </w:rPr>
              <w:t>background_individuals_action</w:t>
            </w:r>
          </w:p>
        </w:tc>
      </w:tr>
    </w:tbl>
    <w:p>
      <w:pPr>
        <w:spacing w:before="0" w:after="20"/>
      </w:pPr>
    </w:p>
    <w:p>
      <w:pPr>
        <w:pStyle w:val="Heading2"/>
        <w:spacing w:before="0" w:after="80"/>
      </w:pPr>
      <w:r>
        <w:rPr>
          <w:rFonts w:ascii="Liberation Sans" w:hAnsi="Liberation Sans"/>
          <w:b w:val="0"/>
          <w:i w:val="0"/>
        </w:rPr>
        <w:t>4.1 Cross-cutting reminder-policy questions</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rPr>
          <w:tblHeader w:val="true"/>
          <w:cantSplit/>
        </w:trPr>
        <w:tc>
          <w:tcPr>
            <w:tcW w:type="dxa" w:w="648"/>
            <w:shd w:fill="153B5B"/>
            <w:tcBorders>
              <w:top w:val="single" w:sz="4" w:color="FFFFFF"/>
              <w:left w:val="single" w:sz="4" w:color="FFFFFF"/>
              <w:bottom w:val="single" w:sz="4" w:color="FFFFFF"/>
              <w:right w:val="single" w:sz="4" w:color="FFFFFF"/>
              <w:insideH w:val="single" w:sz="4" w:color="FFFFFF"/>
              <w:insideV w:val="single" w:sz="4" w:color="FFFFFF"/>
            </w:tcBorders>
            <w:tcMar>
              <w:top w:w="70" w:type="dxa"/>
              <w:start w:w="90" w:type="dxa"/>
              <w:bottom w:w="70" w:type="dxa"/>
              <w:end w:w="90" w:type="dxa"/>
            </w:tcMar>
            <w:vAlign w:val="center"/>
          </w:tcPr>
          <w:p>
            <w:pPr>
              <w:jc w:val="left"/>
            </w:pPr>
            <w:r>
              <w:rPr>
                <w:rFonts w:ascii="Liberation Sans" w:hAnsi="Liberation Sans"/>
                <w:b/>
                <w:color w:val="FFFFFF"/>
                <w:sz w:val="15"/>
              </w:rPr>
              <w:t>Item</w:t>
            </w:r>
          </w:p>
        </w:tc>
        <w:tc>
          <w:tcPr>
            <w:tcW w:type="dxa" w:w="1800"/>
            <w:shd w:fill="153B5B"/>
            <w:tcBorders>
              <w:top w:val="single" w:sz="4" w:color="FFFFFF"/>
              <w:left w:val="single" w:sz="4" w:color="FFFFFF"/>
              <w:bottom w:val="single" w:sz="4" w:color="FFFFFF"/>
              <w:right w:val="single" w:sz="4" w:color="FFFFFF"/>
              <w:insideH w:val="single" w:sz="4" w:color="FFFFFF"/>
              <w:insideV w:val="single" w:sz="4" w:color="FFFFFF"/>
            </w:tcBorders>
            <w:tcMar>
              <w:top w:w="70" w:type="dxa"/>
              <w:start w:w="90" w:type="dxa"/>
              <w:bottom w:w="70" w:type="dxa"/>
              <w:end w:w="90" w:type="dxa"/>
            </w:tcMar>
            <w:vAlign w:val="center"/>
          </w:tcPr>
          <w:p>
            <w:pPr>
              <w:jc w:val="left"/>
            </w:pPr>
            <w:r>
              <w:rPr>
                <w:rFonts w:ascii="Liberation Sans" w:hAnsi="Liberation Sans"/>
                <w:b/>
                <w:color w:val="FFFFFF"/>
                <w:sz w:val="15"/>
              </w:rPr>
              <w:t>Dimension</w:t>
            </w:r>
          </w:p>
        </w:tc>
        <w:tc>
          <w:tcPr>
            <w:tcW w:type="dxa" w:w="5832"/>
            <w:shd w:fill="153B5B"/>
            <w:tcBorders>
              <w:top w:val="single" w:sz="4" w:color="FFFFFF"/>
              <w:left w:val="single" w:sz="4" w:color="FFFFFF"/>
              <w:bottom w:val="single" w:sz="4" w:color="FFFFFF"/>
              <w:right w:val="single" w:sz="4" w:color="FFFFFF"/>
              <w:insideH w:val="single" w:sz="4" w:color="FFFFFF"/>
              <w:insideV w:val="single" w:sz="4" w:color="FFFFFF"/>
            </w:tcBorders>
            <w:tcMar>
              <w:top w:w="70" w:type="dxa"/>
              <w:start w:w="90" w:type="dxa"/>
              <w:bottom w:w="70" w:type="dxa"/>
              <w:end w:w="90" w:type="dxa"/>
            </w:tcMar>
            <w:vAlign w:val="center"/>
          </w:tcPr>
          <w:p>
            <w:pPr>
              <w:jc w:val="left"/>
            </w:pPr>
            <w:r>
              <w:rPr>
                <w:rFonts w:ascii="Liberation Sans" w:hAnsi="Liberation Sans"/>
                <w:b/>
                <w:color w:val="FFFFFF"/>
                <w:sz w:val="15"/>
              </w:rPr>
              <w:t>Direct policy question</w:t>
            </w:r>
          </w:p>
        </w:tc>
        <w:tc>
          <w:tcPr>
            <w:tcW w:type="dxa" w:w="1872"/>
            <w:shd w:fill="153B5B"/>
            <w:tcBorders>
              <w:top w:val="single" w:sz="4" w:color="FFFFFF"/>
              <w:left w:val="single" w:sz="4" w:color="FFFFFF"/>
              <w:bottom w:val="single" w:sz="4" w:color="FFFFFF"/>
              <w:right w:val="single" w:sz="4" w:color="FFFFFF"/>
              <w:insideH w:val="single" w:sz="4" w:color="FFFFFF"/>
              <w:insideV w:val="single" w:sz="4" w:color="FFFFFF"/>
            </w:tcBorders>
            <w:tcMar>
              <w:top w:w="70" w:type="dxa"/>
              <w:start w:w="90" w:type="dxa"/>
              <w:bottom w:w="70" w:type="dxa"/>
              <w:end w:w="90" w:type="dxa"/>
            </w:tcMar>
            <w:vAlign w:val="center"/>
          </w:tcPr>
          <w:p>
            <w:pPr>
              <w:jc w:val="left"/>
            </w:pPr>
            <w:r>
              <w:rPr>
                <w:rFonts w:ascii="Liberation Sans" w:hAnsi="Liberation Sans"/>
                <w:b/>
                <w:color w:val="FFFFFF"/>
                <w:sz w:val="15"/>
              </w:rPr>
              <w:t>Parameter</w:t>
            </w:r>
          </w:p>
        </w:tc>
      </w:tr>
      <w:tr>
        <w:trPr>
          <w:cantSplit/>
        </w:trPr>
        <w:tc>
          <w:tcPr>
            <w:tcW w:type="dxa" w:w="2592"/>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rPr>
                <w:rFonts w:ascii="Liberation Sans" w:hAnsi="Liberation Sans"/>
                <w:b/>
                <w:color w:val="1D2833"/>
                <w:sz w:val="15"/>
              </w:rPr>
              <w:t>Q7</w:t>
            </w:r>
          </w:p>
        </w:tc>
        <w:tc>
          <w:tcPr>
            <w:tcW w:type="dxa" w:w="2592"/>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rPr>
                <w:rFonts w:ascii="Liberation Sans" w:hAnsi="Liberation Sans"/>
                <w:b w:val="0"/>
                <w:color w:val="1D2833"/>
                <w:sz w:val="15"/>
              </w:rPr>
              <w:t>Inferred risks</w:t>
            </w:r>
          </w:p>
        </w:tc>
        <w:tc>
          <w:tcPr>
            <w:tcW w:type="dxa" w:w="2592"/>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rPr>
                <w:rFonts w:ascii="Liberation Sans" w:hAnsi="Liberation Sans"/>
                <w:b w:val="0"/>
                <w:color w:val="1D2833"/>
                <w:sz w:val="15"/>
              </w:rPr>
              <w:t>When a visual cue supports a sensitive inference, should the system ignore it, remind only for likely/serious cases, give a brief reminder, ask first, or avoid the inference unless requested?</w:t>
            </w:r>
          </w:p>
        </w:tc>
        <w:tc>
          <w:tcPr>
            <w:tcW w:type="dxa" w:w="2592"/>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rPr>
                <w:rFonts w:ascii="Liberation Sans" w:hAnsi="Liberation Sans"/>
                <w:b w:val="0"/>
                <w:color w:val="1D2833"/>
                <w:sz w:val="15"/>
              </w:rPr>
              <w:t>inference_reminder_level</w:t>
            </w:r>
          </w:p>
        </w:tc>
      </w:tr>
      <w:tr>
        <w:trPr>
          <w:cantSplit/>
        </w:trPr>
        <w:tc>
          <w:tcPr>
            <w:tcW w:type="dxa" w:w="2592"/>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tcPr>
          <w:p>
            <w:pPr>
              <w:spacing w:after="0"/>
            </w:pPr>
            <w:r>
              <w:rPr>
                <w:rFonts w:ascii="Liberation Sans" w:hAnsi="Liberation Sans"/>
                <w:b/>
                <w:color w:val="1D2833"/>
                <w:sz w:val="15"/>
              </w:rPr>
              <w:t>Q8</w:t>
            </w:r>
          </w:p>
        </w:tc>
        <w:tc>
          <w:tcPr>
            <w:tcW w:type="dxa" w:w="2592"/>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tcPr>
          <w:p>
            <w:pPr>
              <w:spacing w:after="0"/>
            </w:pPr>
            <w:r>
              <w:rPr>
                <w:rFonts w:ascii="Liberation Sans" w:hAnsi="Liberation Sans"/>
                <w:b w:val="0"/>
                <w:color w:val="1D2833"/>
                <w:sz w:val="15"/>
              </w:rPr>
              <w:t>Reminder sensitivity</w:t>
            </w:r>
          </w:p>
        </w:tc>
        <w:tc>
          <w:tcPr>
            <w:tcW w:type="dxa" w:w="2592"/>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tcPr>
          <w:p>
            <w:pPr>
              <w:spacing w:after="0"/>
            </w:pPr>
            <w:r>
              <w:rPr>
                <w:rFonts w:ascii="Liberation Sans" w:hAnsi="Liberation Sans"/>
                <w:b w:val="0"/>
                <w:color w:val="1D2833"/>
                <w:sz w:val="15"/>
              </w:rPr>
              <w:t>Should the system show very few reminders, serious/likely reminders only, balance misses and false alarms, show most plausible risks, or show every possible risk?</w:t>
            </w:r>
          </w:p>
        </w:tc>
        <w:tc>
          <w:tcPr>
            <w:tcW w:type="dxa" w:w="2592"/>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tcPr>
          <w:p>
            <w:pPr>
              <w:spacing w:after="0"/>
            </w:pPr>
            <w:r>
              <w:rPr>
                <w:rFonts w:ascii="Liberation Sans" w:hAnsi="Liberation Sans"/>
                <w:b w:val="0"/>
                <w:color w:val="1D2833"/>
                <w:sz w:val="15"/>
              </w:rPr>
              <w:t>reminder_sensitivity</w:t>
            </w:r>
          </w:p>
        </w:tc>
      </w:tr>
      <w:tr>
        <w:trPr>
          <w:cantSplit/>
        </w:trPr>
        <w:tc>
          <w:tcPr>
            <w:tcW w:type="dxa" w:w="2592"/>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rPr>
                <w:rFonts w:ascii="Liberation Sans" w:hAnsi="Liberation Sans"/>
                <w:b/>
                <w:color w:val="1D2833"/>
                <w:sz w:val="15"/>
              </w:rPr>
              <w:t>Q9</w:t>
            </w:r>
          </w:p>
        </w:tc>
        <w:tc>
          <w:tcPr>
            <w:tcW w:type="dxa" w:w="2592"/>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rPr>
                <w:rFonts w:ascii="Liberation Sans" w:hAnsi="Liberation Sans"/>
                <w:b w:val="0"/>
                <w:color w:val="1D2833"/>
                <w:sz w:val="15"/>
              </w:rPr>
              <w:t>Uncertainty</w:t>
            </w:r>
          </w:p>
        </w:tc>
        <w:tc>
          <w:tcPr>
            <w:tcW w:type="dxa" w:w="2592"/>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rPr>
                <w:rFonts w:ascii="Liberation Sans" w:hAnsi="Liberation Sans"/>
                <w:b w:val="0"/>
                <w:color w:val="1D2833"/>
                <w:sz w:val="15"/>
              </w:rPr>
              <w:t>When sensitivity is uncertain, should the system do nothing, show a quiet indicator, give a brief uncertain reminder, ask first, or avoid using the information until approved?</w:t>
            </w:r>
          </w:p>
        </w:tc>
        <w:tc>
          <w:tcPr>
            <w:tcW w:type="dxa" w:w="2592"/>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rPr>
                <w:rFonts w:ascii="Liberation Sans" w:hAnsi="Liberation Sans"/>
                <w:b w:val="0"/>
                <w:color w:val="1D2833"/>
                <w:sz w:val="15"/>
              </w:rPr>
              <w:t>uncertain_risk_action</w:t>
            </w:r>
          </w:p>
        </w:tc>
      </w:tr>
      <w:tr>
        <w:trPr>
          <w:cantSplit/>
        </w:trPr>
        <w:tc>
          <w:tcPr>
            <w:tcW w:type="dxa" w:w="2592"/>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tcPr>
          <w:p>
            <w:pPr>
              <w:spacing w:after="0"/>
            </w:pPr>
            <w:r>
              <w:rPr>
                <w:rFonts w:ascii="Liberation Sans" w:hAnsi="Liberation Sans"/>
                <w:b/>
                <w:color w:val="1D2833"/>
                <w:sz w:val="15"/>
              </w:rPr>
              <w:t>Q10</w:t>
            </w:r>
          </w:p>
        </w:tc>
        <w:tc>
          <w:tcPr>
            <w:tcW w:type="dxa" w:w="2592"/>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tcPr>
          <w:p>
            <w:pPr>
              <w:spacing w:after="0"/>
            </w:pPr>
            <w:r>
              <w:rPr>
                <w:rFonts w:ascii="Liberation Sans" w:hAnsi="Liberation Sans"/>
                <w:b w:val="0"/>
                <w:color w:val="1D2833"/>
                <w:sz w:val="15"/>
              </w:rPr>
              <w:t>Task relevance</w:t>
            </w:r>
          </w:p>
        </w:tc>
        <w:tc>
          <w:tcPr>
            <w:tcW w:type="dxa" w:w="2592"/>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tcPr>
          <w:p>
            <w:pPr>
              <w:spacing w:after="0"/>
            </w:pPr>
            <w:r>
              <w:rPr>
                <w:rFonts w:ascii="Liberation Sans" w:hAnsi="Liberation Sans"/>
                <w:b w:val="0"/>
                <w:color w:val="1D2833"/>
                <w:sz w:val="15"/>
              </w:rPr>
              <w:t>When sensitive content is visible but not needed for the task, should the system do nothing, remind only if serious, show a brief indicator, ask first, or avoid it unless requested?</w:t>
            </w:r>
          </w:p>
        </w:tc>
        <w:tc>
          <w:tcPr>
            <w:tcW w:type="dxa" w:w="2592"/>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tcPr>
          <w:p>
            <w:pPr>
              <w:spacing w:after="0"/>
            </w:pPr>
            <w:r>
              <w:rPr>
                <w:rFonts w:ascii="Liberation Sans" w:hAnsi="Liberation Sans"/>
                <w:b w:val="0"/>
                <w:color w:val="1D2833"/>
                <w:sz w:val="15"/>
              </w:rPr>
              <w:t>task_irrelevant_action</w:t>
            </w:r>
          </w:p>
        </w:tc>
      </w:tr>
    </w:tbl>
    <w:p>
      <w:pPr>
        <w:spacing w:before="0" w:after="20"/>
      </w:pPr>
    </w:p>
    <w:tbl>
      <w:tblPr>
        <w:tblW w:type="auto" w:w="0"/>
        <w:jc w:val="center"/>
        <w:tblLayout w:type="fixed"/>
        <w:tblLook w:firstColumn="1" w:firstRow="1" w:lastColumn="0" w:lastRow="0" w:noHBand="0" w:noVBand="1" w:val="04A0"/>
      </w:tblPr>
      <w:tblGrid>
        <w:gridCol w:w="10152"/>
      </w:tblGrid>
      <w:tr>
        <w:trPr>
          <w:cantSplit/>
          <w:tblHeader/>
        </w:trPr>
        <w:tc>
          <w:tcPr>
            <w:tcW w:type="dxa" w:w="10368"/>
            <w:shd w:fill="E8F4F2"/>
            <w:tcBorders>
              <w:top w:val="single" w:sz="8" w:color="1E6F78"/>
              <w:left w:val="single" w:sz="8" w:color="1E6F78"/>
              <w:bottom w:val="single" w:sz="8" w:color="1E6F78"/>
              <w:right w:val="single" w:sz="8" w:color="1E6F78"/>
              <w:insideH w:val="single" w:sz="8" w:color="1E6F78"/>
              <w:insideV w:val="single" w:sz="8" w:color="1E6F78"/>
            </w:tcBorders>
            <w:tcMar>
              <w:top w:w="90" w:type="dxa"/>
              <w:start w:w="110" w:type="dxa"/>
              <w:bottom w:w="90" w:type="dxa"/>
              <w:end w:w="110" w:type="dxa"/>
            </w:tcMar>
          </w:tcPr>
          <w:p>
            <w:pPr>
              <w:spacing w:after="40"/>
            </w:pPr>
            <w:r>
              <w:rPr>
                <w:rFonts w:ascii="Liberation Sans" w:hAnsi="Liberation Sans"/>
                <w:b/>
                <w:color w:val="1E6F78"/>
                <w:sz w:val="19"/>
              </w:rPr>
              <w:t>Timing target</w:t>
            </w:r>
          </w:p>
          <w:p>
            <w:pPr>
              <w:spacing w:after="0"/>
            </w:pPr>
            <w:r>
              <w:rPr>
                <w:rFonts w:ascii="Liberation Sans" w:hAnsi="Liberation Sans"/>
                <w:color w:val="1D2833"/>
                <w:sz w:val="18"/>
              </w:rPr>
              <w:t>The engineering target is a median completion time of about two minutes for Q10. Pilot readiness should require a median below three minutes, fewer than 5% skipped items, and no recurring comprehension error.</w:t>
            </w:r>
          </w:p>
        </w:tc>
      </w:tr>
    </w:tbl>
    <w:p>
      <w:pPr>
        <w:spacing w:before="0" w:after="20"/>
      </w:pPr>
    </w:p>
    <w:p>
      <w:pPr>
        <w:pStyle w:val="Heading1"/>
        <w:spacing w:before="0" w:after="80"/>
      </w:pPr>
      <w:r>
        <w:t>5. VPrivCal-Probe: three-scene, category-complete calibration</w:t>
      </w:r>
    </w:p>
    <w:p>
      <w:pPr>
        <w:spacing w:before="0" w:after="80"/>
      </w:pPr>
      <w:r>
        <w:t>The revised Probe removes the active baseline VLM task and does not restrict each image to two cues. Each scene begins with an unmarked image. Participants first click or tap any specific content they think the assistant should handle carefully. The interface maps the selected region to one or more researcher-verified detections and automatically proposes a category, which the participant can correct. After this unprompted pointing phase, the system reviews every predefined high-level category present in that scene, highlights the linked evidence, and asks two compact questions. This design preserves an initial awareness signal while achieving complete category coverage across the three scenarios.</w:t>
      </w:r>
    </w:p>
    <w:p>
      <w:pPr>
        <w:spacing w:after="40"/>
        <w:jc w:val="center"/>
      </w:pPr>
      <w:r>
        <w:drawing>
          <wp:inline xmlns:a="http://schemas.openxmlformats.org/drawingml/2006/main" xmlns:pic="http://schemas.openxmlformats.org/drawingml/2006/picture">
            <wp:extent cx="6446520" cy="3384423"/>
            <wp:docPr id="2" name="Picture 2" descr="Image: image2.png"/>
            <wp:cNvGraphicFramePr>
              <a:graphicFrameLocks noChangeAspect="1"/>
            </wp:cNvGraphicFramePr>
            <a:graphic>
              <a:graphicData uri="http://schemas.openxmlformats.org/drawingml/2006/picture">
                <pic:pic>
                  <pic:nvPicPr>
                    <pic:cNvPr id="0" name="vprivcal_probe_composite.png"/>
                    <pic:cNvPicPr/>
                  </pic:nvPicPr>
                  <pic:blipFill>
                    <a:blip r:embed="rId12"/>
                    <a:stretch>
                      <a:fillRect/>
                    </a:stretch>
                  </pic:blipFill>
                  <pic:spPr>
                    <a:xfrm>
                      <a:off x="0" y="0"/>
                      <a:ext cx="6446520" cy="3384423"/>
                    </a:xfrm>
                    <a:prstGeom prst="rect"/>
                  </pic:spPr>
                </pic:pic>
              </a:graphicData>
            </a:graphic>
          </wp:inline>
        </w:drawing>
      </w:r>
    </w:p>
    <w:p>
      <w:pPr>
        <w:pStyle w:val="FigureCaption"/>
        <w:spacing w:before="0" w:after="80"/>
        <w:jc w:val="center"/>
      </w:pPr>
      <w:r>
        <w:t>Figure 2. Revised VPrivCal-Probe stimuli. The set spans a private home party, a public cafe, and a semi-public hospital waiting area. Participants review all categories available in each scene; together, the three images cover all six high-level visual privacy categories.</w:t>
      </w:r>
    </w:p>
    <w:p>
      <w:pPr>
        <w:pStyle w:val="Heading2"/>
        <w:spacing w:before="0" w:after="80"/>
      </w:pPr>
      <w:r>
        <w:t>5.1 Scenario coverage and category completeness</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rPr>
          <w:tblHeader w:val="true"/>
          <w:cantSplit/>
        </w:trPr>
        <w:tc>
          <w:tcPr>
            <w:tcW w:type="dxa" w:w="1656"/>
            <w:shd w:fill="153B5B"/>
            <w:tcBorders>
              <w:top w:val="single" w:sz="4" w:color="FFFFFF"/>
              <w:left w:val="single" w:sz="4" w:color="FFFFFF"/>
              <w:bottom w:val="single" w:sz="4" w:color="FFFFFF"/>
              <w:right w:val="single" w:sz="4" w:color="FFFFFF"/>
              <w:insideH w:val="single" w:sz="4" w:color="FFFFFF"/>
              <w:insideV w:val="single" w:sz="4" w:color="FFFFFF"/>
            </w:tcBorders>
            <w:tcMar>
              <w:top w:w="70" w:type="dxa"/>
              <w:start w:w="90" w:type="dxa"/>
              <w:bottom w:w="70" w:type="dxa"/>
              <w:end w:w="90" w:type="dxa"/>
            </w:tcMar>
            <w:vAlign w:val="center"/>
          </w:tcPr>
          <w:p>
            <w:pPr>
              <w:spacing w:after="0"/>
            </w:pPr>
            <w:r>
              <w:t>Scene</w:t>
            </w:r>
          </w:p>
        </w:tc>
        <w:tc>
          <w:tcPr>
            <w:tcW w:type="dxa" w:w="3312"/>
            <w:shd w:fill="153B5B"/>
            <w:tcBorders>
              <w:top w:val="single" w:sz="4" w:color="FFFFFF"/>
              <w:left w:val="single" w:sz="4" w:color="FFFFFF"/>
              <w:bottom w:val="single" w:sz="4" w:color="FFFFFF"/>
              <w:right w:val="single" w:sz="4" w:color="FFFFFF"/>
              <w:insideH w:val="single" w:sz="4" w:color="FFFFFF"/>
              <w:insideV w:val="single" w:sz="4" w:color="FFFFFF"/>
            </w:tcBorders>
            <w:tcMar>
              <w:top w:w="70" w:type="dxa"/>
              <w:start w:w="90" w:type="dxa"/>
              <w:bottom w:w="70" w:type="dxa"/>
              <w:end w:w="90" w:type="dxa"/>
            </w:tcMar>
            <w:vAlign w:val="center"/>
          </w:tcPr>
          <w:p>
            <w:pPr>
              <w:spacing w:after="0"/>
            </w:pPr>
            <w:r>
              <w:t>Scenario context</w:t>
            </w:r>
          </w:p>
        </w:tc>
        <w:tc>
          <w:tcPr>
            <w:tcW w:type="dxa" w:w="2592"/>
            <w:shd w:fill="153B5B"/>
            <w:tcBorders>
              <w:top w:val="single" w:sz="4" w:color="FFFFFF"/>
              <w:left w:val="single" w:sz="4" w:color="FFFFFF"/>
              <w:bottom w:val="single" w:sz="4" w:color="FFFFFF"/>
              <w:right w:val="single" w:sz="4" w:color="FFFFFF"/>
              <w:insideH w:val="single" w:sz="4" w:color="FFFFFF"/>
              <w:insideV w:val="single" w:sz="4" w:color="FFFFFF"/>
            </w:tcBorders>
            <w:tcMar>
              <w:top w:w="70" w:type="dxa"/>
              <w:start w:w="90" w:type="dxa"/>
              <w:bottom w:w="70" w:type="dxa"/>
              <w:end w:w="90" w:type="dxa"/>
            </w:tcMar>
            <w:vAlign w:val="center"/>
          </w:tcPr>
          <w:p>
            <w:pPr>
              <w:spacing w:after="0"/>
            </w:pPr>
            <w:r>
              <w:t>Available high-level categories</w:t>
            </w:r>
          </w:p>
        </w:tc>
        <w:tc>
          <w:tcPr>
            <w:tcW w:type="dxa" w:w="2592"/>
            <w:shd w:fill="153B5B"/>
            <w:tcBorders>
              <w:top w:val="single" w:sz="4" w:color="FFFFFF"/>
              <w:left w:val="single" w:sz="4" w:color="FFFFFF"/>
              <w:bottom w:val="single" w:sz="4" w:color="FFFFFF"/>
              <w:right w:val="single" w:sz="4" w:color="FFFFFF"/>
              <w:insideH w:val="single" w:sz="4" w:color="FFFFFF"/>
              <w:insideV w:val="single" w:sz="4" w:color="FFFFFF"/>
            </w:tcBorders>
            <w:tcMar>
              <w:top w:w="70" w:type="dxa"/>
              <w:start w:w="90" w:type="dxa"/>
              <w:bottom w:w="70" w:type="dxa"/>
              <w:end w:w="90" w:type="dxa"/>
            </w:tcMar>
            <w:vAlign w:val="center"/>
          </w:tcPr>
          <w:p>
            <w:pPr>
              <w:spacing w:after="0"/>
            </w:pPr>
            <w:r>
              <w:t>Representative evidence</w:t>
            </w:r>
          </w:p>
        </w:tc>
      </w:tr>
      <w:tr>
        <w:trPr>
          <w:cantSplit/>
        </w:trPr>
        <w:tc>
          <w:tcPr>
            <w:tcW w:type="dxa" w:w="2592"/>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t>1. Private - indoor family party</w:t>
            </w:r>
          </w:p>
        </w:tc>
        <w:tc>
          <w:tcPr>
            <w:tcW w:type="dxa" w:w="2592"/>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t>A first-person view during a family birthday gathering inside a home.</w:t>
            </w:r>
          </w:p>
        </w:tc>
        <w:tc>
          <w:tcPr>
            <w:tcW w:type="dxa" w:w="2592"/>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t>Biometric Data; Children Images; PII; Legal Sensitivity Information; Personal Life.</w:t>
            </w:r>
          </w:p>
        </w:tc>
        <w:tc>
          <w:tcPr>
            <w:tcW w:type="dxa" w:w="2592"/>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t>Family faces, an identifiable child, a school report card, a wall-mounted rifle, family photographs, toys, and home/family context.</w:t>
            </w:r>
          </w:p>
        </w:tc>
      </w:tr>
      <w:tr>
        <w:trPr>
          <w:cantSplit/>
        </w:trPr>
        <w:tc>
          <w:tcPr>
            <w:tcW w:type="dxa" w:w="2592"/>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tcPr>
          <w:p>
            <w:pPr>
              <w:spacing w:after="0"/>
            </w:pPr>
            <w:r>
              <w:t>2. Public - busy cafe</w:t>
            </w:r>
          </w:p>
        </w:tc>
        <w:tc>
          <w:tcPr>
            <w:tcW w:type="dxa" w:w="2592"/>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tcPr>
          <w:p>
            <w:pPr>
              <w:spacing w:after="0"/>
            </w:pPr>
            <w:r>
              <w:t>A first-person view while using a laptop and writing notes in a crowded cafe.</w:t>
            </w:r>
          </w:p>
        </w:tc>
        <w:tc>
          <w:tcPr>
            <w:tcW w:type="dxa" w:w="2592"/>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tcPr>
          <w:p>
            <w:pPr>
              <w:spacing w:after="0"/>
            </w:pPr>
            <w:r>
              <w:t>Biometric Data; Children Images; PII; Background Individuals.</w:t>
            </w:r>
          </w:p>
        </w:tc>
        <w:tc>
          <w:tcPr>
            <w:tcW w:type="dxa" w:w="2592"/>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tcPr>
          <w:p>
            <w:pPr>
              <w:spacing w:after="0"/>
            </w:pPr>
            <w:r>
              <w:t>Patron faces, a child, visible laptop email, phone contact details, a receipt, and incidental cafe bystanders.</w:t>
            </w:r>
          </w:p>
        </w:tc>
      </w:tr>
      <w:tr>
        <w:trPr>
          <w:cantSplit/>
        </w:trPr>
        <w:tc>
          <w:tcPr>
            <w:tcW w:type="dxa" w:w="2592"/>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t>3. Semi-public - hospital waiting area</w:t>
            </w:r>
          </w:p>
        </w:tc>
        <w:tc>
          <w:tcPr>
            <w:tcW w:type="dxa" w:w="2592"/>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t>A first-person view while holding medical documents in a hospital waiting area.</w:t>
            </w:r>
          </w:p>
        </w:tc>
        <w:tc>
          <w:tcPr>
            <w:tcW w:type="dxa" w:w="2592"/>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t>Biometric Data; PII; Background Individuals.</w:t>
            </w:r>
          </w:p>
        </w:tc>
        <w:tc>
          <w:tcPr>
            <w:tcW w:type="dxa" w:w="2592"/>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t>Patient and staff faces, an intake form, prescription label, patient wristband, and waiting-room bystanders.</w:t>
            </w:r>
          </w:p>
        </w:tc>
      </w:tr>
    </w:tbl>
    <w:p>
      <w:pPr>
        <w:spacing w:before="0" w:after="20"/>
      </w:pPr>
    </w:p>
    <w:p>
      <w:pPr>
        <w:pStyle w:val="Heading2"/>
      </w:pPr>
      <w:r>
        <w:t>5.2 Point-first, reveal-second interaction</w:t>
      </w:r>
    </w:p>
    <w:p>
      <w:pPr/>
      <w:r>
        <w:t>The image is initially shown without overlays. A participant may click multiple regions. The interface converts each click to normalized image coordinates, matches it against the detection file, selects the smallest valid overlapping region, and proposes the detection’s primary category. Participants can change the category, delete a selection, or draw a manual region when no detection matches. Only after the participant submits this first pass does the interface reveal the scene’s complete category list and category-linked evidence. This avoids using the VLM detections to prime the initial search while still ensuring that every available category is evaluated.</w:t>
      </w:r>
    </w:p>
    <w:tbl>
      <w:tblPr>
        <w:tblStyle w:val="TableGrid"/>
        <w:tblW w:type="auto" w:w="0"/>
        <w:tblLook w:firstColumn="1" w:firstRow="1" w:lastColumn="0" w:lastRow="0" w:noHBand="0" w:noVBand="1" w:val="04A0"/>
      </w:tblPr>
      <w:tblGrid>
        <w:gridCol w:w="2592"/>
        <w:gridCol w:w="2592"/>
        <w:gridCol w:w="2592"/>
        <w:gridCol w:w="2592"/>
      </w:tblGrid>
      <w:tr>
        <w:tc>
          <w:tcPr>
            <w:tcW w:type="dxa" w:w="2592"/>
          </w:tcPr>
          <w:p>
            <w:pPr>
              <w:spacing w:after="0"/>
            </w:pPr>
            <w:r>
              <w:t>Phase</w:t>
            </w:r>
          </w:p>
        </w:tc>
        <w:tc>
          <w:tcPr>
            <w:tcW w:type="dxa" w:w="2592"/>
          </w:tcPr>
          <w:p>
            <w:pPr>
              <w:spacing w:after="0"/>
            </w:pPr>
            <w:r>
              <w:t>Participant view</w:t>
            </w:r>
          </w:p>
        </w:tc>
        <w:tc>
          <w:tcPr>
            <w:tcW w:type="dxa" w:w="2592"/>
          </w:tcPr>
          <w:p>
            <w:pPr>
              <w:spacing w:after="0"/>
            </w:pPr>
            <w:r>
              <w:t>System behavior</w:t>
            </w:r>
          </w:p>
        </w:tc>
        <w:tc>
          <w:tcPr>
            <w:tcW w:type="dxa" w:w="2592"/>
          </w:tcPr>
          <w:p>
            <w:pPr>
              <w:spacing w:after="0"/>
            </w:pPr>
            <w:r>
              <w:t>Recorded signal</w:t>
            </w:r>
          </w:p>
        </w:tc>
        <w:trPr>
          <w:tblHeader/>
        </w:trPr>
      </w:tr>
      <w:tr>
        <w:tc>
          <w:tcPr>
            <w:tcW w:type="dxa" w:w="2592"/>
          </w:tcPr>
          <w:p>
            <w:pPr>
              <w:spacing w:after="0"/>
            </w:pPr>
            <w:r>
              <w:t>A. Unprompted pointing</w:t>
            </w:r>
          </w:p>
        </w:tc>
        <w:tc>
          <w:tcPr>
            <w:tcW w:type="dxa" w:w="2592"/>
          </w:tcPr>
          <w:p>
            <w:pPr>
              <w:spacing w:after="0"/>
            </w:pPr>
            <w:r>
              <w:t>Clean image without boxes or category labels.</w:t>
            </w:r>
          </w:p>
        </w:tc>
        <w:tc>
          <w:tcPr>
            <w:tcW w:type="dxa" w:w="2592"/>
          </w:tcPr>
          <w:p>
            <w:pPr>
              <w:spacing w:after="0"/>
            </w:pPr>
            <w:r>
              <w:t>Hit-test clicks against normalized detection boxes; propose a category but allow correction.</w:t>
            </w:r>
          </w:p>
        </w:tc>
        <w:tc>
          <w:tcPr>
            <w:tcW w:type="dxa" w:w="2592"/>
          </w:tcPr>
          <w:p>
            <w:pPr>
              <w:spacing w:after="0"/>
            </w:pPr>
            <w:r>
              <w:t>Clicked coordinates, matched detection IDs, spontaneous category selections, corrections, and unmatched manual regions.</w:t>
            </w:r>
          </w:p>
        </w:tc>
      </w:tr>
      <w:tr>
        <w:tc>
          <w:tcPr>
            <w:tcW w:type="dxa" w:w="2592"/>
          </w:tcPr>
          <w:p>
            <w:pPr>
              <w:spacing w:after="0"/>
            </w:pPr>
            <w:r>
              <w:t>B. Category-complete review</w:t>
            </w:r>
          </w:p>
        </w:tc>
        <w:tc>
          <w:tcPr>
            <w:tcW w:type="dxa" w:w="2592"/>
          </w:tcPr>
          <w:p>
            <w:pPr>
              <w:spacing w:after="0"/>
            </w:pPr>
            <w:r>
              <w:t>All predefined categories present in the scene, one card at a time.</w:t>
            </w:r>
          </w:p>
        </w:tc>
        <w:tc>
          <w:tcPr>
            <w:tcW w:type="dxa" w:w="2592"/>
          </w:tcPr>
          <w:p>
            <w:pPr>
              <w:spacing w:after="0"/>
            </w:pPr>
            <w:r>
              <w:t>Highlight all evidence linked to the active category only after the participant opens the card.</w:t>
            </w:r>
          </w:p>
        </w:tc>
        <w:tc>
          <w:tcPr>
            <w:tcW w:type="dxa" w:w="2592"/>
          </w:tcPr>
          <w:p>
            <w:pPr>
              <w:spacing w:after="0"/>
            </w:pPr>
            <w:r>
              <w:t>Awareness status and preferred action for each category-image pair.</w:t>
            </w:r>
          </w:p>
        </w:tc>
      </w:tr>
      <w:tr>
        <w:tc>
          <w:tcPr>
            <w:tcW w:type="dxa" w:w="2592"/>
          </w:tcPr>
          <w:p>
            <w:pPr>
              <w:spacing w:after="0"/>
            </w:pPr>
            <w:r>
              <w:t>C. Policy update</w:t>
            </w:r>
          </w:p>
        </w:tc>
        <w:tc>
          <w:tcPr>
            <w:tcW w:type="dxa" w:w="2592"/>
          </w:tcPr>
          <w:p>
            <w:pPr>
              <w:spacing w:after="0"/>
            </w:pPr>
            <w:r>
              <w:t>Concise summary of category defaults and contextual corrections.</w:t>
            </w:r>
          </w:p>
        </w:tc>
        <w:tc>
          <w:tcPr>
            <w:tcW w:type="dxa" w:w="2592"/>
          </w:tcPr>
          <w:p>
            <w:pPr>
              <w:spacing w:after="0"/>
            </w:pPr>
            <w:r>
              <w:t>Combine Q10 priors with Probe responses while retaining scene type.</w:t>
            </w:r>
          </w:p>
        </w:tc>
        <w:tc>
          <w:tcPr>
            <w:tcW w:type="dxa" w:w="2592"/>
          </w:tcPr>
          <w:p>
            <w:pPr>
              <w:spacing w:after="0"/>
            </w:pPr>
            <w:r>
              <w:t>Personalized intervention level by category and contextual exceptions.</w:t>
            </w:r>
          </w:p>
        </w:tc>
      </w:tr>
      <w:tr>
        <w:tc>
          <w:tcPr>
            <w:tcW w:type="dxa" w:w="2592"/>
          </w:tcPr>
          <w:p>
            <w:pPr>
              <w:spacing w:after="0"/>
            </w:pPr>
            <w:r>
              <w:t>D. Export</w:t>
            </w:r>
          </w:p>
        </w:tc>
        <w:tc>
          <w:tcPr>
            <w:tcW w:type="dxa" w:w="2592"/>
          </w:tcPr>
          <w:p>
            <w:pPr>
              <w:spacing w:after="0"/>
            </w:pPr>
            <w:r>
              <w:t>Completion summary.</w:t>
            </w:r>
          </w:p>
        </w:tc>
        <w:tc>
          <w:tcPr>
            <w:tcW w:type="dxa" w:w="2592"/>
          </w:tcPr>
          <w:p>
            <w:pPr>
              <w:spacing w:after="0"/>
            </w:pPr>
            <w:r>
              <w:t>Save a de-identified JSON record for later analysis.</w:t>
            </w:r>
          </w:p>
        </w:tc>
        <w:tc>
          <w:tcPr>
            <w:tcW w:type="dxa" w:w="2592"/>
          </w:tcPr>
          <w:p>
            <w:pPr>
              <w:spacing w:after="0"/>
            </w:pPr>
            <w:r>
              <w:t>Timing, click mapping, category corrections, awareness, actions, and profile confirmation.</w:t>
            </w:r>
          </w:p>
        </w:tc>
      </w:tr>
    </w:tbl>
    <w:p>
      <w:pPr>
        <w:pStyle w:val="Heading2"/>
        <w:spacing w:before="0" w:after="80"/>
      </w:pPr>
      <w:r>
        <w:t>5.3 Two questions per category-image pair</w:t>
      </w:r>
    </w:p>
    <w:tbl>
      <w:tblPr>
        <w:tblW w:type="auto" w:w="0"/>
        <w:jc w:val="center"/>
        <w:tblLayout w:type="fixed"/>
        <w:tblLook w:firstColumn="1" w:firstRow="1" w:lastColumn="0" w:lastRow="0" w:noHBand="0" w:noVBand="1" w:val="04A0"/>
      </w:tblPr>
      <w:tblGrid>
        <w:gridCol w:w="10152"/>
      </w:tblGrid>
      <w:tr>
        <w:trPr>
          <w:cantSplit/>
          <w:tblHeader/>
        </w:trPr>
        <w:tc>
          <w:tcPr>
            <w:tcW w:type="dxa" w:w="10368"/>
            <w:shd w:fill="F1ECFA"/>
            <w:tcBorders>
              <w:top w:val="single" w:sz="8" w:color="7255A6"/>
              <w:left w:val="single" w:sz="8" w:color="7255A6"/>
              <w:bottom w:val="single" w:sz="8" w:color="7255A6"/>
              <w:right w:val="single" w:sz="8" w:color="7255A6"/>
              <w:insideH w:val="single" w:sz="8" w:color="7255A6"/>
              <w:insideV w:val="single" w:sz="8" w:color="7255A6"/>
            </w:tcBorders>
            <w:tcMar>
              <w:top w:w="90" w:type="dxa"/>
              <w:start w:w="110" w:type="dxa"/>
              <w:bottom w:w="90" w:type="dxa"/>
              <w:end w:w="110" w:type="dxa"/>
            </w:tcMar>
          </w:tcPr>
          <w:p>
            <w:pPr>
              <w:spacing w:after="0"/>
            </w:pPr>
            <w:r>
              <w:t>Question A: awareness status</w:t>
              <w:br/>
              <w:t>Before the content supporting this category was highlighted, which best describes your experience?</w:t>
              <w:br/>
              <w:t>1 Already noticed it and considered the privacy implication.</w:t>
              <w:br/>
              <w:t>2 Noticed it but had not considered the privacy implication.</w:t>
              <w:br/>
              <w:t>3 Had not noticed it, or did not realize the VLM could detect or infer it.</w:t>
              <w:br/>
              <w:t>4 I do not consider it a privacy concern in this situation.</w:t>
            </w:r>
          </w:p>
        </w:tc>
      </w:tr>
    </w:tbl>
    <w:p>
      <w:pPr>
        <w:spacing w:before="0" w:after="20"/>
      </w:pPr>
    </w:p>
    <w:tbl>
      <w:tblPr>
        <w:tblW w:type="auto" w:w="0"/>
        <w:jc w:val="center"/>
        <w:tblLayout w:type="fixed"/>
        <w:tblLook w:firstColumn="1" w:firstRow="1" w:lastColumn="0" w:lastRow="0" w:noHBand="0" w:noVBand="1" w:val="04A0"/>
      </w:tblPr>
      <w:tblGrid>
        <w:gridCol w:w="10152"/>
      </w:tblGrid>
      <w:tr>
        <w:trPr>
          <w:cantSplit/>
          <w:tblHeader/>
        </w:trPr>
        <w:tc>
          <w:tcPr>
            <w:tcW w:type="dxa" w:w="10368"/>
            <w:shd w:fill="EAF3F8"/>
            <w:tcBorders>
              <w:top w:val="single" w:sz="8" w:color="153B5B"/>
              <w:left w:val="single" w:sz="8" w:color="153B5B"/>
              <w:bottom w:val="single" w:sz="8" w:color="153B5B"/>
              <w:right w:val="single" w:sz="8" w:color="153B5B"/>
              <w:insideH w:val="single" w:sz="8" w:color="153B5B"/>
              <w:insideV w:val="single" w:sz="8" w:color="153B5B"/>
            </w:tcBorders>
            <w:tcMar>
              <w:top w:w="90" w:type="dxa"/>
              <w:start w:w="110" w:type="dxa"/>
              <w:bottom w:w="90" w:type="dxa"/>
              <w:end w:w="110" w:type="dxa"/>
            </w:tcMar>
          </w:tcPr>
          <w:p>
            <w:pPr>
              <w:spacing w:after="0"/>
            </w:pPr>
            <w:r>
              <w:t>Question B: preferred action</w:t>
              <w:br/>
              <w:t>When similar content in this category appears in the future, what should the assistant do?</w:t>
              <w:br/>
              <w:t>1 No intervention.</w:t>
              <w:br/>
              <w:t>2 Handle it silently.</w:t>
              <w:br/>
              <w:t>3 Give a brief reminder.</w:t>
              <w:br/>
              <w:t>4 Ask before using it.</w:t>
              <w:br/>
              <w:t>5 Avoid using it unless I explicitly request it.</w:t>
            </w:r>
          </w:p>
        </w:tc>
      </w:tr>
    </w:tbl>
    <w:p>
      <w:pPr>
        <w:spacing w:before="0" w:after="20"/>
      </w:pP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024"/>
            <w:shd w:fill="153B5B"/>
            <w:tcBorders>
              <w:top w:val="single" w:sz="4" w:color="FFFFFF"/>
              <w:left w:val="single" w:sz="4" w:color="FFFFFF"/>
              <w:bottom w:val="single" w:sz="4" w:color="FFFFFF"/>
              <w:right w:val="single" w:sz="4" w:color="FFFFFF"/>
              <w:insideH w:val="single" w:sz="4" w:color="FFFFFF"/>
              <w:insideV w:val="single" w:sz="4" w:color="FFFFFF"/>
            </w:tcBorders>
            <w:tcMar>
              <w:top w:w="70" w:type="dxa"/>
              <w:start w:w="90" w:type="dxa"/>
              <w:bottom w:w="70" w:type="dxa"/>
              <w:end w:w="90" w:type="dxa"/>
            </w:tcMar>
            <w:vAlign w:val="center"/>
          </w:tcPr>
          <w:p>
            <w:pPr>
              <w:jc w:val="left"/>
            </w:pPr>
            <w:r>
              <w:rPr>
                <w:rFonts w:ascii="Liberation Sans" w:hAnsi="Liberation Sans"/>
                <w:b/>
                <w:color w:val="FFFFFF"/>
                <w:sz w:val="16"/>
              </w:rPr>
              <w:t>Response to Question A</w:t>
            </w:r>
          </w:p>
        </w:tc>
        <w:tc>
          <w:tcPr>
            <w:tcW w:type="dxa" w:w="7128"/>
            <w:shd w:fill="153B5B"/>
            <w:tcBorders>
              <w:top w:val="single" w:sz="4" w:color="FFFFFF"/>
              <w:left w:val="single" w:sz="4" w:color="FFFFFF"/>
              <w:bottom w:val="single" w:sz="4" w:color="FFFFFF"/>
              <w:right w:val="single" w:sz="4" w:color="FFFFFF"/>
              <w:insideH w:val="single" w:sz="4" w:color="FFFFFF"/>
              <w:insideV w:val="single" w:sz="4" w:color="FFFFFF"/>
            </w:tcBorders>
            <w:tcMar>
              <w:top w:w="70" w:type="dxa"/>
              <w:start w:w="90" w:type="dxa"/>
              <w:bottom w:w="70" w:type="dxa"/>
              <w:end w:w="90" w:type="dxa"/>
            </w:tcMar>
            <w:vAlign w:val="center"/>
          </w:tcPr>
          <w:p>
            <w:pPr>
              <w:jc w:val="left"/>
            </w:pPr>
            <w:r>
              <w:rPr>
                <w:rFonts w:ascii="Liberation Sans" w:hAnsi="Liberation Sans"/>
                <w:b/>
                <w:color w:val="FFFFFF"/>
                <w:sz w:val="16"/>
              </w:rPr>
              <w:t>Interpretation</w:t>
            </w:r>
          </w:p>
        </w:tc>
      </w:tr>
      <w:tr>
        <w:trPr>
          <w:cantSplit/>
        </w:trPr>
        <w:tc>
          <w:tcPr>
            <w:tcW w:type="dxa" w:w="5184"/>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rPr>
                <w:rFonts w:ascii="Liberation Sans" w:hAnsi="Liberation Sans"/>
                <w:b/>
                <w:color w:val="1D2833"/>
                <w:sz w:val="16"/>
              </w:rPr>
              <w:t>1</w:t>
            </w:r>
          </w:p>
        </w:tc>
        <w:tc>
          <w:tcPr>
            <w:tcW w:type="dxa" w:w="5184"/>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rPr>
                <w:rFonts w:ascii="Liberation Sans" w:hAnsi="Liberation Sans"/>
                <w:b w:val="0"/>
                <w:color w:val="1D2833"/>
                <w:sz w:val="16"/>
              </w:rPr>
              <w:t>Already privacy-aware.</w:t>
            </w:r>
          </w:p>
        </w:tc>
      </w:tr>
      <w:tr>
        <w:trPr>
          <w:cantSplit/>
        </w:trPr>
        <w:tc>
          <w:tcPr>
            <w:tcW w:type="dxa" w:w="5184"/>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tcPr>
          <w:p>
            <w:pPr>
              <w:spacing w:after="0"/>
            </w:pPr>
            <w:r>
              <w:rPr>
                <w:rFonts w:ascii="Liberation Sans" w:hAnsi="Liberation Sans"/>
                <w:b/>
                <w:color w:val="1D2833"/>
                <w:sz w:val="16"/>
              </w:rPr>
              <w:t>2</w:t>
            </w:r>
          </w:p>
        </w:tc>
        <w:tc>
          <w:tcPr>
            <w:tcW w:type="dxa" w:w="5184"/>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tcPr>
          <w:p>
            <w:pPr>
              <w:spacing w:after="0"/>
            </w:pPr>
            <w:r>
              <w:rPr>
                <w:rFonts w:ascii="Liberation Sans" w:hAnsi="Liberation Sans"/>
                <w:b w:val="0"/>
                <w:color w:val="1D2833"/>
                <w:sz w:val="16"/>
              </w:rPr>
              <w:t>Interpretive gap: the cue was perceived, but its privacy implication was not considered.</w:t>
            </w:r>
          </w:p>
        </w:tc>
      </w:tr>
      <w:tr>
        <w:trPr>
          <w:cantSplit/>
        </w:trPr>
        <w:tc>
          <w:tcPr>
            <w:tcW w:type="dxa" w:w="5184"/>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rPr>
                <w:rFonts w:ascii="Liberation Sans" w:hAnsi="Liberation Sans"/>
                <w:b/>
                <w:color w:val="1D2833"/>
                <w:sz w:val="16"/>
              </w:rPr>
              <w:t>3</w:t>
            </w:r>
          </w:p>
        </w:tc>
        <w:tc>
          <w:tcPr>
            <w:tcW w:type="dxa" w:w="5184"/>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rPr>
                <w:rFonts w:ascii="Liberation Sans" w:hAnsi="Liberation Sans"/>
                <w:b w:val="0"/>
                <w:color w:val="1D2833"/>
                <w:sz w:val="16"/>
              </w:rPr>
              <w:t>Perceptual or capability gap: the cue was not noticed, or the participant did not realize the VLM could detect/infer it.</w:t>
            </w:r>
          </w:p>
        </w:tc>
      </w:tr>
      <w:tr>
        <w:trPr>
          <w:cantSplit/>
        </w:trPr>
        <w:tc>
          <w:tcPr>
            <w:tcW w:type="dxa" w:w="5184"/>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tcPr>
          <w:p>
            <w:pPr>
              <w:spacing w:after="0"/>
            </w:pPr>
            <w:r>
              <w:rPr>
                <w:rFonts w:ascii="Liberation Sans" w:hAnsi="Liberation Sans"/>
                <w:b/>
                <w:color w:val="1D2833"/>
                <w:sz w:val="16"/>
              </w:rPr>
              <w:t>4</w:t>
            </w:r>
          </w:p>
        </w:tc>
        <w:tc>
          <w:tcPr>
            <w:tcW w:type="dxa" w:w="5184"/>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tcPr>
          <w:p>
            <w:pPr>
              <w:spacing w:after="0"/>
            </w:pPr>
            <w:r>
              <w:rPr>
                <w:rFonts w:ascii="Liberation Sans" w:hAnsi="Liberation Sans"/>
                <w:b w:val="0"/>
                <w:color w:val="1D2833"/>
                <w:sz w:val="16"/>
              </w:rPr>
              <w:t>Rejected cue: valid content may exist, but the participant does not regard it as a privacy concern in context.</w:t>
            </w:r>
          </w:p>
        </w:tc>
      </w:tr>
    </w:tbl>
    <w:p>
      <w:pPr>
        <w:spacing w:before="0" w:after="20"/>
      </w:pPr>
    </w:p>
    <w:tbl>
      <w:tblPr>
        <w:tblW w:type="auto" w:w="0"/>
        <w:jc w:val="center"/>
        <w:tblLayout w:type="fixed"/>
        <w:tblLook w:firstColumn="1" w:firstRow="1" w:lastColumn="0" w:lastRow="0" w:noHBand="0" w:noVBand="1" w:val="04A0"/>
      </w:tblPr>
      <w:tblGrid>
        <w:gridCol w:w="10152"/>
      </w:tblGrid>
      <w:tr>
        <w:trPr>
          <w:cantSplit/>
          <w:tblHeader/>
        </w:trPr>
        <w:tc>
          <w:tcPr>
            <w:tcW w:type="dxa" w:w="10368"/>
            <w:shd w:fill="FFF0E6"/>
            <w:tcBorders>
              <w:top w:val="single" w:sz="8" w:color="C85F1A"/>
              <w:left w:val="single" w:sz="8" w:color="C85F1A"/>
              <w:bottom w:val="single" w:sz="8" w:color="C85F1A"/>
              <w:right w:val="single" w:sz="8" w:color="C85F1A"/>
              <w:insideH w:val="single" w:sz="8" w:color="C85F1A"/>
              <w:insideV w:val="single" w:sz="8" w:color="C85F1A"/>
            </w:tcBorders>
            <w:tcMar>
              <w:top w:w="90" w:type="dxa"/>
              <w:start w:w="110" w:type="dxa"/>
              <w:bottom w:w="90" w:type="dxa"/>
              <w:end w:w="110" w:type="dxa"/>
            </w:tcMar>
          </w:tcPr>
          <w:p>
            <w:pPr>
              <w:spacing w:after="0"/>
            </w:pPr>
            <w:r>
              <w:t>Critical interpretation rule</w:t>
              <w:br/>
              <w:t>An awareness gap does not automatically imply a reminder need. Question A characterizes awareness; Question B determines the desired intervention and is the primary signal used to update the policy.</w:t>
            </w:r>
          </w:p>
        </w:tc>
      </w:tr>
    </w:tbl>
    <w:p>
      <w:pPr>
        <w:spacing w:before="0" w:after="20"/>
      </w:pPr>
    </w:p>
    <w:p>
      <w:pPr>
        <w:pStyle w:val="Heading1"/>
        <w:spacing w:before="0" w:after="80"/>
      </w:pPr>
      <w:r>
        <w:rPr>
          <w:rFonts w:ascii="Liberation Sans" w:hAnsi="Liberation Sans"/>
          <w:b w:val="0"/>
          <w:i w:val="0"/>
        </w:rPr>
        <w:t>6. Personalized policy construction</w:t>
      </w:r>
    </w:p>
    <w:p>
      <w:pPr>
        <w:spacing w:before="0" w:after="80"/>
      </w:pPr>
      <w:r>
        <w:t>The base VLM supplies candidate detections, while a transparent policy layer decides whether to suppress, handle silently, remind, ask, or avoid. The study should not fine-tune the VLM from the small number of category-by-scene judgments. The purpose is to test whether the elicited signals are actionable and generalize to held-out video cases.</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cantSplit/>
        </w:trPr>
        <w:tc>
          <w:tcPr>
            <w:tcW w:type="dxa" w:w="1152"/>
            <w:shd w:fill="153B5B"/>
            <w:tcBorders>
              <w:top w:val="single" w:sz="4" w:color="FFFFFF"/>
              <w:left w:val="single" w:sz="4" w:color="FFFFFF"/>
              <w:bottom w:val="single" w:sz="4" w:color="FFFFFF"/>
              <w:right w:val="single" w:sz="4" w:color="FFFFFF"/>
              <w:insideH w:val="single" w:sz="4" w:color="FFFFFF"/>
              <w:insideV w:val="single" w:sz="4" w:color="FFFFFF"/>
            </w:tcBorders>
            <w:tcMar>
              <w:top w:w="70" w:type="dxa"/>
              <w:start w:w="90" w:type="dxa"/>
              <w:bottom w:w="70" w:type="dxa"/>
              <w:end w:w="90" w:type="dxa"/>
            </w:tcMar>
            <w:vAlign w:val="center"/>
          </w:tcPr>
          <w:p>
            <w:pPr>
              <w:jc w:val="left"/>
            </w:pPr>
            <w:r>
              <w:rPr>
                <w:rFonts w:ascii="Liberation Sans" w:hAnsi="Liberation Sans"/>
                <w:b/>
                <w:color w:val="FFFFFF"/>
                <w:sz w:val="17"/>
              </w:rPr>
              <w:t>Action level</w:t>
            </w:r>
          </w:p>
        </w:tc>
        <w:tc>
          <w:tcPr>
            <w:tcW w:type="dxa" w:w="2016"/>
            <w:shd w:fill="153B5B"/>
            <w:tcBorders>
              <w:top w:val="single" w:sz="4" w:color="FFFFFF"/>
              <w:left w:val="single" w:sz="4" w:color="FFFFFF"/>
              <w:bottom w:val="single" w:sz="4" w:color="FFFFFF"/>
              <w:right w:val="single" w:sz="4" w:color="FFFFFF"/>
              <w:insideH w:val="single" w:sz="4" w:color="FFFFFF"/>
              <w:insideV w:val="single" w:sz="4" w:color="FFFFFF"/>
            </w:tcBorders>
            <w:tcMar>
              <w:top w:w="70" w:type="dxa"/>
              <w:start w:w="90" w:type="dxa"/>
              <w:bottom w:w="70" w:type="dxa"/>
              <w:end w:w="90" w:type="dxa"/>
            </w:tcMar>
            <w:vAlign w:val="center"/>
          </w:tcPr>
          <w:p>
            <w:pPr>
              <w:jc w:val="left"/>
            </w:pPr>
            <w:r>
              <w:rPr>
                <w:rFonts w:ascii="Liberation Sans" w:hAnsi="Liberation Sans"/>
                <w:b/>
                <w:color w:val="FFFFFF"/>
                <w:sz w:val="17"/>
              </w:rPr>
              <w:t>Label</w:t>
            </w:r>
          </w:p>
        </w:tc>
        <w:tc>
          <w:tcPr>
            <w:tcW w:type="dxa" w:w="6984"/>
            <w:shd w:fill="153B5B"/>
            <w:tcBorders>
              <w:top w:val="single" w:sz="4" w:color="FFFFFF"/>
              <w:left w:val="single" w:sz="4" w:color="FFFFFF"/>
              <w:bottom w:val="single" w:sz="4" w:color="FFFFFF"/>
              <w:right w:val="single" w:sz="4" w:color="FFFFFF"/>
              <w:insideH w:val="single" w:sz="4" w:color="FFFFFF"/>
              <w:insideV w:val="single" w:sz="4" w:color="FFFFFF"/>
            </w:tcBorders>
            <w:tcMar>
              <w:top w:w="70" w:type="dxa"/>
              <w:start w:w="90" w:type="dxa"/>
              <w:bottom w:w="70" w:type="dxa"/>
              <w:end w:w="90" w:type="dxa"/>
            </w:tcMar>
            <w:vAlign w:val="center"/>
          </w:tcPr>
          <w:p>
            <w:pPr>
              <w:jc w:val="left"/>
            </w:pPr>
            <w:r>
              <w:rPr>
                <w:rFonts w:ascii="Liberation Sans" w:hAnsi="Liberation Sans"/>
                <w:b/>
                <w:color w:val="FFFFFF"/>
                <w:sz w:val="17"/>
              </w:rPr>
              <w:t>System behavior</w:t>
            </w:r>
          </w:p>
        </w:tc>
      </w:tr>
      <w:tr>
        <w:trPr>
          <w:cantSplit/>
        </w:trPr>
        <w:tc>
          <w:tcPr>
            <w:tcW w:type="dxa" w:w="3456"/>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rPr>
                <w:rFonts w:ascii="Liberation Sans" w:hAnsi="Liberation Sans"/>
                <w:b/>
                <w:color w:val="1D2833"/>
                <w:sz w:val="17"/>
              </w:rPr>
              <w:t>0</w:t>
            </w:r>
          </w:p>
        </w:tc>
        <w:tc>
          <w:tcPr>
            <w:tcW w:type="dxa" w:w="3456"/>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rPr>
                <w:rFonts w:ascii="Liberation Sans" w:hAnsi="Liberation Sans"/>
                <w:b w:val="0"/>
                <w:color w:val="1D2833"/>
                <w:sz w:val="17"/>
              </w:rPr>
              <w:t>No intervention</w:t>
            </w:r>
          </w:p>
        </w:tc>
        <w:tc>
          <w:tcPr>
            <w:tcW w:type="dxa" w:w="3456"/>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rPr>
                <w:rFonts w:ascii="Liberation Sans" w:hAnsi="Liberation Sans"/>
                <w:b w:val="0"/>
                <w:color w:val="1D2833"/>
                <w:sz w:val="17"/>
              </w:rPr>
              <w:t>Do not surface a reminder.</w:t>
            </w:r>
          </w:p>
        </w:tc>
      </w:tr>
      <w:tr>
        <w:trPr>
          <w:cantSplit/>
        </w:trPr>
        <w:tc>
          <w:tcPr>
            <w:tcW w:type="dxa" w:w="3456"/>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tcPr>
          <w:p>
            <w:pPr>
              <w:spacing w:after="0"/>
            </w:pPr>
            <w:r>
              <w:rPr>
                <w:rFonts w:ascii="Liberation Sans" w:hAnsi="Liberation Sans"/>
                <w:b/>
                <w:color w:val="1D2833"/>
                <w:sz w:val="17"/>
              </w:rPr>
              <w:t>1</w:t>
            </w:r>
          </w:p>
        </w:tc>
        <w:tc>
          <w:tcPr>
            <w:tcW w:type="dxa" w:w="3456"/>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tcPr>
          <w:p>
            <w:pPr>
              <w:spacing w:after="0"/>
            </w:pPr>
            <w:r>
              <w:rPr>
                <w:rFonts w:ascii="Liberation Sans" w:hAnsi="Liberation Sans"/>
                <w:b w:val="0"/>
                <w:color w:val="1D2833"/>
                <w:sz w:val="17"/>
              </w:rPr>
              <w:t>Silent handling</w:t>
            </w:r>
          </w:p>
        </w:tc>
        <w:tc>
          <w:tcPr>
            <w:tcW w:type="dxa" w:w="3456"/>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tcPr>
          <w:p>
            <w:pPr>
              <w:spacing w:after="0"/>
            </w:pPr>
            <w:r>
              <w:rPr>
                <w:rFonts w:ascii="Liberation Sans" w:hAnsi="Liberation Sans"/>
                <w:b w:val="0"/>
                <w:color w:val="1D2833"/>
                <w:sz w:val="17"/>
              </w:rPr>
              <w:t>Use only as needed without interrupting or mentioning unnecessary detail.</w:t>
            </w:r>
          </w:p>
        </w:tc>
      </w:tr>
      <w:tr>
        <w:trPr>
          <w:cantSplit/>
        </w:trPr>
        <w:tc>
          <w:tcPr>
            <w:tcW w:type="dxa" w:w="3456"/>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rPr>
                <w:rFonts w:ascii="Liberation Sans" w:hAnsi="Liberation Sans"/>
                <w:b/>
                <w:color w:val="1D2833"/>
                <w:sz w:val="17"/>
              </w:rPr>
              <w:t>2</w:t>
            </w:r>
          </w:p>
        </w:tc>
        <w:tc>
          <w:tcPr>
            <w:tcW w:type="dxa" w:w="3456"/>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rPr>
                <w:rFonts w:ascii="Liberation Sans" w:hAnsi="Liberation Sans"/>
                <w:b w:val="0"/>
                <w:color w:val="1D2833"/>
                <w:sz w:val="17"/>
              </w:rPr>
              <w:t>Brief reminder</w:t>
            </w:r>
          </w:p>
        </w:tc>
        <w:tc>
          <w:tcPr>
            <w:tcW w:type="dxa" w:w="3456"/>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rPr>
                <w:rFonts w:ascii="Liberation Sans" w:hAnsi="Liberation Sans"/>
                <w:b w:val="0"/>
                <w:color w:val="1D2833"/>
                <w:sz w:val="17"/>
              </w:rPr>
              <w:t>Show a concise, non-blocking privacy notice.</w:t>
            </w:r>
          </w:p>
        </w:tc>
      </w:tr>
      <w:tr>
        <w:trPr>
          <w:cantSplit/>
        </w:trPr>
        <w:tc>
          <w:tcPr>
            <w:tcW w:type="dxa" w:w="3456"/>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tcPr>
          <w:p>
            <w:pPr>
              <w:spacing w:after="0"/>
            </w:pPr>
            <w:r>
              <w:rPr>
                <w:rFonts w:ascii="Liberation Sans" w:hAnsi="Liberation Sans"/>
                <w:b/>
                <w:color w:val="1D2833"/>
                <w:sz w:val="17"/>
              </w:rPr>
              <w:t>3</w:t>
            </w:r>
          </w:p>
        </w:tc>
        <w:tc>
          <w:tcPr>
            <w:tcW w:type="dxa" w:w="3456"/>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tcPr>
          <w:p>
            <w:pPr>
              <w:spacing w:after="0"/>
            </w:pPr>
            <w:r>
              <w:rPr>
                <w:rFonts w:ascii="Liberation Sans" w:hAnsi="Liberation Sans"/>
                <w:b w:val="0"/>
                <w:color w:val="1D2833"/>
                <w:sz w:val="17"/>
              </w:rPr>
              <w:t>Ask first</w:t>
            </w:r>
          </w:p>
        </w:tc>
        <w:tc>
          <w:tcPr>
            <w:tcW w:type="dxa" w:w="3456"/>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tcPr>
          <w:p>
            <w:pPr>
              <w:spacing w:after="0"/>
            </w:pPr>
            <w:r>
              <w:rPr>
                <w:rFonts w:ascii="Liberation Sans" w:hAnsi="Liberation Sans"/>
                <w:b w:val="0"/>
                <w:color w:val="1D2833"/>
                <w:sz w:val="17"/>
              </w:rPr>
              <w:t>Request confirmation before using the cue in the response.</w:t>
            </w:r>
          </w:p>
        </w:tc>
      </w:tr>
      <w:tr>
        <w:trPr>
          <w:cantSplit/>
        </w:trPr>
        <w:tc>
          <w:tcPr>
            <w:tcW w:type="dxa" w:w="3456"/>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rPr>
                <w:rFonts w:ascii="Liberation Sans" w:hAnsi="Liberation Sans"/>
                <w:b/>
                <w:color w:val="1D2833"/>
                <w:sz w:val="17"/>
              </w:rPr>
              <w:t>4</w:t>
            </w:r>
          </w:p>
        </w:tc>
        <w:tc>
          <w:tcPr>
            <w:tcW w:type="dxa" w:w="3456"/>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rPr>
                <w:rFonts w:ascii="Liberation Sans" w:hAnsi="Liberation Sans"/>
                <w:b w:val="0"/>
                <w:color w:val="1D2833"/>
                <w:sz w:val="17"/>
              </w:rPr>
              <w:t>Avoid unless requested</w:t>
            </w:r>
          </w:p>
        </w:tc>
        <w:tc>
          <w:tcPr>
            <w:tcW w:type="dxa" w:w="3456"/>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rPr>
                <w:rFonts w:ascii="Liberation Sans" w:hAnsi="Liberation Sans"/>
                <w:b w:val="0"/>
                <w:color w:val="1D2833"/>
                <w:sz w:val="17"/>
              </w:rPr>
              <w:t>Exclude the cue or inference until the user explicitly requests it.</w:t>
            </w:r>
          </w:p>
        </w:tc>
      </w:tr>
    </w:tbl>
    <w:p>
      <w:pPr>
        <w:spacing w:before="0" w:after="20"/>
      </w:pPr>
    </w:p>
    <w:p>
      <w:pPr>
        <w:spacing w:before="0" w:after="80"/>
      </w:pPr>
      <w:r>
        <w:t>Recommended proof-of-concept update rule: initialize each category from VPrivCal-Q10; treat each Probe category-image response as one contextual observation; combine the prior and contextual responses using a transparent weighted median or rounded weighted mean. The Probe response may override the questionnaire for the corresponding category, while retaining the scene type as contextual metadata.</w:t>
      </w:r>
    </w:p>
    <w:p>
      <w:pPr>
        <w:spacing w:before="0" w:after="80"/>
      </w:pPr>
      <w:r>
        <w:rPr>
          <w:rFonts w:ascii="Liberation Sans" w:hAnsi="Liberation Sans"/>
          <w:b w:val="0"/>
          <w:i w:val="0"/>
        </w:rPr>
        <w:t>Recommended conservative guardrail: personalization may suppress low-severity reminders, but it should not suppress a hard safety floor for children, bystanders, or high-confidence severe risks until the project has explicitly justified such personalization.</w:t>
      </w:r>
    </w:p>
    <w:p>
      <w:pPr>
        <w:pStyle w:val="Heading1"/>
        <w:spacing w:before="0" w:after="80"/>
      </w:pPr>
      <w:r>
        <w:rPr>
          <w:rFonts w:ascii="Liberation Sans" w:hAnsi="Liberation Sans"/>
          <w:b w:val="0"/>
          <w:i w:val="0"/>
        </w:rPr>
        <w:t>7. Held-out egocentric video evaluation</w:t>
      </w:r>
    </w:p>
    <w:p>
      <w:pPr>
        <w:spacing w:after="40"/>
        <w:jc w:val="center"/>
      </w:pPr>
      <w:r>
        <w:drawing>
          <wp:inline xmlns:a="http://schemas.openxmlformats.org/drawingml/2006/main" xmlns:pic="http://schemas.openxmlformats.org/drawingml/2006/picture">
            <wp:extent cx="6400800" cy="2311400"/>
            <wp:docPr id="3" name="Picture 3" descr="Image: image3.png"/>
            <wp:cNvGraphicFramePr>
              <a:graphicFrameLocks noChangeAspect="1"/>
            </wp:cNvGraphicFramePr>
            <a:graphic>
              <a:graphicData uri="http://schemas.openxmlformats.org/drawingml/2006/picture">
                <pic:pic>
                  <pic:nvPicPr>
                    <pic:cNvPr id="0" name="vprivcal_policy_compare.png"/>
                    <pic:cNvPicPr/>
                  </pic:nvPicPr>
                  <pic:blipFill>
                    <a:blip r:embed="rId13"/>
                    <a:stretch>
                      <a:fillRect/>
                    </a:stretch>
                  </pic:blipFill>
                  <pic:spPr>
                    <a:xfrm>
                      <a:off x="0" y="0"/>
                      <a:ext cx="6400800" cy="2311400"/>
                    </a:xfrm>
                    <a:prstGeom prst="rect"/>
                  </pic:spPr>
                </pic:pic>
              </a:graphicData>
            </a:graphic>
          </wp:inline>
        </w:drawing>
      </w:r>
    </w:p>
    <w:p>
      <w:pPr>
        <w:pStyle w:val="FigureCaption"/>
        <w:spacing w:before="0" w:after="80"/>
        <w:jc w:val="center"/>
      </w:pPr>
      <w:r>
        <w:rPr>
          <w:rFonts w:ascii="Liberation Sans" w:hAnsi="Liberation Sans"/>
          <w:b w:val="0"/>
          <w:i w:val="0"/>
        </w:rPr>
        <w:t>Figure 3. Policy conditions tested on held-out video cues.</w:t>
      </w:r>
    </w:p>
    <w:p>
      <w:pPr>
        <w:spacing w:before="0" w:after="80"/>
      </w:pPr>
      <w:r>
        <w:rPr>
          <w:rFonts w:ascii="Liberation Sans" w:hAnsi="Liberation Sans"/>
          <w:b w:val="0"/>
          <w:i w:val="0"/>
        </w:rPr>
        <w:t>Static image calibration and dynamic video evaluation are intentionally different. The study tests whether sparse preferences elicited from still scenes transfer to continuous egocentric perception. Held-out clips should include at least some video-specific cues: brief exposure, entering/leaving bystanders, repeated views, cross-frame accumulation, or cues that become sensitive only through temporal context.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1944"/>
            <w:shd w:fill="153B5B"/>
            <w:tcBorders>
              <w:top w:val="single" w:sz="4" w:color="FFFFFF"/>
              <w:left w:val="single" w:sz="4" w:color="FFFFFF"/>
              <w:bottom w:val="single" w:sz="4" w:color="FFFFFF"/>
              <w:right w:val="single" w:sz="4" w:color="FFFFFF"/>
              <w:insideH w:val="single" w:sz="4" w:color="FFFFFF"/>
              <w:insideV w:val="single" w:sz="4" w:color="FFFFFF"/>
            </w:tcBorders>
            <w:tcMar>
              <w:top w:w="70" w:type="dxa"/>
              <w:start w:w="90" w:type="dxa"/>
              <w:bottom w:w="70" w:type="dxa"/>
              <w:end w:w="90" w:type="dxa"/>
            </w:tcMar>
            <w:vAlign w:val="center"/>
          </w:tcPr>
          <w:p>
            <w:pPr>
              <w:jc w:val="left"/>
            </w:pPr>
            <w:r>
              <w:rPr>
                <w:rFonts w:ascii="Liberation Sans" w:hAnsi="Liberation Sans"/>
                <w:b/>
                <w:color w:val="FFFFFF"/>
                <w:sz w:val="16"/>
              </w:rPr>
              <w:t>Design element</w:t>
            </w:r>
          </w:p>
        </w:tc>
        <w:tc>
          <w:tcPr>
            <w:tcW w:type="dxa" w:w="8208"/>
            <w:shd w:fill="153B5B"/>
            <w:tcBorders>
              <w:top w:val="single" w:sz="4" w:color="FFFFFF"/>
              <w:left w:val="single" w:sz="4" w:color="FFFFFF"/>
              <w:bottom w:val="single" w:sz="4" w:color="FFFFFF"/>
              <w:right w:val="single" w:sz="4" w:color="FFFFFF"/>
              <w:insideH w:val="single" w:sz="4" w:color="FFFFFF"/>
              <w:insideV w:val="single" w:sz="4" w:color="FFFFFF"/>
            </w:tcBorders>
            <w:tcMar>
              <w:top w:w="70" w:type="dxa"/>
              <w:start w:w="90" w:type="dxa"/>
              <w:bottom w:w="70" w:type="dxa"/>
              <w:end w:w="90" w:type="dxa"/>
            </w:tcMar>
            <w:vAlign w:val="center"/>
          </w:tcPr>
          <w:p>
            <w:pPr>
              <w:jc w:val="left"/>
            </w:pPr>
            <w:r>
              <w:rPr>
                <w:rFonts w:ascii="Liberation Sans" w:hAnsi="Liberation Sans"/>
                <w:b/>
                <w:color w:val="FFFFFF"/>
                <w:sz w:val="16"/>
              </w:rPr>
              <w:t>Recommendation</w:t>
            </w:r>
          </w:p>
        </w:tc>
      </w:tr>
      <w:tr>
        <w:trPr>
          <w:cantSplit/>
        </w:trPr>
        <w:tc>
          <w:tcPr>
            <w:tcW w:type="dxa" w:w="5184"/>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rPr>
                <w:rFonts w:ascii="Liberation Sans" w:hAnsi="Liberation Sans"/>
                <w:b/>
                <w:color w:val="1D2833"/>
                <w:sz w:val="16"/>
              </w:rPr>
              <w:t>Participants</w:t>
            </w:r>
          </w:p>
        </w:tc>
        <w:tc>
          <w:tcPr>
            <w:tcW w:type="dxa" w:w="5184"/>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rPr>
                <w:rFonts w:ascii="Liberation Sans" w:hAnsi="Liberation Sans"/>
                <w:b w:val="0"/>
                <w:color w:val="1D2833"/>
                <w:sz w:val="16"/>
              </w:rPr>
              <w:t>N = 80-120 for the main controlled study; use a smaller N = 12-20 usability pilot first.</w:t>
            </w:r>
          </w:p>
        </w:tc>
      </w:tr>
      <w:tr>
        <w:trPr>
          <w:cantSplit/>
        </w:trPr>
        <w:tc>
          <w:tcPr>
            <w:tcW w:type="dxa" w:w="5184"/>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tcPr>
          <w:p>
            <w:pPr>
              <w:spacing w:after="0"/>
            </w:pPr>
            <w:r>
              <w:rPr>
                <w:rFonts w:ascii="Liberation Sans" w:hAnsi="Liberation Sans"/>
                <w:b/>
                <w:color w:val="1D2833"/>
                <w:sz w:val="16"/>
              </w:rPr>
              <w:t>Design</w:t>
            </w:r>
          </w:p>
        </w:tc>
        <w:tc>
          <w:tcPr>
            <w:tcW w:type="dxa" w:w="5184"/>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tcPr>
          <w:p>
            <w:pPr>
              <w:spacing w:after="0"/>
            </w:pPr>
            <w:r>
              <w:rPr>
                <w:rFonts w:ascii="Liberation Sans" w:hAnsi="Liberation Sans"/>
                <w:b w:val="0"/>
                <w:color w:val="1D2833"/>
                <w:sz w:val="16"/>
              </w:rPr>
              <w:t>Within-subject policy evaluation with clip-policy assignment counterbalanced by Latin square.</w:t>
            </w:r>
          </w:p>
        </w:tc>
      </w:tr>
      <w:tr>
        <w:trPr>
          <w:cantSplit/>
        </w:trPr>
        <w:tc>
          <w:tcPr>
            <w:tcW w:type="dxa" w:w="5184"/>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rPr>
                <w:rFonts w:ascii="Liberation Sans" w:hAnsi="Liberation Sans"/>
                <w:b/>
                <w:color w:val="1D2833"/>
                <w:sz w:val="16"/>
              </w:rPr>
              <w:t>Materials</w:t>
            </w:r>
          </w:p>
        </w:tc>
        <w:tc>
          <w:tcPr>
            <w:tcW w:type="dxa" w:w="5184"/>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rPr>
                <w:rFonts w:ascii="Liberation Sans" w:hAnsi="Liberation Sans"/>
                <w:b w:val="0"/>
                <w:color w:val="1D2833"/>
                <w:sz w:val="16"/>
              </w:rPr>
              <w:t>10-12 short egocentric clips, approximately 10-25 seconds each, with 1-2 candidate cues per clip.</w:t>
            </w:r>
          </w:p>
        </w:tc>
      </w:tr>
      <w:tr>
        <w:trPr>
          <w:cantSplit/>
        </w:trPr>
        <w:tc>
          <w:tcPr>
            <w:tcW w:type="dxa" w:w="5184"/>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tcPr>
          <w:p>
            <w:pPr>
              <w:spacing w:after="0"/>
            </w:pPr>
            <w:r>
              <w:rPr>
                <w:rFonts w:ascii="Liberation Sans" w:hAnsi="Liberation Sans"/>
                <w:b/>
                <w:color w:val="1D2833"/>
                <w:sz w:val="16"/>
              </w:rPr>
              <w:t>Policies</w:t>
            </w:r>
          </w:p>
        </w:tc>
        <w:tc>
          <w:tcPr>
            <w:tcW w:type="dxa" w:w="5184"/>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tcPr>
          <w:p>
            <w:pPr>
              <w:spacing w:after="0"/>
            </w:pPr>
            <w:r>
              <w:rPr>
                <w:rFonts w:ascii="Liberation Sans" w:hAnsi="Liberation Sans"/>
                <w:b w:val="0"/>
                <w:color w:val="1D2833"/>
                <w:sz w:val="16"/>
              </w:rPr>
              <w:t>Generic baseline, VPrivCal-Q10 only, and full VPrivCal.</w:t>
            </w:r>
          </w:p>
        </w:tc>
      </w:tr>
      <w:tr>
        <w:trPr>
          <w:cantSplit/>
        </w:trPr>
        <w:tc>
          <w:tcPr>
            <w:tcW w:type="dxa" w:w="5184"/>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rPr>
                <w:rFonts w:ascii="Liberation Sans" w:hAnsi="Liberation Sans"/>
                <w:b/>
                <w:color w:val="1D2833"/>
                <w:sz w:val="16"/>
              </w:rPr>
              <w:t>Cue balance</w:t>
            </w:r>
          </w:p>
        </w:tc>
        <w:tc>
          <w:tcPr>
            <w:tcW w:type="dxa" w:w="5184"/>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rPr>
                <w:rFonts w:ascii="Liberation Sans" w:hAnsi="Liberation Sans"/>
                <w:b w:val="0"/>
                <w:color w:val="1D2833"/>
                <w:sz w:val="16"/>
              </w:rPr>
              <w:t>At least two held-out manifestations per high-level category; include direct, subtle, and temporally emerging cases.</w:t>
            </w:r>
          </w:p>
        </w:tc>
      </w:tr>
      <w:tr>
        <w:trPr>
          <w:cantSplit/>
        </w:trPr>
        <w:tc>
          <w:tcPr>
            <w:tcW w:type="dxa" w:w="5184"/>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tcPr>
          <w:p>
            <w:pPr>
              <w:spacing w:after="0"/>
            </w:pPr>
            <w:r>
              <w:rPr>
                <w:rFonts w:ascii="Liberation Sans" w:hAnsi="Liberation Sans"/>
                <w:b/>
                <w:color w:val="1D2833"/>
                <w:sz w:val="16"/>
              </w:rPr>
              <w:t>Controls</w:t>
            </w:r>
          </w:p>
        </w:tc>
        <w:tc>
          <w:tcPr>
            <w:tcW w:type="dxa" w:w="5184"/>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tcPr>
          <w:p>
            <w:pPr>
              <w:spacing w:after="0"/>
            </w:pPr>
            <w:r>
              <w:rPr>
                <w:rFonts w:ascii="Liberation Sans" w:hAnsi="Liberation Sans"/>
                <w:b w:val="0"/>
                <w:color w:val="1D2833"/>
                <w:sz w:val="16"/>
              </w:rPr>
              <w:t>Include a small number of ambiguous or invalid detections to estimate suggestion acceptance.</w:t>
            </w:r>
          </w:p>
        </w:tc>
      </w:tr>
      <w:tr>
        <w:trPr>
          <w:cantSplit/>
        </w:trPr>
        <w:tc>
          <w:tcPr>
            <w:tcW w:type="dxa" w:w="5184"/>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rPr>
                <w:rFonts w:ascii="Liberation Sans" w:hAnsi="Liberation Sans"/>
                <w:b/>
                <w:color w:val="1D2833"/>
                <w:sz w:val="16"/>
              </w:rPr>
              <w:t>Model output</w:t>
            </w:r>
          </w:p>
        </w:tc>
        <w:tc>
          <w:tcPr>
            <w:tcW w:type="dxa" w:w="5184"/>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rPr>
                <w:rFonts w:ascii="Liberation Sans" w:hAnsi="Liberation Sans"/>
                <w:b w:val="0"/>
                <w:color w:val="1D2833"/>
                <w:sz w:val="16"/>
              </w:rPr>
              <w:t>Pre-generate detections with one fixed VLM and settings; expert-screen cue descriptions before the study.</w:t>
            </w:r>
          </w:p>
        </w:tc>
      </w:tr>
    </w:tbl>
    <w:p>
      <w:pPr>
        <w:spacing w:before="0" w:after="20"/>
      </w:pPr>
    </w:p>
    <w:p>
      <w:pPr>
        <w:pStyle w:val="Heading2"/>
        <w:spacing w:before="0" w:after="80"/>
      </w:pPr>
      <w:r>
        <w:rPr>
          <w:rFonts w:ascii="Liberation Sans" w:hAnsi="Liberation Sans"/>
          <w:b w:val="0"/>
          <w:i w:val="0"/>
        </w:rPr>
        <w:t>7.1 Questions participants answer for each held-out cue</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cantSplit/>
        </w:trPr>
        <w:tc>
          <w:tcPr>
            <w:tcW w:type="dxa" w:w="1944"/>
            <w:shd w:fill="153B5B"/>
            <w:tcBorders>
              <w:top w:val="single" w:sz="4" w:color="FFFFFF"/>
              <w:left w:val="single" w:sz="4" w:color="FFFFFF"/>
              <w:bottom w:val="single" w:sz="4" w:color="FFFFFF"/>
              <w:right w:val="single" w:sz="4" w:color="FFFFFF"/>
              <w:insideH w:val="single" w:sz="4" w:color="FFFFFF"/>
              <w:insideV w:val="single" w:sz="4" w:color="FFFFFF"/>
            </w:tcBorders>
            <w:tcMar>
              <w:top w:w="70" w:type="dxa"/>
              <w:start w:w="90" w:type="dxa"/>
              <w:bottom w:w="70" w:type="dxa"/>
              <w:end w:w="90" w:type="dxa"/>
            </w:tcMar>
            <w:vAlign w:val="center"/>
          </w:tcPr>
          <w:p>
            <w:pPr>
              <w:jc w:val="left"/>
            </w:pPr>
            <w:r>
              <w:rPr>
                <w:rFonts w:ascii="Liberation Sans" w:hAnsi="Liberation Sans"/>
                <w:b/>
                <w:color w:val="FFFFFF"/>
                <w:sz w:val="16"/>
              </w:rPr>
              <w:t>Construct</w:t>
            </w:r>
          </w:p>
        </w:tc>
        <w:tc>
          <w:tcPr>
            <w:tcW w:type="dxa" w:w="4680"/>
            <w:shd w:fill="153B5B"/>
            <w:tcBorders>
              <w:top w:val="single" w:sz="4" w:color="FFFFFF"/>
              <w:left w:val="single" w:sz="4" w:color="FFFFFF"/>
              <w:bottom w:val="single" w:sz="4" w:color="FFFFFF"/>
              <w:right w:val="single" w:sz="4" w:color="FFFFFF"/>
              <w:insideH w:val="single" w:sz="4" w:color="FFFFFF"/>
              <w:insideV w:val="single" w:sz="4" w:color="FFFFFF"/>
            </w:tcBorders>
            <w:tcMar>
              <w:top w:w="70" w:type="dxa"/>
              <w:start w:w="90" w:type="dxa"/>
              <w:bottom w:w="70" w:type="dxa"/>
              <w:end w:w="90" w:type="dxa"/>
            </w:tcMar>
            <w:vAlign w:val="center"/>
          </w:tcPr>
          <w:p>
            <w:pPr>
              <w:jc w:val="left"/>
            </w:pPr>
            <w:r>
              <w:rPr>
                <w:rFonts w:ascii="Liberation Sans" w:hAnsi="Liberation Sans"/>
                <w:b/>
                <w:color w:val="FFFFFF"/>
                <w:sz w:val="16"/>
              </w:rPr>
              <w:t>Question</w:t>
            </w:r>
          </w:p>
        </w:tc>
        <w:tc>
          <w:tcPr>
            <w:tcW w:type="dxa" w:w="3528"/>
            <w:shd w:fill="153B5B"/>
            <w:tcBorders>
              <w:top w:val="single" w:sz="4" w:color="FFFFFF"/>
              <w:left w:val="single" w:sz="4" w:color="FFFFFF"/>
              <w:bottom w:val="single" w:sz="4" w:color="FFFFFF"/>
              <w:right w:val="single" w:sz="4" w:color="FFFFFF"/>
              <w:insideH w:val="single" w:sz="4" w:color="FFFFFF"/>
              <w:insideV w:val="single" w:sz="4" w:color="FFFFFF"/>
            </w:tcBorders>
            <w:tcMar>
              <w:top w:w="70" w:type="dxa"/>
              <w:start w:w="90" w:type="dxa"/>
              <w:bottom w:w="70" w:type="dxa"/>
              <w:end w:w="90" w:type="dxa"/>
            </w:tcMar>
            <w:vAlign w:val="center"/>
          </w:tcPr>
          <w:p>
            <w:pPr>
              <w:jc w:val="left"/>
            </w:pPr>
            <w:r>
              <w:rPr>
                <w:rFonts w:ascii="Liberation Sans" w:hAnsi="Liberation Sans"/>
                <w:b/>
                <w:color w:val="FFFFFF"/>
                <w:sz w:val="16"/>
              </w:rPr>
              <w:t>Response</w:t>
            </w:r>
          </w:p>
        </w:tc>
      </w:tr>
      <w:tr>
        <w:trPr>
          <w:cantSplit/>
        </w:trPr>
        <w:tc>
          <w:tcPr>
            <w:tcW w:type="dxa" w:w="3456"/>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rPr>
                <w:rFonts w:ascii="Liberation Sans" w:hAnsi="Liberation Sans"/>
                <w:b/>
                <w:color w:val="1D2833"/>
                <w:sz w:val="16"/>
              </w:rPr>
              <w:t>Detection validity</w:t>
            </w:r>
          </w:p>
        </w:tc>
        <w:tc>
          <w:tcPr>
            <w:tcW w:type="dxa" w:w="3456"/>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rPr>
                <w:rFonts w:ascii="Liberation Sans" w:hAnsi="Liberation Sans"/>
                <w:b w:val="0"/>
                <w:color w:val="1D2833"/>
                <w:sz w:val="16"/>
              </w:rPr>
              <w:t>Is the described cue actually visible or reasonably supported by the video?</w:t>
            </w:r>
          </w:p>
        </w:tc>
        <w:tc>
          <w:tcPr>
            <w:tcW w:type="dxa" w:w="3456"/>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rPr>
                <w:rFonts w:ascii="Liberation Sans" w:hAnsi="Liberation Sans"/>
                <w:b w:val="0"/>
                <w:color w:val="1D2833"/>
                <w:sz w:val="16"/>
              </w:rPr>
              <w:t>Yes clearly / Partly / No / Unsure</w:t>
            </w:r>
          </w:p>
        </w:tc>
      </w:tr>
      <w:tr>
        <w:trPr>
          <w:cantSplit/>
        </w:trPr>
        <w:tc>
          <w:tcPr>
            <w:tcW w:type="dxa" w:w="3456"/>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tcPr>
          <w:p>
            <w:pPr>
              <w:spacing w:after="0"/>
            </w:pPr>
            <w:r>
              <w:rPr>
                <w:rFonts w:ascii="Liberation Sans" w:hAnsi="Liberation Sans"/>
                <w:b/>
                <w:color w:val="1D2833"/>
                <w:sz w:val="16"/>
              </w:rPr>
              <w:t>Personal privacy relevance</w:t>
            </w:r>
          </w:p>
        </w:tc>
        <w:tc>
          <w:tcPr>
            <w:tcW w:type="dxa" w:w="3456"/>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tcPr>
          <w:p>
            <w:pPr>
              <w:spacing w:after="0"/>
            </w:pPr>
            <w:r>
              <w:rPr>
                <w:rFonts w:ascii="Liberation Sans" w:hAnsi="Liberation Sans"/>
                <w:b w:val="0"/>
                <w:color w:val="1D2833"/>
                <w:sz w:val="16"/>
              </w:rPr>
              <w:t>How privacy-relevant is this cue to you in this situation?</w:t>
            </w:r>
          </w:p>
        </w:tc>
        <w:tc>
          <w:tcPr>
            <w:tcW w:type="dxa" w:w="3456"/>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tcPr>
          <w:p>
            <w:pPr>
              <w:spacing w:after="0"/>
            </w:pPr>
            <w:r>
              <w:rPr>
                <w:rFonts w:ascii="Liberation Sans" w:hAnsi="Liberation Sans"/>
                <w:b w:val="0"/>
                <w:color w:val="1D2833"/>
                <w:sz w:val="16"/>
              </w:rPr>
              <w:t>1 Not relevant - 5 Extremely relevant</w:t>
            </w:r>
          </w:p>
        </w:tc>
      </w:tr>
      <w:tr>
        <w:trPr>
          <w:cantSplit/>
        </w:trPr>
        <w:tc>
          <w:tcPr>
            <w:tcW w:type="dxa" w:w="3456"/>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rPr>
                <w:rFonts w:ascii="Liberation Sans" w:hAnsi="Liberation Sans"/>
                <w:b/>
                <w:color w:val="1D2833"/>
                <w:sz w:val="16"/>
              </w:rPr>
              <w:t>Preferred action</w:t>
            </w:r>
          </w:p>
        </w:tc>
        <w:tc>
          <w:tcPr>
            <w:tcW w:type="dxa" w:w="3456"/>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rPr>
                <w:rFonts w:ascii="Liberation Sans" w:hAnsi="Liberation Sans"/>
                <w:b w:val="0"/>
                <w:color w:val="1D2833"/>
                <w:sz w:val="16"/>
              </w:rPr>
              <w:t>What should the assistant do?</w:t>
            </w:r>
          </w:p>
        </w:tc>
        <w:tc>
          <w:tcPr>
            <w:tcW w:type="dxa" w:w="3456"/>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rPr>
                <w:rFonts w:ascii="Liberation Sans" w:hAnsi="Liberation Sans"/>
                <w:b w:val="0"/>
                <w:color w:val="1D2833"/>
                <w:sz w:val="16"/>
              </w:rPr>
              <w:t>No intervention / Silent / Brief reminder / Ask first / Avoid</w:t>
            </w:r>
          </w:p>
        </w:tc>
      </w:tr>
      <w:tr>
        <w:trPr>
          <w:cantSplit/>
        </w:trPr>
        <w:tc>
          <w:tcPr>
            <w:tcW w:type="dxa" w:w="3456"/>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tcPr>
          <w:p>
            <w:pPr>
              <w:spacing w:after="0"/>
            </w:pPr>
            <w:r>
              <w:rPr>
                <w:rFonts w:ascii="Liberation Sans" w:hAnsi="Liberation Sans"/>
                <w:b/>
                <w:color w:val="1D2833"/>
                <w:sz w:val="16"/>
              </w:rPr>
              <w:t>Shown-action appropriateness</w:t>
            </w:r>
          </w:p>
        </w:tc>
        <w:tc>
          <w:tcPr>
            <w:tcW w:type="dxa" w:w="3456"/>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tcPr>
          <w:p>
            <w:pPr>
              <w:spacing w:after="0"/>
            </w:pPr>
            <w:r>
              <w:rPr>
                <w:rFonts w:ascii="Liberation Sans" w:hAnsi="Liberation Sans"/>
                <w:b w:val="0"/>
                <w:color w:val="1D2833"/>
                <w:sz w:val="16"/>
              </w:rPr>
              <w:t>How appropriate was the action shown by this policy?</w:t>
            </w:r>
          </w:p>
        </w:tc>
        <w:tc>
          <w:tcPr>
            <w:tcW w:type="dxa" w:w="3456"/>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tcPr>
          <w:p>
            <w:pPr>
              <w:spacing w:after="0"/>
            </w:pPr>
            <w:r>
              <w:rPr>
                <w:rFonts w:ascii="Liberation Sans" w:hAnsi="Liberation Sans"/>
                <w:b w:val="0"/>
                <w:color w:val="1D2833"/>
                <w:sz w:val="16"/>
              </w:rPr>
              <w:t>1 Very inappropriate - 5 Very appropriate</w:t>
            </w:r>
          </w:p>
        </w:tc>
      </w:tr>
      <w:tr>
        <w:trPr>
          <w:cantSplit/>
        </w:trPr>
        <w:tc>
          <w:tcPr>
            <w:tcW w:type="dxa" w:w="3456"/>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rPr>
                <w:rFonts w:ascii="Liberation Sans" w:hAnsi="Liberation Sans"/>
                <w:b/>
                <w:color w:val="1D2833"/>
                <w:sz w:val="16"/>
              </w:rPr>
              <w:t>Optional rationale</w:t>
            </w:r>
          </w:p>
        </w:tc>
        <w:tc>
          <w:tcPr>
            <w:tcW w:type="dxa" w:w="3456"/>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rPr>
                <w:rFonts w:ascii="Liberation Sans" w:hAnsi="Liberation Sans"/>
                <w:b w:val="0"/>
                <w:color w:val="1D2833"/>
                <w:sz w:val="16"/>
              </w:rPr>
              <w:t>What should have been different?</w:t>
            </w:r>
          </w:p>
        </w:tc>
        <w:tc>
          <w:tcPr>
            <w:tcW w:type="dxa" w:w="3456"/>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rPr>
                <w:rFonts w:ascii="Liberation Sans" w:hAnsi="Liberation Sans"/>
                <w:b w:val="0"/>
                <w:color w:val="1D2833"/>
                <w:sz w:val="16"/>
              </w:rPr>
              <w:t>Short text</w:t>
            </w:r>
          </w:p>
        </w:tc>
      </w:tr>
    </w:tbl>
    <w:p>
      <w:pPr>
        <w:spacing w:before="0" w:after="20"/>
      </w:pPr>
    </w:p>
    <w:tbl>
      <w:tblPr>
        <w:tblW w:type="auto" w:w="0"/>
        <w:jc w:val="center"/>
        <w:tblLayout w:type="fixed"/>
        <w:tblLook w:firstColumn="1" w:firstRow="1" w:lastColumn="0" w:lastRow="0" w:noHBand="0" w:noVBand="1" w:val="04A0"/>
      </w:tblPr>
      <w:tblGrid>
        <w:gridCol w:w="10152"/>
      </w:tblGrid>
      <w:tr>
        <w:trPr>
          <w:cantSplit/>
          <w:tblHeader/>
        </w:trPr>
        <w:tc>
          <w:tcPr>
            <w:tcW w:type="dxa" w:w="10368"/>
            <w:shd w:fill="FFF0E6"/>
            <w:tcBorders>
              <w:top w:val="single" w:sz="8" w:color="C85F1A"/>
              <w:left w:val="single" w:sz="8" w:color="C85F1A"/>
              <w:bottom w:val="single" w:sz="8" w:color="C85F1A"/>
              <w:right w:val="single" w:sz="8" w:color="C85F1A"/>
              <w:insideH w:val="single" w:sz="8" w:color="C85F1A"/>
              <w:insideV w:val="single" w:sz="8" w:color="C85F1A"/>
            </w:tcBorders>
            <w:tcMar>
              <w:top w:w="90" w:type="dxa"/>
              <w:start w:w="110" w:type="dxa"/>
              <w:bottom w:w="90" w:type="dxa"/>
              <w:end w:w="110" w:type="dxa"/>
            </w:tcMar>
          </w:tcPr>
          <w:p>
            <w:pPr>
              <w:spacing w:after="40"/>
            </w:pPr>
            <w:r>
              <w:rPr>
                <w:rFonts w:ascii="Liberation Sans" w:hAnsi="Liberation Sans"/>
                <w:b/>
                <w:color w:val="C85F1A"/>
                <w:sz w:val="19"/>
              </w:rPr>
              <w:t>Why detection acceptance is secondary</w:t>
            </w:r>
          </w:p>
          <w:p>
            <w:pPr>
              <w:spacing w:after="0"/>
            </w:pPr>
            <w:r>
              <w:rPr>
                <w:rFonts w:ascii="Liberation Sans" w:hAnsi="Liberation Sans"/>
                <w:color w:val="1D2833"/>
                <w:sz w:val="18"/>
              </w:rPr>
              <w:t>A participant may agree that a cue exists but still reject a reminder. Detection validity, privacy relevance, and desired action must therefore be analyzed separately.</w:t>
            </w:r>
          </w:p>
        </w:tc>
      </w:tr>
    </w:tbl>
    <w:p>
      <w:pPr>
        <w:spacing w:before="0" w:after="20"/>
      </w:pPr>
    </w:p>
    <w:p>
      <w:pPr>
        <w:pStyle w:val="Heading1"/>
        <w:spacing w:before="0" w:after="80"/>
      </w:pPr>
      <w:r>
        <w:rPr>
          <w:rFonts w:ascii="Liberation Sans" w:hAnsi="Liberation Sans"/>
          <w:b w:val="0"/>
          <w:i w:val="0"/>
        </w:rPr>
        <w:t>8. Outcomes and metrics</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cantSplit/>
        </w:trPr>
        <w:tc>
          <w:tcPr>
            <w:tcW w:type="dxa" w:w="2016"/>
            <w:shd w:fill="153B5B"/>
            <w:tcBorders>
              <w:top w:val="single" w:sz="4" w:color="FFFFFF"/>
              <w:left w:val="single" w:sz="4" w:color="FFFFFF"/>
              <w:bottom w:val="single" w:sz="4" w:color="FFFFFF"/>
              <w:right w:val="single" w:sz="4" w:color="FFFFFF"/>
              <w:insideH w:val="single" w:sz="4" w:color="FFFFFF"/>
              <w:insideV w:val="single" w:sz="4" w:color="FFFFFF"/>
            </w:tcBorders>
            <w:tcMar>
              <w:top w:w="70" w:type="dxa"/>
              <w:start w:w="90" w:type="dxa"/>
              <w:bottom w:w="70" w:type="dxa"/>
              <w:end w:w="90" w:type="dxa"/>
            </w:tcMar>
            <w:vAlign w:val="center"/>
          </w:tcPr>
          <w:p>
            <w:pPr>
              <w:jc w:val="left"/>
            </w:pPr>
            <w:r>
              <w:rPr>
                <w:rFonts w:ascii="Liberation Sans" w:hAnsi="Liberation Sans"/>
                <w:b/>
                <w:color w:val="FFFFFF"/>
                <w:sz w:val="16"/>
              </w:rPr>
              <w:t>Metric</w:t>
            </w:r>
          </w:p>
        </w:tc>
        <w:tc>
          <w:tcPr>
            <w:tcW w:type="dxa" w:w="5616"/>
            <w:shd w:fill="153B5B"/>
            <w:tcBorders>
              <w:top w:val="single" w:sz="4" w:color="FFFFFF"/>
              <w:left w:val="single" w:sz="4" w:color="FFFFFF"/>
              <w:bottom w:val="single" w:sz="4" w:color="FFFFFF"/>
              <w:right w:val="single" w:sz="4" w:color="FFFFFF"/>
              <w:insideH w:val="single" w:sz="4" w:color="FFFFFF"/>
              <w:insideV w:val="single" w:sz="4" w:color="FFFFFF"/>
            </w:tcBorders>
            <w:tcMar>
              <w:top w:w="70" w:type="dxa"/>
              <w:start w:w="90" w:type="dxa"/>
              <w:bottom w:w="70" w:type="dxa"/>
              <w:end w:w="90" w:type="dxa"/>
            </w:tcMar>
            <w:vAlign w:val="center"/>
          </w:tcPr>
          <w:p>
            <w:pPr>
              <w:jc w:val="left"/>
            </w:pPr>
            <w:r>
              <w:rPr>
                <w:rFonts w:ascii="Liberation Sans" w:hAnsi="Liberation Sans"/>
                <w:b/>
                <w:color w:val="FFFFFF"/>
                <w:sz w:val="16"/>
              </w:rPr>
              <w:t>Operational definition</w:t>
            </w:r>
          </w:p>
        </w:tc>
        <w:tc>
          <w:tcPr>
            <w:tcW w:type="dxa" w:w="2520"/>
            <w:shd w:fill="153B5B"/>
            <w:tcBorders>
              <w:top w:val="single" w:sz="4" w:color="FFFFFF"/>
              <w:left w:val="single" w:sz="4" w:color="FFFFFF"/>
              <w:bottom w:val="single" w:sz="4" w:color="FFFFFF"/>
              <w:right w:val="single" w:sz="4" w:color="FFFFFF"/>
              <w:insideH w:val="single" w:sz="4" w:color="FFFFFF"/>
              <w:insideV w:val="single" w:sz="4" w:color="FFFFFF"/>
            </w:tcBorders>
            <w:tcMar>
              <w:top w:w="70" w:type="dxa"/>
              <w:start w:w="90" w:type="dxa"/>
              <w:bottom w:w="70" w:type="dxa"/>
              <w:end w:w="90" w:type="dxa"/>
            </w:tcMar>
            <w:vAlign w:val="center"/>
          </w:tcPr>
          <w:p>
            <w:pPr>
              <w:jc w:val="left"/>
            </w:pPr>
            <w:r>
              <w:rPr>
                <w:rFonts w:ascii="Liberation Sans" w:hAnsi="Liberation Sans"/>
                <w:b/>
                <w:color w:val="FFFFFF"/>
                <w:sz w:val="16"/>
              </w:rPr>
              <w:t>Role</w:t>
            </w:r>
          </w:p>
        </w:tc>
      </w:tr>
      <w:tr>
        <w:trPr>
          <w:cantSplit/>
        </w:trPr>
        <w:tc>
          <w:tcPr>
            <w:tcW w:type="dxa" w:w="3456"/>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rPr>
                <w:rFonts w:ascii="Liberation Sans" w:hAnsi="Liberation Sans"/>
                <w:b/>
                <w:color w:val="1D2833"/>
                <w:sz w:val="16"/>
              </w:rPr>
              <w:t>Exact policy alignment</w:t>
            </w:r>
          </w:p>
        </w:tc>
        <w:tc>
          <w:tcPr>
            <w:tcW w:type="dxa" w:w="3456"/>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rPr>
                <w:rFonts w:ascii="Liberation Sans" w:hAnsi="Liberation Sans"/>
                <w:b w:val="0"/>
                <w:color w:val="1D2833"/>
                <w:sz w:val="16"/>
              </w:rPr>
              <w:t>System action exactly equals participant-preferred action.</w:t>
            </w:r>
          </w:p>
        </w:tc>
        <w:tc>
          <w:tcPr>
            <w:tcW w:type="dxa" w:w="3456"/>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rPr>
                <w:rFonts w:ascii="Liberation Sans" w:hAnsi="Liberation Sans"/>
                <w:b w:val="0"/>
                <w:color w:val="1D2833"/>
                <w:sz w:val="16"/>
              </w:rPr>
              <w:t>Primary</w:t>
            </w:r>
          </w:p>
        </w:tc>
      </w:tr>
      <w:tr>
        <w:trPr>
          <w:cantSplit/>
        </w:trPr>
        <w:tc>
          <w:tcPr>
            <w:tcW w:type="dxa" w:w="3456"/>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tcPr>
          <w:p>
            <w:pPr>
              <w:spacing w:after="0"/>
            </w:pPr>
            <w:r>
              <w:rPr>
                <w:rFonts w:ascii="Liberation Sans" w:hAnsi="Liberation Sans"/>
                <w:b/>
                <w:color w:val="1D2833"/>
                <w:sz w:val="16"/>
              </w:rPr>
              <w:t>Ordinal action error</w:t>
            </w:r>
          </w:p>
        </w:tc>
        <w:tc>
          <w:tcPr>
            <w:tcW w:type="dxa" w:w="3456"/>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tcPr>
          <w:p>
            <w:pPr>
              <w:spacing w:after="0"/>
            </w:pPr>
            <w:r>
              <w:rPr>
                <w:rFonts w:ascii="Liberation Sans" w:hAnsi="Liberation Sans"/>
                <w:b w:val="0"/>
                <w:color w:val="1D2833"/>
                <w:sz w:val="16"/>
              </w:rPr>
              <w:t>Mean absolute distance between system and preferred action levels.</w:t>
            </w:r>
          </w:p>
        </w:tc>
        <w:tc>
          <w:tcPr>
            <w:tcW w:type="dxa" w:w="3456"/>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tcPr>
          <w:p>
            <w:pPr>
              <w:spacing w:after="0"/>
            </w:pPr>
            <w:r>
              <w:rPr>
                <w:rFonts w:ascii="Liberation Sans" w:hAnsi="Liberation Sans"/>
                <w:b w:val="0"/>
                <w:color w:val="1D2833"/>
                <w:sz w:val="16"/>
              </w:rPr>
              <w:t>Primary</w:t>
            </w:r>
          </w:p>
        </w:tc>
      </w:tr>
      <w:tr>
        <w:trPr>
          <w:cantSplit/>
        </w:trPr>
        <w:tc>
          <w:tcPr>
            <w:tcW w:type="dxa" w:w="3456"/>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rPr>
                <w:rFonts w:ascii="Liberation Sans" w:hAnsi="Liberation Sans"/>
                <w:b/>
                <w:color w:val="1D2833"/>
                <w:sz w:val="16"/>
              </w:rPr>
              <w:t>Over-reminder rate</w:t>
            </w:r>
          </w:p>
        </w:tc>
        <w:tc>
          <w:tcPr>
            <w:tcW w:type="dxa" w:w="3456"/>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rPr>
                <w:rFonts w:ascii="Liberation Sans" w:hAnsi="Liberation Sans"/>
                <w:b w:val="0"/>
                <w:color w:val="1D2833"/>
                <w:sz w:val="16"/>
              </w:rPr>
              <w:t>System action is reminder/ask/avoid while user prefers no intervention or silent handling.</w:t>
            </w:r>
          </w:p>
        </w:tc>
        <w:tc>
          <w:tcPr>
            <w:tcW w:type="dxa" w:w="3456"/>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rPr>
                <w:rFonts w:ascii="Liberation Sans" w:hAnsi="Liberation Sans"/>
                <w:b w:val="0"/>
                <w:color w:val="1D2833"/>
                <w:sz w:val="16"/>
              </w:rPr>
              <w:t>Primary burden guardrail</w:t>
            </w:r>
          </w:p>
        </w:tc>
      </w:tr>
      <w:tr>
        <w:trPr>
          <w:cantSplit/>
        </w:trPr>
        <w:tc>
          <w:tcPr>
            <w:tcW w:type="dxa" w:w="3456"/>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tcPr>
          <w:p>
            <w:pPr>
              <w:spacing w:after="0"/>
            </w:pPr>
            <w:r>
              <w:rPr>
                <w:rFonts w:ascii="Liberation Sans" w:hAnsi="Liberation Sans"/>
                <w:b/>
                <w:color w:val="1D2833"/>
                <w:sz w:val="16"/>
              </w:rPr>
              <w:t>Under-protection rate</w:t>
            </w:r>
          </w:p>
        </w:tc>
        <w:tc>
          <w:tcPr>
            <w:tcW w:type="dxa" w:w="3456"/>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tcPr>
          <w:p>
            <w:pPr>
              <w:spacing w:after="0"/>
            </w:pPr>
            <w:r>
              <w:rPr>
                <w:rFonts w:ascii="Liberation Sans" w:hAnsi="Liberation Sans"/>
                <w:b w:val="0"/>
                <w:color w:val="1D2833"/>
                <w:sz w:val="16"/>
              </w:rPr>
              <w:t>System action is less protective than the user-preferred action.</w:t>
            </w:r>
          </w:p>
        </w:tc>
        <w:tc>
          <w:tcPr>
            <w:tcW w:type="dxa" w:w="3456"/>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tcPr>
          <w:p>
            <w:pPr>
              <w:spacing w:after="0"/>
            </w:pPr>
            <w:r>
              <w:rPr>
                <w:rFonts w:ascii="Liberation Sans" w:hAnsi="Liberation Sans"/>
                <w:b w:val="0"/>
                <w:color w:val="1D2833"/>
                <w:sz w:val="16"/>
              </w:rPr>
              <w:t>Primary privacy guardrail</w:t>
            </w:r>
          </w:p>
        </w:tc>
      </w:tr>
      <w:tr>
        <w:trPr>
          <w:cantSplit/>
        </w:trPr>
        <w:tc>
          <w:tcPr>
            <w:tcW w:type="dxa" w:w="3456"/>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rPr>
                <w:rFonts w:ascii="Liberation Sans" w:hAnsi="Liberation Sans"/>
                <w:b/>
                <w:color w:val="1D2833"/>
                <w:sz w:val="16"/>
              </w:rPr>
              <w:t>Severe under-protection</w:t>
            </w:r>
          </w:p>
        </w:tc>
        <w:tc>
          <w:tcPr>
            <w:tcW w:type="dxa" w:w="3456"/>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rPr>
                <w:rFonts w:ascii="Liberation Sans" w:hAnsi="Liberation Sans"/>
                <w:b w:val="0"/>
                <w:color w:val="1D2833"/>
                <w:sz w:val="16"/>
              </w:rPr>
              <w:t>Under-protection for cues rated 4-5 in privacy relevance or preclassified as high consequence.</w:t>
            </w:r>
          </w:p>
        </w:tc>
        <w:tc>
          <w:tcPr>
            <w:tcW w:type="dxa" w:w="3456"/>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rPr>
                <w:rFonts w:ascii="Liberation Sans" w:hAnsi="Liberation Sans"/>
                <w:b w:val="0"/>
                <w:color w:val="1D2833"/>
                <w:sz w:val="16"/>
              </w:rPr>
              <w:t>Safety outcome</w:t>
            </w:r>
          </w:p>
        </w:tc>
      </w:tr>
      <w:tr>
        <w:trPr>
          <w:cantSplit/>
        </w:trPr>
        <w:tc>
          <w:tcPr>
            <w:tcW w:type="dxa" w:w="3456"/>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tcPr>
          <w:p>
            <w:pPr>
              <w:spacing w:after="0"/>
            </w:pPr>
            <w:r>
              <w:rPr>
                <w:rFonts w:ascii="Liberation Sans" w:hAnsi="Liberation Sans"/>
                <w:b/>
                <w:color w:val="1D2833"/>
                <w:sz w:val="16"/>
              </w:rPr>
              <w:t>Reminder acceptance</w:t>
            </w:r>
          </w:p>
        </w:tc>
        <w:tc>
          <w:tcPr>
            <w:tcW w:type="dxa" w:w="3456"/>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tcPr>
          <w:p>
            <w:pPr>
              <w:spacing w:after="0"/>
            </w:pPr>
            <w:r>
              <w:rPr>
                <w:rFonts w:ascii="Liberation Sans" w:hAnsi="Liberation Sans"/>
                <w:b w:val="0"/>
                <w:color w:val="1D2833"/>
                <w:sz w:val="16"/>
              </w:rPr>
              <w:t>Participant rates the displayed intervention as appropriate.</w:t>
            </w:r>
          </w:p>
        </w:tc>
        <w:tc>
          <w:tcPr>
            <w:tcW w:type="dxa" w:w="3456"/>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tcPr>
          <w:p>
            <w:pPr>
              <w:spacing w:after="0"/>
            </w:pPr>
            <w:r>
              <w:rPr>
                <w:rFonts w:ascii="Liberation Sans" w:hAnsi="Liberation Sans"/>
                <w:b w:val="0"/>
                <w:color w:val="1D2833"/>
                <w:sz w:val="16"/>
              </w:rPr>
              <w:t>Secondary</w:t>
            </w:r>
          </w:p>
        </w:tc>
      </w:tr>
      <w:tr>
        <w:trPr>
          <w:cantSplit/>
        </w:trPr>
        <w:tc>
          <w:tcPr>
            <w:tcW w:type="dxa" w:w="3456"/>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rPr>
                <w:rFonts w:ascii="Liberation Sans" w:hAnsi="Liberation Sans"/>
                <w:b/>
                <w:color w:val="1D2833"/>
                <w:sz w:val="16"/>
              </w:rPr>
              <w:t>Probe awareness profile</w:t>
            </w:r>
          </w:p>
        </w:tc>
        <w:tc>
          <w:tcPr>
            <w:tcW w:type="dxa" w:w="3456"/>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rPr>
                <w:rFonts w:ascii="Liberation Sans" w:hAnsi="Liberation Sans"/>
                <w:b w:val="0"/>
                <w:color w:val="1D2833"/>
                <w:sz w:val="16"/>
              </w:rPr>
              <w:t>Already aware / interpretive gap / perceptual-capability gap / rejected cue.</w:t>
            </w:r>
          </w:p>
        </w:tc>
        <w:tc>
          <w:tcPr>
            <w:tcW w:type="dxa" w:w="3456"/>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rPr>
                <w:rFonts w:ascii="Liberation Sans" w:hAnsi="Liberation Sans"/>
                <w:b w:val="0"/>
                <w:color w:val="1D2833"/>
                <w:sz w:val="16"/>
              </w:rPr>
              <w:t>Descriptive</w:t>
            </w:r>
          </w:p>
        </w:tc>
      </w:tr>
      <w:tr>
        <w:trPr>
          <w:cantSplit/>
        </w:trPr>
        <w:tc>
          <w:tcPr>
            <w:tcW w:type="dxa" w:w="3456"/>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tcPr>
          <w:p>
            <w:pPr>
              <w:spacing w:after="0"/>
            </w:pPr>
            <w:r>
              <w:rPr>
                <w:rFonts w:ascii="Liberation Sans" w:hAnsi="Liberation Sans"/>
                <w:b/>
                <w:color w:val="1D2833"/>
                <w:sz w:val="16"/>
              </w:rPr>
              <w:t>Awareness-to-intervention conversion</w:t>
            </w:r>
          </w:p>
        </w:tc>
        <w:tc>
          <w:tcPr>
            <w:tcW w:type="dxa" w:w="3456"/>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tcPr>
          <w:p>
            <w:pPr>
              <w:spacing w:after="0"/>
            </w:pPr>
            <w:r>
              <w:rPr>
                <w:rFonts w:ascii="Liberation Sans" w:hAnsi="Liberation Sans"/>
                <w:b w:val="0"/>
                <w:color w:val="1D2833"/>
                <w:sz w:val="16"/>
              </w:rPr>
              <w:t>Gap cues for which the participant requests reminder, ask, or avoid.</w:t>
            </w:r>
          </w:p>
        </w:tc>
        <w:tc>
          <w:tcPr>
            <w:tcW w:type="dxa" w:w="3456"/>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tcPr>
          <w:p>
            <w:pPr>
              <w:spacing w:after="0"/>
            </w:pPr>
            <w:r>
              <w:rPr>
                <w:rFonts w:ascii="Liberation Sans" w:hAnsi="Liberation Sans"/>
                <w:b w:val="0"/>
                <w:color w:val="1D2833"/>
                <w:sz w:val="16"/>
              </w:rPr>
              <w:t>Mechanism metric</w:t>
            </w:r>
          </w:p>
        </w:tc>
      </w:tr>
      <w:tr>
        <w:trPr>
          <w:cantSplit/>
        </w:trPr>
        <w:tc>
          <w:tcPr>
            <w:tcW w:type="dxa" w:w="3456"/>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rPr>
                <w:rFonts w:ascii="Liberation Sans" w:hAnsi="Liberation Sans"/>
                <w:b/>
                <w:color w:val="1D2833"/>
                <w:sz w:val="16"/>
              </w:rPr>
              <w:t>Calibration burden</w:t>
            </w:r>
          </w:p>
        </w:tc>
        <w:tc>
          <w:tcPr>
            <w:tcW w:type="dxa" w:w="3456"/>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rPr>
                <w:rFonts w:ascii="Liberation Sans" w:hAnsi="Liberation Sans"/>
                <w:b w:val="0"/>
                <w:color w:val="1D2833"/>
                <w:sz w:val="16"/>
              </w:rPr>
              <w:t>Completion time, skipped items, changes, perceived effort.</w:t>
            </w:r>
          </w:p>
        </w:tc>
        <w:tc>
          <w:tcPr>
            <w:tcW w:type="dxa" w:w="3456"/>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rPr>
                <w:rFonts w:ascii="Liberation Sans" w:hAnsi="Liberation Sans"/>
                <w:b w:val="0"/>
                <w:color w:val="1D2833"/>
                <w:sz w:val="16"/>
              </w:rPr>
              <w:t>Feasibility</w:t>
            </w:r>
          </w:p>
        </w:tc>
      </w:tr>
      <w:tr>
        <w:trPr>
          <w:cantSplit/>
        </w:trPr>
        <w:tc>
          <w:tcPr>
            <w:tcW w:type="dxa" w:w="3456"/>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tcPr>
          <w:p>
            <w:pPr>
              <w:spacing w:after="0"/>
            </w:pPr>
            <w:r>
              <w:rPr>
                <w:rFonts w:ascii="Liberation Sans" w:hAnsi="Liberation Sans"/>
                <w:b/>
                <w:color w:val="1D2833"/>
                <w:sz w:val="16"/>
              </w:rPr>
              <w:t>User-friendliness</w:t>
            </w:r>
          </w:p>
        </w:tc>
        <w:tc>
          <w:tcPr>
            <w:tcW w:type="dxa" w:w="3456"/>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tcPr>
          <w:p>
            <w:pPr>
              <w:spacing w:after="0"/>
            </w:pPr>
            <w:r>
              <w:rPr>
                <w:rFonts w:ascii="Liberation Sans" w:hAnsi="Liberation Sans"/>
                <w:b w:val="0"/>
                <w:color w:val="1D2833"/>
                <w:sz w:val="16"/>
              </w:rPr>
              <w:t>Relevance, appropriateness of number/timing, interruption, protection, control, willingness to use.</w:t>
            </w:r>
          </w:p>
        </w:tc>
        <w:tc>
          <w:tcPr>
            <w:tcW w:type="dxa" w:w="3456"/>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tcPr>
          <w:p>
            <w:pPr>
              <w:spacing w:after="0"/>
            </w:pPr>
            <w:r>
              <w:rPr>
                <w:rFonts w:ascii="Liberation Sans" w:hAnsi="Liberation Sans"/>
                <w:b w:val="0"/>
                <w:color w:val="1D2833"/>
                <w:sz w:val="16"/>
              </w:rPr>
              <w:t>Subjective outcome</w:t>
            </w:r>
          </w:p>
        </w:tc>
      </w:tr>
    </w:tbl>
    <w:p>
      <w:pPr>
        <w:spacing w:before="0" w:after="20"/>
      </w:pPr>
    </w:p>
    <w:p>
      <w:pPr>
        <w:pStyle w:val="Heading2"/>
        <w:spacing w:before="0" w:after="80"/>
      </w:pPr>
      <w:r>
        <w:rPr>
          <w:rFonts w:ascii="Liberation Sans" w:hAnsi="Liberation Sans"/>
          <w:b w:val="0"/>
          <w:i w:val="0"/>
        </w:rPr>
        <w:t>8.1 Post-policy user-friendliness items</w:t>
      </w:r>
    </w:p>
    <w:p>
      <w:pPr>
        <w:pStyle w:val="ListBullet"/>
        <w:spacing w:after="40"/>
      </w:pPr>
      <w:r>
        <w:rPr>
          <w:rFonts w:ascii="Liberation Sans" w:hAnsi="Liberation Sans"/>
          <w:sz w:val="18"/>
        </w:rPr>
        <w:t>The reminders focused on privacy risks that were relevant to me.</w:t>
      </w:r>
    </w:p>
    <w:p>
      <w:pPr>
        <w:pStyle w:val="ListBullet"/>
        <w:spacing w:after="40"/>
      </w:pPr>
      <w:r>
        <w:rPr>
          <w:rFonts w:ascii="Liberation Sans" w:hAnsi="Liberation Sans"/>
          <w:sz w:val="18"/>
        </w:rPr>
        <w:t>The number of reminders was appropriate.</w:t>
      </w:r>
    </w:p>
    <w:p>
      <w:pPr>
        <w:pStyle w:val="ListBullet"/>
        <w:spacing w:after="40"/>
      </w:pPr>
      <w:r>
        <w:rPr>
          <w:rFonts w:ascii="Liberation Sans" w:hAnsi="Liberation Sans"/>
          <w:sz w:val="18"/>
        </w:rPr>
        <w:t>The reminders appeared at appropriate moments.</w:t>
      </w:r>
    </w:p>
    <w:p>
      <w:pPr>
        <w:pStyle w:val="ListBullet"/>
        <w:spacing w:after="40"/>
      </w:pPr>
      <w:r>
        <w:rPr>
          <w:rFonts w:ascii="Liberation Sans" w:hAnsi="Liberation Sans"/>
          <w:sz w:val="18"/>
        </w:rPr>
        <w:t>The reminders interrupted the main task more than necessary.</w:t>
      </w:r>
    </w:p>
    <w:p>
      <w:pPr>
        <w:pStyle w:val="ListBullet"/>
        <w:spacing w:after="40"/>
      </w:pPr>
      <w:r>
        <w:rPr>
          <w:rFonts w:ascii="Liberation Sans" w:hAnsi="Liberation Sans"/>
          <w:sz w:val="18"/>
        </w:rPr>
        <w:t>The system made me feel sufficiently protected.</w:t>
      </w:r>
    </w:p>
    <w:p>
      <w:pPr>
        <w:pStyle w:val="ListBullet"/>
        <w:spacing w:after="40"/>
      </w:pPr>
      <w:r>
        <w:rPr>
          <w:rFonts w:ascii="Liberation Sans" w:hAnsi="Liberation Sans"/>
          <w:sz w:val="18"/>
        </w:rPr>
        <w:t>I felt in control of how the assistant handled privacy risks.</w:t>
      </w:r>
    </w:p>
    <w:p>
      <w:pPr>
        <w:pStyle w:val="ListBullet"/>
        <w:spacing w:after="40"/>
      </w:pPr>
      <w:r>
        <w:rPr>
          <w:rFonts w:ascii="Liberation Sans" w:hAnsi="Liberation Sans"/>
          <w:sz w:val="18"/>
        </w:rPr>
        <w:t>I would use this reminder configuration in a real egocentric assistant.</w:t>
      </w:r>
    </w:p>
    <w:p>
      <w:pPr>
        <w:spacing w:before="0" w:after="80"/>
      </w:pPr>
      <w:r>
        <w:rPr>
          <w:rFonts w:ascii="Liberation Sans" w:hAnsi="Liberation Sans"/>
          <w:b w:val="0"/>
          <w:i w:val="0"/>
        </w:rPr>
        <w:t>Use a 7-point agreement scale. Analyze relevance, burden, protection/control, and adoption separately unless psychometric evidence supports a composite.</w:t>
      </w:r>
    </w:p>
    <w:p>
      <w:pPr>
        <w:pStyle w:val="Heading1"/>
        <w:spacing w:before="0" w:after="80"/>
      </w:pPr>
      <w:r>
        <w:rPr>
          <w:rFonts w:ascii="Liberation Sans" w:hAnsi="Liberation Sans"/>
          <w:b w:val="0"/>
          <w:i w:val="0"/>
        </w:rPr>
        <w:t>9. Statistical analysis</w:t>
      </w:r>
    </w:p>
    <w:p>
      <w:pPr>
        <w:pStyle w:val="ListBullet"/>
        <w:spacing w:after="40"/>
      </w:pPr>
      <w:r>
        <w:rPr>
          <w:rFonts w:ascii="Liberation Sans" w:hAnsi="Liberation Sans"/>
          <w:sz w:val="18"/>
        </w:rPr>
        <w:t>Exact alignment: logistic mixed-effects model with policy condition as a fixed effect and participant, clip, and cue as random intercepts.</w:t>
      </w:r>
    </w:p>
    <w:p>
      <w:pPr>
        <w:pStyle w:val="ListBullet"/>
        <w:spacing w:after="40"/>
      </w:pPr>
      <w:r>
        <w:rPr>
          <w:rFonts w:ascii="Liberation Sans" w:hAnsi="Liberation Sans"/>
          <w:sz w:val="18"/>
        </w:rPr>
        <w:t>Ordinal error and preferred action: cumulative-link mixed model or linear mixed model after checking distributional fit.</w:t>
      </w:r>
    </w:p>
    <w:p>
      <w:pPr>
        <w:pStyle w:val="ListBullet"/>
        <w:spacing w:after="40"/>
      </w:pPr>
      <w:r>
        <w:rPr>
          <w:rFonts w:ascii="Liberation Sans" w:hAnsi="Liberation Sans"/>
          <w:sz w:val="18"/>
        </w:rPr>
        <w:t>Over-reminding and under-protection: mixed-effects logistic models; pre-register full VPrivCal versus generic as the primary contrast.</w:t>
      </w:r>
    </w:p>
    <w:p>
      <w:pPr>
        <w:pStyle w:val="ListBullet"/>
        <w:spacing w:after="40"/>
      </w:pPr>
      <w:r>
        <w:rPr>
          <w:rFonts w:ascii="Liberation Sans" w:hAnsi="Liberation Sans"/>
          <w:sz w:val="18"/>
        </w:rPr>
        <w:t>Subjective scales: paired or mixed-effects comparisons across policies; report confidence intervals and effect sizes.</w:t>
      </w:r>
    </w:p>
    <w:p>
      <w:pPr>
        <w:pStyle w:val="ListBullet"/>
        <w:spacing w:after="40"/>
      </w:pPr>
      <w:r>
        <w:rPr>
          <w:rFonts w:ascii="Liberation Sans" w:hAnsi="Liberation Sans"/>
          <w:sz w:val="18"/>
        </w:rPr>
        <w:t>Category transfer: interactions between condition and privacy category, salience, direct versus inferred cue, and temporal dependence.</w:t>
      </w:r>
    </w:p>
    <w:p>
      <w:pPr>
        <w:pStyle w:val="ListBullet"/>
        <w:spacing w:after="40"/>
      </w:pPr>
      <w:r>
        <w:rPr>
          <w:rFonts w:ascii="Liberation Sans" w:hAnsi="Liberation Sans"/>
          <w:sz w:val="18"/>
        </w:rPr>
        <w:t>Robustness: exclude invalid cues, exclude unsure responses, vary severity threshold, and repeat analyses with weighted under-protection costs.</w:t>
      </w:r>
    </w:p>
    <w:p>
      <w:pPr>
        <w:pStyle w:val="Heading1"/>
        <w:spacing w:before="0" w:after="80"/>
      </w:pPr>
      <w:r>
        <w:rPr>
          <w:rFonts w:ascii="Liberation Sans" w:hAnsi="Liberation Sans"/>
          <w:b w:val="0"/>
          <w:i w:val="0"/>
        </w:rPr>
        <w:t>10. Pilot gates and expert screening criteria</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2232"/>
            <w:shd w:fill="153B5B"/>
            <w:tcBorders>
              <w:top w:val="single" w:sz="4" w:color="FFFFFF"/>
              <w:left w:val="single" w:sz="4" w:color="FFFFFF"/>
              <w:bottom w:val="single" w:sz="4" w:color="FFFFFF"/>
              <w:right w:val="single" w:sz="4" w:color="FFFFFF"/>
              <w:insideH w:val="single" w:sz="4" w:color="FFFFFF"/>
              <w:insideV w:val="single" w:sz="4" w:color="FFFFFF"/>
            </w:tcBorders>
            <w:tcMar>
              <w:top w:w="70" w:type="dxa"/>
              <w:start w:w="90" w:type="dxa"/>
              <w:bottom w:w="70" w:type="dxa"/>
              <w:end w:w="90" w:type="dxa"/>
            </w:tcMar>
            <w:vAlign w:val="center"/>
          </w:tcPr>
          <w:p>
            <w:pPr>
              <w:jc w:val="left"/>
            </w:pPr>
            <w:r>
              <w:rPr>
                <w:rFonts w:ascii="Liberation Sans" w:hAnsi="Liberation Sans"/>
                <w:b/>
                <w:color w:val="FFFFFF"/>
                <w:sz w:val="16"/>
              </w:rPr>
              <w:t>Area</w:t>
            </w:r>
          </w:p>
        </w:tc>
        <w:tc>
          <w:tcPr>
            <w:tcW w:type="dxa" w:w="7920"/>
            <w:shd w:fill="153B5B"/>
            <w:tcBorders>
              <w:top w:val="single" w:sz="4" w:color="FFFFFF"/>
              <w:left w:val="single" w:sz="4" w:color="FFFFFF"/>
              <w:bottom w:val="single" w:sz="4" w:color="FFFFFF"/>
              <w:right w:val="single" w:sz="4" w:color="FFFFFF"/>
              <w:insideH w:val="single" w:sz="4" w:color="FFFFFF"/>
              <w:insideV w:val="single" w:sz="4" w:color="FFFFFF"/>
            </w:tcBorders>
            <w:tcMar>
              <w:top w:w="70" w:type="dxa"/>
              <w:start w:w="90" w:type="dxa"/>
              <w:bottom w:w="70" w:type="dxa"/>
              <w:end w:w="90" w:type="dxa"/>
            </w:tcMar>
            <w:vAlign w:val="center"/>
          </w:tcPr>
          <w:p>
            <w:pPr>
              <w:jc w:val="left"/>
            </w:pPr>
            <w:r>
              <w:rPr>
                <w:rFonts w:ascii="Liberation Sans" w:hAnsi="Liberation Sans"/>
                <w:b/>
                <w:color w:val="FFFFFF"/>
                <w:sz w:val="16"/>
              </w:rPr>
              <w:t>Minimum gate before main study</w:t>
            </w:r>
          </w:p>
        </w:tc>
      </w:tr>
      <w:tr>
        <w:trPr>
          <w:cantSplit/>
        </w:trPr>
        <w:tc>
          <w:tcPr>
            <w:tcW w:type="dxa" w:w="5184"/>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rPr>
                <w:rFonts w:ascii="Liberation Sans" w:hAnsi="Liberation Sans"/>
                <w:b/>
                <w:color w:val="1D2833"/>
                <w:sz w:val="16"/>
              </w:rPr>
              <w:t>Q10 comprehension</w:t>
            </w:r>
          </w:p>
        </w:tc>
        <w:tc>
          <w:tcPr>
            <w:tcW w:type="dxa" w:w="5184"/>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rPr>
                <w:rFonts w:ascii="Liberation Sans" w:hAnsi="Liberation Sans"/>
                <w:b w:val="0"/>
                <w:color w:val="1D2833"/>
                <w:sz w:val="16"/>
              </w:rPr>
              <w:t>At least 80% of cognitive-interview participants paraphrase each item consistently.</w:t>
            </w:r>
          </w:p>
        </w:tc>
      </w:tr>
      <w:tr>
        <w:trPr>
          <w:cantSplit/>
        </w:trPr>
        <w:tc>
          <w:tcPr>
            <w:tcW w:type="dxa" w:w="5184"/>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tcPr>
          <w:p>
            <w:pPr>
              <w:spacing w:after="0"/>
            </w:pPr>
            <w:r>
              <w:rPr>
                <w:rFonts w:ascii="Liberation Sans" w:hAnsi="Liberation Sans"/>
                <w:b/>
                <w:color w:val="1D2833"/>
                <w:sz w:val="16"/>
              </w:rPr>
              <w:t>Q10 timing</w:t>
            </w:r>
          </w:p>
        </w:tc>
        <w:tc>
          <w:tcPr>
            <w:tcW w:type="dxa" w:w="5184"/>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tcPr>
          <w:p>
            <w:pPr>
              <w:spacing w:after="0"/>
            </w:pPr>
            <w:r>
              <w:rPr>
                <w:rFonts w:ascii="Liberation Sans" w:hAnsi="Liberation Sans"/>
                <w:b w:val="0"/>
                <w:color w:val="1D2833"/>
                <w:sz w:val="16"/>
              </w:rPr>
              <w:t>Median &lt;= 3 minutes; fewer than 5% skipped core items.</w:t>
            </w:r>
          </w:p>
        </w:tc>
      </w:tr>
      <w:tr>
        <w:trPr>
          <w:cantSplit/>
        </w:trPr>
        <w:tc>
          <w:tcPr>
            <w:tcW w:type="dxa" w:w="5184"/>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rPr>
                <w:rFonts w:ascii="Liberation Sans" w:hAnsi="Liberation Sans"/>
                <w:b/>
                <w:color w:val="1D2833"/>
                <w:sz w:val="16"/>
              </w:rPr>
              <w:t>Probe timing</w:t>
            </w:r>
          </w:p>
        </w:tc>
        <w:tc>
          <w:tcPr>
            <w:tcW w:type="dxa" w:w="5184"/>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t>Median &lt;= 5 minutes for the complete pointing and category-review phase; median total calibration time &lt;= 7 minutes. Re-estimate after the usability pilot rather than assuming a three-minute total.</w:t>
            </w:r>
          </w:p>
        </w:tc>
      </w:tr>
      <w:tr>
        <w:trPr>
          <w:cantSplit/>
        </w:trPr>
        <w:tc>
          <w:tcPr>
            <w:tcW w:type="dxa" w:w="5184"/>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tcPr>
          <w:p>
            <w:pPr>
              <w:spacing w:after="0"/>
            </w:pPr>
            <w:r>
              <w:rPr>
                <w:rFonts w:ascii="Liberation Sans" w:hAnsi="Liberation Sans"/>
                <w:b/>
                <w:color w:val="1D2833"/>
                <w:sz w:val="16"/>
              </w:rPr>
              <w:t>Stimulus distinctiveness</w:t>
            </w:r>
          </w:p>
        </w:tc>
        <w:tc>
          <w:tcPr>
            <w:tcW w:type="dxa" w:w="5184"/>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tcPr>
          <w:p>
            <w:pPr>
              <w:spacing w:after="0"/>
            </w:pPr>
            <w:r>
              <w:t>Experts and users distinguish the private, public, and semi-public settings and understand why the same category may appear in multiple scenes.</w:t>
            </w:r>
          </w:p>
        </w:tc>
      </w:tr>
      <w:tr>
        <w:trPr>
          <w:cantSplit/>
        </w:trPr>
        <w:tc>
          <w:tcPr>
            <w:tcW w:type="dxa" w:w="5184"/>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t>Category and evidence validity</w:t>
            </w:r>
          </w:p>
        </w:tc>
        <w:tc>
          <w:tcPr>
            <w:tcW w:type="dxa" w:w="5184"/>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t>At least 80% accept each listed category as present in its scene and each linked detection as valid supporting evidence; disputed items are revised or removed.</w:t>
            </w:r>
          </w:p>
        </w:tc>
      </w:tr>
      <w:tr>
        <w:trPr>
          <w:cantSplit/>
        </w:trPr>
        <w:tc>
          <w:tcPr>
            <w:tcW w:type="dxa" w:w="5184"/>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tcPr>
          <w:p>
            <w:pPr>
              <w:spacing w:after="0"/>
            </w:pPr>
            <w:r>
              <w:t>Pointing and mapping usability</w:t>
            </w:r>
          </w:p>
        </w:tc>
        <w:tc>
          <w:tcPr>
            <w:tcW w:type="dxa" w:w="5184"/>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tcPr>
          <w:p>
            <w:pPr>
              <w:spacing w:after="0"/>
            </w:pPr>
            <w:r>
              <w:t>At least 90% of intended selections are matched to a detection or successfully corrected through the manual-region/category controls; detections remain hidden before submission.</w:t>
            </w:r>
          </w:p>
        </w:tc>
      </w:tr>
      <w:tr>
        <w:trPr>
          <w:cantSplit/>
        </w:trPr>
        <w:tc>
          <w:tcPr>
            <w:tcW w:type="dxa" w:w="5184"/>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rPr>
                <w:rFonts w:ascii="Liberation Sans" w:hAnsi="Liberation Sans"/>
                <w:b/>
                <w:color w:val="1D2833"/>
                <w:sz w:val="16"/>
              </w:rPr>
              <w:t>Safety</w:t>
            </w:r>
          </w:p>
        </w:tc>
        <w:tc>
          <w:tcPr>
            <w:tcW w:type="dxa" w:w="5184"/>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rPr>
                <w:rFonts w:ascii="Liberation Sans" w:hAnsi="Liberation Sans"/>
                <w:b w:val="0"/>
                <w:color w:val="1D2833"/>
                <w:sz w:val="16"/>
              </w:rPr>
              <w:t>No unresolved critical issue involving bystanders, children, false sensitive inferences, or severe under-protection.</w:t>
            </w:r>
          </w:p>
        </w:tc>
      </w:tr>
    </w:tbl>
    <w:p>
      <w:pPr>
        <w:spacing w:before="0" w:after="20"/>
      </w:pPr>
    </w:p>
    <w:p>
      <w:pPr>
        <w:pStyle w:val="Heading1"/>
        <w:spacing w:before="0" w:after="80"/>
      </w:pPr>
      <w:r>
        <w:rPr>
          <w:rFonts w:ascii="Liberation Sans" w:hAnsi="Liberation Sans"/>
          <w:b w:val="0"/>
          <w:i w:val="0"/>
        </w:rPr>
        <w:t>11. Ethics, data management, and limitations</w:t>
      </w:r>
    </w:p>
    <w:p>
      <w:pPr>
        <w:pStyle w:val="ListBullet"/>
        <w:spacing w:after="40"/>
      </w:pPr>
      <w:r>
        <w:rPr>
          <w:rFonts w:ascii="Liberation Sans" w:hAnsi="Liberation Sans"/>
          <w:sz w:val="18"/>
        </w:rPr>
        <w:t>Use only synthetic or fully consented egocentric stimuli; never expose real identifiers or real sensitive records.</w:t>
      </w:r>
    </w:p>
    <w:p>
      <w:pPr>
        <w:pStyle w:val="ListBullet"/>
        <w:spacing w:after="40"/>
      </w:pPr>
      <w:r>
        <w:rPr>
          <w:rFonts w:ascii="Liberation Sans" w:hAnsi="Liberation Sans"/>
          <w:sz w:val="18"/>
        </w:rPr>
        <w:t>Do not ask the model to infer actual protected traits about identifiable real people. Use synthetic cues and categorical descriptions.</w:t>
      </w:r>
    </w:p>
    <w:p>
      <w:pPr>
        <w:pStyle w:val="ListBullet"/>
        <w:spacing w:after="40"/>
      </w:pPr>
      <w:r>
        <w:rPr>
          <w:rFonts w:ascii="Liberation Sans" w:hAnsi="Liberation Sans"/>
          <w:sz w:val="18"/>
        </w:rPr>
        <w:t>Allow participants to skip high-risk content and explain that the calibration cannot guarantee privacy.</w:t>
      </w:r>
    </w:p>
    <w:p>
      <w:pPr>
        <w:pStyle w:val="ListBullet"/>
        <w:spacing w:after="40"/>
      </w:pPr>
      <w:r>
        <w:rPr>
          <w:rFonts w:ascii="Liberation Sans" w:hAnsi="Liberation Sans"/>
          <w:sz w:val="18"/>
        </w:rPr>
        <w:t>Store only de-identified responses; keep image/video files separate from participant identifiers.</w:t>
      </w:r>
    </w:p>
    <w:p>
      <w:pPr>
        <w:pStyle w:val="ListBullet"/>
        <w:spacing w:after="40"/>
      </w:pPr>
      <w:r>
        <w:t>The three-scene Probe provides retrospective and interaction-based awareness evidence, but it still cannot establish spontaneous awareness during unconstrained natural use.</w:t>
      </w:r>
    </w:p>
    <w:p>
      <w:pPr>
        <w:pStyle w:val="ListBullet"/>
        <w:spacing w:after="40"/>
      </w:pPr>
      <w:r>
        <w:rPr>
          <w:rFonts w:ascii="Liberation Sans" w:hAnsi="Liberation Sans"/>
          <w:sz w:val="18"/>
        </w:rPr>
        <w:t>The initial results generalize to egocentric assistance, not automatically to uploaded photos, screenshots, or social-media images.</w:t>
      </w:r>
    </w:p>
    <w:p>
      <w:pPr>
        <w:pStyle w:val="Heading1"/>
        <w:spacing w:before="0" w:after="80"/>
      </w:pPr>
      <w:r>
        <w:rPr>
          <w:rFonts w:ascii="Liberation Sans" w:hAnsi="Liberation Sans"/>
          <w:b w:val="0"/>
          <w:i w:val="0"/>
        </w:rPr>
        <w:t>12. Recommended execution sequence</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cantSplit/>
        </w:trPr>
        <w:tc>
          <w:tcPr>
            <w:tcW w:type="dxa" w:w="2016"/>
            <w:shd w:fill="153B5B"/>
            <w:tcBorders>
              <w:top w:val="single" w:sz="4" w:color="FFFFFF"/>
              <w:left w:val="single" w:sz="4" w:color="FFFFFF"/>
              <w:bottom w:val="single" w:sz="4" w:color="FFFFFF"/>
              <w:right w:val="single" w:sz="4" w:color="FFFFFF"/>
              <w:insideH w:val="single" w:sz="4" w:color="FFFFFF"/>
              <w:insideV w:val="single" w:sz="4" w:color="FFFFFF"/>
            </w:tcBorders>
            <w:tcMar>
              <w:top w:w="70" w:type="dxa"/>
              <w:start w:w="90" w:type="dxa"/>
              <w:bottom w:w="70" w:type="dxa"/>
              <w:end w:w="90" w:type="dxa"/>
            </w:tcMar>
            <w:vAlign w:val="center"/>
          </w:tcPr>
          <w:p>
            <w:pPr>
              <w:jc w:val="left"/>
            </w:pPr>
            <w:r>
              <w:rPr>
                <w:rFonts w:ascii="Liberation Sans" w:hAnsi="Liberation Sans"/>
                <w:b/>
                <w:color w:val="FFFFFF"/>
                <w:sz w:val="16"/>
              </w:rPr>
              <w:t>Phase</w:t>
            </w:r>
          </w:p>
        </w:tc>
        <w:tc>
          <w:tcPr>
            <w:tcW w:type="dxa" w:w="1728"/>
            <w:shd w:fill="153B5B"/>
            <w:tcBorders>
              <w:top w:val="single" w:sz="4" w:color="FFFFFF"/>
              <w:left w:val="single" w:sz="4" w:color="FFFFFF"/>
              <w:bottom w:val="single" w:sz="4" w:color="FFFFFF"/>
              <w:right w:val="single" w:sz="4" w:color="FFFFFF"/>
              <w:insideH w:val="single" w:sz="4" w:color="FFFFFF"/>
              <w:insideV w:val="single" w:sz="4" w:color="FFFFFF"/>
            </w:tcBorders>
            <w:tcMar>
              <w:top w:w="70" w:type="dxa"/>
              <w:start w:w="90" w:type="dxa"/>
              <w:bottom w:w="70" w:type="dxa"/>
              <w:end w:w="90" w:type="dxa"/>
            </w:tcMar>
            <w:vAlign w:val="center"/>
          </w:tcPr>
          <w:p>
            <w:pPr>
              <w:jc w:val="left"/>
            </w:pPr>
            <w:r>
              <w:rPr>
                <w:rFonts w:ascii="Liberation Sans" w:hAnsi="Liberation Sans"/>
                <w:b/>
                <w:color w:val="FFFFFF"/>
                <w:sz w:val="16"/>
              </w:rPr>
              <w:t>Participants</w:t>
            </w:r>
          </w:p>
        </w:tc>
        <w:tc>
          <w:tcPr>
            <w:tcW w:type="dxa" w:w="6408"/>
            <w:shd w:fill="153B5B"/>
            <w:tcBorders>
              <w:top w:val="single" w:sz="4" w:color="FFFFFF"/>
              <w:left w:val="single" w:sz="4" w:color="FFFFFF"/>
              <w:bottom w:val="single" w:sz="4" w:color="FFFFFF"/>
              <w:right w:val="single" w:sz="4" w:color="FFFFFF"/>
              <w:insideH w:val="single" w:sz="4" w:color="FFFFFF"/>
              <w:insideV w:val="single" w:sz="4" w:color="FFFFFF"/>
            </w:tcBorders>
            <w:tcMar>
              <w:top w:w="70" w:type="dxa"/>
              <w:start w:w="90" w:type="dxa"/>
              <w:bottom w:w="70" w:type="dxa"/>
              <w:end w:w="90" w:type="dxa"/>
            </w:tcMar>
            <w:vAlign w:val="center"/>
          </w:tcPr>
          <w:p>
            <w:pPr>
              <w:jc w:val="left"/>
            </w:pPr>
            <w:r>
              <w:rPr>
                <w:rFonts w:ascii="Liberation Sans" w:hAnsi="Liberation Sans"/>
                <w:b/>
                <w:color w:val="FFFFFF"/>
                <w:sz w:val="16"/>
              </w:rPr>
              <w:t>Purpose</w:t>
            </w:r>
          </w:p>
        </w:tc>
      </w:tr>
      <w:tr>
        <w:trPr>
          <w:cantSplit/>
        </w:trPr>
        <w:tc>
          <w:tcPr>
            <w:tcW w:type="dxa" w:w="3456"/>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rPr>
                <w:rFonts w:ascii="Liberation Sans" w:hAnsi="Liberation Sans"/>
                <w:b/>
                <w:color w:val="1D2833"/>
                <w:sz w:val="16"/>
              </w:rPr>
              <w:t>Expert screen</w:t>
            </w:r>
          </w:p>
        </w:tc>
        <w:tc>
          <w:tcPr>
            <w:tcW w:type="dxa" w:w="3456"/>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rPr>
                <w:rFonts w:ascii="Liberation Sans" w:hAnsi="Liberation Sans"/>
                <w:b w:val="0"/>
                <w:color w:val="1D2833"/>
                <w:sz w:val="16"/>
              </w:rPr>
              <w:t>6-10 experts</w:t>
            </w:r>
          </w:p>
        </w:tc>
        <w:tc>
          <w:tcPr>
            <w:tcW w:type="dxa" w:w="3456"/>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rPr>
                <w:rFonts w:ascii="Liberation Sans" w:hAnsi="Liberation Sans"/>
                <w:b w:val="0"/>
                <w:color w:val="1D2833"/>
                <w:sz w:val="16"/>
              </w:rPr>
              <w:t>Review content validity, cue coverage, action semantics, safety, and study feasibility.</w:t>
            </w:r>
          </w:p>
        </w:tc>
      </w:tr>
      <w:tr>
        <w:trPr>
          <w:cantSplit/>
        </w:trPr>
        <w:tc>
          <w:tcPr>
            <w:tcW w:type="dxa" w:w="3456"/>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tcPr>
          <w:p>
            <w:pPr>
              <w:spacing w:after="0"/>
            </w:pPr>
            <w:r>
              <w:rPr>
                <w:rFonts w:ascii="Liberation Sans" w:hAnsi="Liberation Sans"/>
                <w:b/>
                <w:color w:val="1D2833"/>
                <w:sz w:val="16"/>
              </w:rPr>
              <w:t>Cognitive interviews</w:t>
            </w:r>
          </w:p>
        </w:tc>
        <w:tc>
          <w:tcPr>
            <w:tcW w:type="dxa" w:w="3456"/>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tcPr>
          <w:p>
            <w:pPr>
              <w:spacing w:after="0"/>
            </w:pPr>
            <w:r>
              <w:rPr>
                <w:rFonts w:ascii="Liberation Sans" w:hAnsi="Liberation Sans"/>
                <w:b w:val="0"/>
                <w:color w:val="1D2833"/>
                <w:sz w:val="16"/>
              </w:rPr>
              <w:t>6-10 target users</w:t>
            </w:r>
          </w:p>
        </w:tc>
        <w:tc>
          <w:tcPr>
            <w:tcW w:type="dxa" w:w="3456"/>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tcPr>
          <w:p>
            <w:pPr>
              <w:spacing w:after="0"/>
            </w:pPr>
            <w:r>
              <w:rPr>
                <w:rFonts w:ascii="Liberation Sans" w:hAnsi="Liberation Sans"/>
                <w:b w:val="0"/>
                <w:color w:val="1D2833"/>
                <w:sz w:val="16"/>
              </w:rPr>
              <w:t>Check interpretation of Q10, probe responses, and policy labels.</w:t>
            </w:r>
          </w:p>
        </w:tc>
      </w:tr>
      <w:tr>
        <w:trPr>
          <w:cantSplit/>
        </w:trPr>
        <w:tc>
          <w:tcPr>
            <w:tcW w:type="dxa" w:w="3456"/>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rPr>
                <w:rFonts w:ascii="Liberation Sans" w:hAnsi="Liberation Sans"/>
                <w:b/>
                <w:color w:val="1D2833"/>
                <w:sz w:val="16"/>
              </w:rPr>
              <w:t>Usability pilot</w:t>
            </w:r>
          </w:p>
        </w:tc>
        <w:tc>
          <w:tcPr>
            <w:tcW w:type="dxa" w:w="3456"/>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rPr>
                <w:rFonts w:ascii="Liberation Sans" w:hAnsi="Liberation Sans"/>
                <w:b w:val="0"/>
                <w:color w:val="1D2833"/>
                <w:sz w:val="16"/>
              </w:rPr>
              <w:t>12-20 users</w:t>
            </w:r>
          </w:p>
        </w:tc>
        <w:tc>
          <w:tcPr>
            <w:tcW w:type="dxa" w:w="3456"/>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rPr>
                <w:rFonts w:ascii="Liberation Sans" w:hAnsi="Liberation Sans"/>
                <w:b w:val="0"/>
                <w:color w:val="1D2833"/>
                <w:sz w:val="16"/>
              </w:rPr>
              <w:t>Measure timing, confusion, scene salience, and workflow failures.</w:t>
            </w:r>
          </w:p>
        </w:tc>
      </w:tr>
      <w:tr>
        <w:trPr>
          <w:cantSplit/>
        </w:trPr>
        <w:tc>
          <w:tcPr>
            <w:tcW w:type="dxa" w:w="3456"/>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tcPr>
          <w:p>
            <w:pPr>
              <w:spacing w:after="0"/>
            </w:pPr>
            <w:r>
              <w:rPr>
                <w:rFonts w:ascii="Liberation Sans" w:hAnsi="Liberation Sans"/>
                <w:b/>
                <w:color w:val="1D2833"/>
                <w:sz w:val="16"/>
              </w:rPr>
              <w:t>Main evaluation</w:t>
            </w:r>
          </w:p>
        </w:tc>
        <w:tc>
          <w:tcPr>
            <w:tcW w:type="dxa" w:w="3456"/>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tcPr>
          <w:p>
            <w:pPr>
              <w:spacing w:after="0"/>
            </w:pPr>
            <w:r>
              <w:rPr>
                <w:rFonts w:ascii="Liberation Sans" w:hAnsi="Liberation Sans"/>
                <w:b w:val="0"/>
                <w:color w:val="1D2833"/>
                <w:sz w:val="16"/>
              </w:rPr>
              <w:t>80-120 users</w:t>
            </w:r>
          </w:p>
        </w:tc>
        <w:tc>
          <w:tcPr>
            <w:tcW w:type="dxa" w:w="3456"/>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tcPr>
          <w:p>
            <w:pPr>
              <w:spacing w:after="0"/>
            </w:pPr>
            <w:r>
              <w:rPr>
                <w:rFonts w:ascii="Liberation Sans" w:hAnsi="Liberation Sans"/>
                <w:b w:val="0"/>
                <w:color w:val="1D2833"/>
                <w:sz w:val="16"/>
              </w:rPr>
              <w:t>Compare generic, Q10-only, and full VPrivCal on held-out videos.</w:t>
            </w:r>
          </w:p>
        </w:tc>
      </w:tr>
      <w:tr>
        <w:trPr>
          <w:cantSplit/>
        </w:trPr>
        <w:tc>
          <w:tcPr>
            <w:tcW w:type="dxa" w:w="3456"/>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rPr>
                <w:rFonts w:ascii="Liberation Sans" w:hAnsi="Liberation Sans"/>
                <w:b/>
                <w:color w:val="1D2833"/>
                <w:sz w:val="16"/>
              </w:rPr>
              <w:t>External validation</w:t>
            </w:r>
          </w:p>
        </w:tc>
        <w:tc>
          <w:tcPr>
            <w:tcW w:type="dxa" w:w="3456"/>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rPr>
                <w:rFonts w:ascii="Liberation Sans" w:hAnsi="Liberation Sans"/>
                <w:b w:val="0"/>
                <w:color w:val="1D2833"/>
                <w:sz w:val="16"/>
              </w:rPr>
              <w:t>Optional</w:t>
            </w:r>
          </w:p>
        </w:tc>
        <w:tc>
          <w:tcPr>
            <w:tcW w:type="dxa" w:w="3456"/>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rPr>
                <w:rFonts w:ascii="Liberation Sans" w:hAnsi="Liberation Sans"/>
                <w:b w:val="0"/>
                <w:color w:val="1D2833"/>
                <w:sz w:val="16"/>
              </w:rPr>
              <w:t>Repeat on a new video set, user population, or VLM.</w:t>
            </w:r>
          </w:p>
        </w:tc>
      </w:tr>
    </w:tbl>
    <w:p>
      <w:pPr>
        <w:spacing w:before="0" w:after="20"/>
      </w:pPr>
    </w:p>
    <w:p>
      <w:pPr>
        <w:pStyle w:val="Heading1"/>
        <w:spacing w:before="0" w:after="80"/>
      </w:pPr>
      <w:r>
        <w:rPr>
          <w:rFonts w:ascii="Liberation Sans" w:hAnsi="Liberation Sans"/>
          <w:b w:val="0"/>
          <w:i w:val="0"/>
        </w:rPr>
        <w:t>13. References</w:t>
      </w:r>
    </w:p>
    <w:p>
      <w:pPr>
        <w:spacing w:before="0" w:after="60"/>
      </w:pPr>
      <w:r>
        <w:rPr>
          <w:rFonts w:ascii="Liberation Sans" w:hAnsi="Liberation Sans"/>
          <w:b w:val="0"/>
          <w:i w:val="0"/>
          <w:sz w:val="16"/>
        </w:rPr>
        <w:t>Tsaprazlis, E., Feng, T., Ramakrishna, A., Gupta, R., &amp; Narayanan, S. (2025). Assessing Visual Privacy Risks in Multimodal AI: A Novel Taxonomy-Grounded Evaluation of Vision-Language Models. arXiv:2509.23827.</w:t>
      </w:r>
    </w:p>
    <w:p>
      <w:pPr>
        <w:spacing w:before="0" w:after="60"/>
      </w:pPr>
      <w:r>
        <w:rPr>
          <w:rFonts w:ascii="Liberation Sans" w:hAnsi="Liberation Sans"/>
          <w:b w:val="0"/>
          <w:i w:val="0"/>
          <w:sz w:val="16"/>
        </w:rPr>
        <w:t>Orekondy, T., Schiele, B., &amp; Fritz, M. (2017). Towards a Visual Privacy Advisor: Understanding and Predicting Privacy Risks in Images. ICCV.</w:t>
      </w:r>
    </w:p>
    <w:p>
      <w:pPr>
        <w:spacing w:before="0" w:after="60"/>
      </w:pPr>
      <w:r>
        <w:rPr>
          <w:rFonts w:ascii="Liberation Sans" w:hAnsi="Liberation Sans"/>
          <w:b w:val="0"/>
          <w:i w:val="0"/>
          <w:sz w:val="16"/>
        </w:rPr>
        <w:t>Tomekce, B., Vero, M., Staab, R., &amp; Vechev, M. (2025). Private Attribute Inference from Images with Vision-Language Models. NeurIPS.</w:t>
      </w:r>
    </w:p>
    <w:p>
      <w:pPr>
        <w:spacing w:before="0" w:after="60"/>
      </w:pPr>
      <w:r>
        <w:rPr>
          <w:rFonts w:ascii="Liberation Sans" w:hAnsi="Liberation Sans"/>
          <w:b w:val="0"/>
          <w:i w:val="0"/>
          <w:sz w:val="16"/>
        </w:rPr>
        <w:t>Amershi, S., et al. (2019). Guidelines for Human-AI Interaction. CHI.</w:t>
      </w:r>
    </w:p>
    <w:p>
      <w:pPr>
        <w:spacing w:before="0" w:after="60"/>
      </w:pPr>
      <w:r>
        <w:rPr>
          <w:rFonts w:ascii="Liberation Sans" w:hAnsi="Liberation Sans"/>
          <w:b w:val="0"/>
          <w:i w:val="0"/>
          <w:sz w:val="16"/>
        </w:rPr>
        <w:t>Terwee, C. B., et al. (2018). COSMIN methodology for evaluating content validity. Quality of Life Research, 27, 1159-1170.</w:t>
      </w:r>
    </w:p>
    <w:p>
      <w:pPr>
        <w:spacing w:before="0" w:after="60"/>
      </w:pPr>
      <w:r>
        <w:rPr>
          <w:rFonts w:ascii="Liberation Sans" w:hAnsi="Liberation Sans"/>
          <w:b w:val="0"/>
          <w:i w:val="0"/>
          <w:sz w:val="16"/>
        </w:rPr>
        <w:t>Polit, D. F., Beck, C. T., &amp; Owen, S. V. (2007). Is the CVI an acceptable indicator of content validity? Research in Nursing &amp; Health, 30(4), 459-467.</w:t>
      </w:r>
    </w:p>
    <w:sectPr w:rsidR="00FC693F" w:rsidRPr="0006063C" w:rsidSect="00034616">
      <w:headerReference w:type="default" r:id="rId9"/>
      <w:footerReference w:type="default" r:id="rId10"/>
      <w:pgSz w:w="12240" w:h="15840"/>
      <w:pgMar w:top="792" w:right="936" w:bottom="792" w:left="936" w:header="317"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color w:val="5A6570"/>
        <w:sz w:val="16"/>
      </w:rPr>
      <w:t xml:space="preserve">VPrivCal full research plan  |  July 2026  |  </w:t>
    </w:r>
    <w:r>
      <w:rPr>
        <w:rFonts w:ascii="Liberation Sans" w:hAnsi="Liberation Sans"/>
        <w:color w:val="5A6570"/>
        <w:sz w:val="16"/>
      </w:rPr>
      <w:t xml:space="preserve">Page </w:t>
    </w:r>
    <w:fldSimple w:instr="PAGE">
      <w:r>
        <w:rPr>
          <w:rFonts w:ascii="Liberation Sans" w:hAnsi="Liberation Sans"/>
          <w:sz w:val="16"/>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b/>
        <w:color w:val="5A6570"/>
        <w:sz w:val="15"/>
      </w:rPr>
      <w:t>VPRIVCAL FULL RESEARCH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Liberation Sans" w:hAnsi="Liberation San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Liberation Sans" w:hAnsi="Liberation Sans"/>
      <w:b/>
      <w:bCs/>
      <w:color w:val="153B5B"/>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Liberation Sans" w:hAnsi="Liberation Sans"/>
      <w:b/>
      <w:bCs/>
      <w:color w:val="1E6F78"/>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Liberation Sans" w:hAnsi="Liberation Sans"/>
      <w:b/>
      <w:bCs/>
      <w:color w:val="7255A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60"/>
      <w:contextualSpacing/>
    </w:pPr>
    <w:rPr>
      <w:rFonts w:asciiTheme="majorHAnsi" w:eastAsiaTheme="majorEastAsia" w:hAnsiTheme="majorHAnsi" w:cstheme="majorBidi" w:ascii="Liberation Sans" w:hAnsi="Liberation Sans"/>
      <w:b/>
      <w:color w:val="153B5B"/>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80"/>
    </w:pPr>
    <w:rPr>
      <w:rFonts w:asciiTheme="majorHAnsi" w:eastAsiaTheme="majorEastAsia" w:hAnsiTheme="majorHAnsi" w:cstheme="majorBidi" w:ascii="Liberation Sans" w:hAnsi="Liberation Sans"/>
      <w:b w:val="0"/>
      <w:i/>
      <w:iCs/>
      <w:color w:val="1E6F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before="40" w:after="120"/>
    </w:pPr>
    <w:rPr>
      <w:rFonts w:ascii="Liberation Sans" w:hAnsi="Liberation Sans"/>
      <w:i/>
      <w:color w:val="5A657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VPrivCal full research plan</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