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jc w:val="center"/>
      </w:pPr>
      <w:r>
        <w:rPr>
          <w:rFonts w:ascii="Liberation Sans" w:hAnsi="Liberation Sans"/>
          <w:b w:val="0"/>
          <w:i w:val="0"/>
        </w:rPr>
        <w:t>VPrivCal Expert Review</w:t>
      </w:r>
    </w:p>
    <w:p>
      <w:pPr>
        <w:pStyle w:val="Subtitle"/>
        <w:spacing w:before="0" w:after="60"/>
        <w:jc w:val="center"/>
      </w:pPr>
      <w:r>
        <w:rPr>
          <w:rFonts w:ascii="Liberation Sans" w:hAnsi="Liberation Sans"/>
          <w:b w:val="0"/>
          <w:i w:val="0"/>
        </w:rPr>
        <w:t xml:space="preserve">Interface-aligned screening workbook for VPrivCal-Q10 and VPrivCal-Probe</w:t>
      </w:r>
    </w:p>
    <w:p>
      <w:pPr>
        <w:spacing w:before="0" w:after="240"/>
        <w:jc w:val="center"/>
      </w:pPr>
      <w:r>
        <w:rPr>
          <w:rFonts w:ascii="Liberation Sans" w:hAnsi="Liberation Sans"/>
          <w:b w:val="0"/>
          <w:i/>
          <w:color w:val="5A6570"/>
          <w:sz w:val="22"/>
        </w:rPr>
        <w:t>Short workshop version for professional researchers</w:t>
      </w:r>
    </w:p>
    <w:tbl>
      <w:tblPr>
        <w:tblLook w:firstColumn="1" w:firstRow="1" w:lastColumn="0" w:lastRow="0" w:noHBand="0" w:noVBand="1" w:val="04A0"/>
        <w:tblW w:type="dxa" w:w="10080"/>
        <w:tblInd w:type="dxa" w:w="144"/>
        <w:tblLayout w:type="fixed"/>
        <w:jc w:val="left"/>
      </w:tblPr>
      <w:tblGrid>
        <w:gridCol w:w="10080"/>
      </w:tblGrid>
      <w:tr>
        <w:trPr>
          <w:cantSplit/>
          <w:tblHeader/>
          <w:tblHeader w:val="true"/>
          <w:tblHeader w:val="true"/>
        </w:trPr>
        <w:tc>
          <w:tcPr>
            <w:tcW w:type="dxa" w:w="10080"/>
            <w:shd w:fill="E8F4F2"/>
            <w:tcBorders>
              <w:top w:val="single" w:sz="8" w:color="1E6F78"/>
              <w:left w:val="single" w:sz="8" w:color="1E6F78"/>
              <w:bottom w:val="single" w:sz="8" w:color="1E6F78"/>
              <w:right w:val="single" w:sz="8" w:color="1E6F78"/>
              <w:insideH w:val="single" w:sz="8" w:color="1E6F78"/>
              <w:insideV w:val="single" w:sz="8" w:color="1E6F78"/>
            </w:tcBorders>
            <w:tcMar>
              <w:top w:w="72" w:type="dxa"/>
              <w:start w:w="110" w:type="dxa"/>
              <w:bottom w:w="72" w:type="dxa"/>
              <w:end w:w="110" w:type="dxa"/>
              <w:left w:w="72" w:type="dxa"/>
              <w:right w:w="72" w:type="dxa"/>
            </w:tcMar>
            <w:vAlign w:val="center"/>
          </w:tcPr>
          <w:p>
            <w:r>
              <w:t>Decision / research question</w:t>
              <w:br/>
              <w:t>Are the three-option category triggers, five-point cross-cutting agreement questions, expert-verified exposure labels, Probe interface, and held-out acceptance evaluation sufficiently clear, low-burden, and testable?</w:t>
            </w:r>
          </w:p>
        </w:tc>
      </w:tr>
    </w:tbl>
    <w:p>
      <w:pPr>
        <w:spacing w:before="0" w:after="20"/>
      </w:pPr>
    </w:p>
    <w:p>
      <w:pPr>
        <w:pStyle w:val="Heading1"/>
        <w:spacing w:before="0" w:after="80"/>
      </w:pPr>
      <w:r>
        <w:rPr>
          <w:rFonts w:ascii="Liberation Sans" w:hAnsi="Liberation Sans"/>
          <w:b w:val="0"/>
          <w:i w:val="0"/>
        </w:rPr>
        <w:t>Method at a glance</w:t>
      </w:r>
    </w:p>
    <w:tbl>
      <w:tblPr>
        <w:tblStyle w:val="TableGrid"/>
        <w:tblLook w:firstColumn="1" w:firstRow="1" w:lastColumn="0" w:lastRow="0" w:noHBand="0" w:noVBand="1" w:val="04A0"/>
        <w:tblW w:type="dxa" w:w="10080"/>
        <w:tblInd w:type="dxa" w:w="144"/>
        <w:tblLayout w:type="fixed"/>
        <w:jc w:val="left"/>
      </w:tblPr>
      <w:tblGrid>
        <w:gridCol w:w="5040"/>
        <w:gridCol w:w="5040"/>
      </w:tblGrid>
      <w:tr>
        <w:trPr>
          <w:tblHeader w:val="true"/>
          <w:cantSplit/>
          <w:tblHeader w:val="true"/>
          <w:tblHeader w:val="true"/>
        </w:trPr>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Element</w:t>
            </w:r>
          </w:p>
        </w:tc>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Current design</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VPrivCal-Q10</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r>
              <w:t>Ten direct policy questions: Q1-Q6 share one three-option category trigger scale; Q7-Q10 share one five-point agreement scale with distinct risk thresholds.</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7"/>
              </w:rPr>
              <w:t>VPrivCal-Probe</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 xml:space="preserve">Three egocentric scenes spanning private, public, and semi-public contexts. After a required Hint walkthrough, participants mark areas without naming categories, then review each present internal category through neutral linked-content labels and optional evidence highlights.</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Calibration target</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 xml:space="preserve">Provisional pilot target: approximately 5-7 minutes total for Q10 plus Probe. Time the required Hint walkthrough separately and confirm the total empirically.</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7"/>
              </w:rPr>
              <w:t>Effectiveness test</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r>
              <w:t>Generic versus Q10-only versus full VPrivCal under the same expert-verified cue set and standardized reminder; participants report cue awareness, immediate acceptance, and preferred binary decision. Q8 is the general show/hide score; Q10 is retained provisionally so its relationship with acceptance can be tested.</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Expert output</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r>
              <w:t>Review the category trigger labels, four agreement statements, distinct likelihood-plus-severity thresholds, exposure annotation, Probe burden, deterministic rule, controlled comparison, and pilot readiness.</w:t>
            </w:r>
          </w:p>
        </w:tc>
      </w:tr>
    </w:tbl>
    <w:p>
      <w:pPr>
        <w:spacing w:before="0" w:after="20"/>
      </w:pPr>
    </w:p>
    <w:p>
      <w:pPr>
        <w:spacing w:before="0" w:after="0"/>
      </w:pPr>
      <w:r>
        <w:t>Version 6.4 | July 2026 | Five-point cross-cutting agreement edition</w:t>
      </w:r>
    </w:p>
    <w:p>
      <w:r>
        <w:br w:type="page"/>
      </w:r>
    </w:p>
    <w:p>
      <w:pPr>
        <w:pStyle w:val="Heading1"/>
        <w:spacing w:before="0" w:after="80"/>
      </w:pPr>
      <w:r>
        <w:rPr>
          <w:rFonts w:ascii="Liberation Sans" w:hAnsi="Liberation Sans"/>
          <w:b w:val="0"/>
          <w:i w:val="0"/>
        </w:rPr>
        <w:t>1. Reviewer instructions</w:t>
      </w:r>
    </w:p>
    <w:p>
      <w:pPr>
        <w:spacing w:before="0" w:after="80"/>
      </w:pPr>
      <w:r>
        <w:rPr>
          <w:rFonts w:ascii="Liberation Sans" w:hAnsi="Liberation Sans"/>
          <w:b w:val="0"/>
          <w:i w:val="0"/>
        </w:rPr>
        <w:t xml:space="preserve">Complete ratings independently before discussion. Use the expert-review interface, start each scene from a fresh state, and judge the visible design as implemented. Proposed fixes belong in the comment fields and should not inflate the current rating. The profile screen is currently disabled and is not participant-facing functionality.</w:t>
      </w:r>
    </w:p>
    <w:p>
      <w:pPr>
        <w:pStyle w:val="Heading1"/>
      </w:pPr>
      <w:r>
        <w:t>Study introduction and background</w:t>
      </w:r>
    </w:p>
    <w:p>
      <w:pPr/>
      <w:r>
        <w:t>VPrivCal is a brief cold-start calibration method for egocentric vision-language assistants. Six category-specific trigger questions, four cross-cutting agreement items, and a three-scene Probe produce an auditable binary policy: show a standardized privacy reminder or do not show it.</w:t>
      </w:r>
    </w:p>
    <w:p>
      <w:pPr/>
      <w:r>
        <w:t>Egocentric video can continuously expose identifying, household, bystander, and contextual information. A fixed policy may over-warn some users and under-protect others. This review therefore examines whether the five-point risk thresholds, expert-verified cues, Probe corrections, and held-out acceptance measures are understandable and suitable for cognitive testing.</w:t>
      </w:r>
    </w:p>
    <w:tbl>
      <w:tblPr>
        <w:tblStyle w:val="TableGrid"/>
        <w:tblLook w:firstColumn="1" w:firstRow="1" w:lastColumn="0" w:lastRow="0" w:noHBand="0" w:noVBand="1" w:val="04A0"/>
        <w:tblW w:type="dxa" w:w="10080"/>
        <w:tblInd w:type="dxa" w:w="144"/>
        <w:tblLayout w:type="fixed"/>
        <w:jc w:val="left"/>
      </w:tblPr>
      <w:tblGrid>
        <w:gridCol w:w="5040"/>
        <w:gridCol w:w="5040"/>
      </w:tblGrid>
      <w:tr>
        <w:trPr>
          <w:tblHeader w:val="true"/>
          <w:cantSplit/>
          <w:tblHeader w:val="true"/>
          <w:tblHeader w:val="true"/>
        </w:trPr>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Rating</w:t>
            </w:r>
          </w:p>
        </w:tc>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Meaning</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1</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7"/>
              </w:rPr>
              <w:t>Major problem / not ready</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7"/>
              </w:rPr>
              <w:t>2</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7"/>
              </w:rPr>
              <w:t>Substantial revision needed</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3</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7"/>
              </w:rPr>
              <w:t>Acceptable with minor revision</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7"/>
              </w:rPr>
              <w:t>4</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7"/>
              </w:rPr>
              <w:t>Strong / ready for cognitive testing</w:t>
            </w:r>
          </w:p>
        </w:tc>
      </w:tr>
    </w:tbl>
    <w:p>
      <w:pPr>
        <w:spacing w:before="0" w:after="20"/>
      </w:pPr>
    </w:p>
    <w:p>
      <w:pPr>
        <w:pStyle w:val="Heading1"/>
        <w:spacing w:before="0" w:after="80"/>
      </w:pPr>
      <w:r>
        <w:rPr>
          <w:rFonts w:ascii="Liberation Sans" w:hAnsi="Liberation Sans"/>
          <w:b w:val="0"/>
          <w:i w:val="0"/>
        </w:rPr>
        <w:t>2. Method workflow</w:t>
      </w:r>
    </w:p>
    <w:p>
      <w:pPr>
        <w:spacing w:after="40"/>
        <w:jc w:val="center"/>
      </w:pPr>
      <w:r>
        <w:drawing>
          <wp:inline xmlns:a="http://schemas.openxmlformats.org/drawingml/2006/main" xmlns:pic="http://schemas.openxmlformats.org/drawingml/2006/picture">
            <wp:extent cx="6400800" cy="2026920"/>
            <wp:docPr id="1" name="Picture 1" descr="Image: image1.png"/>
            <wp:cNvGraphicFramePr>
              <a:graphicFrameLocks noChangeAspect="1"/>
            </wp:cNvGraphicFramePr>
            <a:graphic>
              <a:graphicData uri="http://schemas.openxmlformats.org/drawingml/2006/picture">
                <pic:pic>
                  <pic:nvPicPr>
                    <pic:cNvPr id="0" name="vprivcal_workflow.png"/>
                    <pic:cNvPicPr/>
                  </pic:nvPicPr>
                  <pic:blipFill>
                    <a:blip r:embed="rId11"/>
                    <a:stretch>
                      <a:fillRect/>
                    </a:stretch>
                  </pic:blipFill>
                  <pic:spPr>
                    <a:xfrm>
                      <a:off x="0" y="0"/>
                      <a:ext cx="6400800" cy="2026920"/>
                    </a:xfrm>
                    <a:prstGeom prst="rect"/>
                  </pic:spPr>
                </pic:pic>
              </a:graphicData>
            </a:graphic>
          </wp:inline>
        </w:drawing>
      </w:r>
    </w:p>
    <w:tbl>
      <w:tblPr>
        <w:tblStyle w:val="TableGrid"/>
        <w:tblLook w:firstColumn="1" w:firstRow="1" w:lastColumn="0" w:lastRow="0" w:noHBand="0" w:noVBand="1" w:val="04A0"/>
        <w:tblW w:type="dxa" w:w="10080"/>
        <w:tblInd w:type="dxa" w:w="144"/>
        <w:tblLayout w:type="fixed"/>
        <w:jc w:val="left"/>
      </w:tblPr>
      <w:tblGrid>
        <w:gridCol w:w="5040"/>
        <w:gridCol w:w="5040"/>
      </w:tblGrid>
      <w:tr>
        <w:trPr>
          <w:tblHeader w:val="true"/>
          <w:cantSplit/>
          <w:tblHeader w:val="true"/>
          <w:tblHeader w:val="true"/>
        </w:trPr>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Review question</w:t>
            </w:r>
          </w:p>
        </w:tc>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Rating / comment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 xml:space="preserve">Does the live workflow make clear that Q10 and Probe are two components of one method while the profile screen remains disabled?</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   Comment: ______________________________</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 xml:space="preserve">Is the 5-7 minute target credible when the required Hint walkthrough and category-complete review are included and timed separately?</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   Comment: ______________________________</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Is it clear that experts lock each cue as presence-only or sensitive-detail exposed before the participant policy runs?</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   Comment: ______________________________</w:t>
            </w:r>
          </w:p>
        </w:tc>
      </w:tr>
    </w:tbl>
    <w:p>
      <w:pPr>
        <w:spacing w:before="0" w:after="20"/>
      </w:pPr>
    </w:p>
    <w:p>
      <w:pPr>
        <w:pStyle w:val="Heading1"/>
        <w:spacing w:before="0" w:after="80"/>
      </w:pPr>
      <w:r>
        <w:rPr>
          <w:rFonts w:ascii="Liberation Sans" w:hAnsi="Liberation Sans"/>
          <w:b w:val="0"/>
          <w:i w:val="0"/>
        </w:rPr>
        <w:t>3. VPrivCal-Q10 candidate questions</w:t>
      </w:r>
    </w:p>
    <w:tbl>
      <w:tblPr>
        <w:tblLook w:firstColumn="1" w:firstRow="1" w:lastColumn="0" w:lastRow="0" w:noHBand="0" w:noVBand="1" w:val="04A0"/>
        <w:tblW w:type="dxa" w:w="10080"/>
        <w:tblInd w:type="dxa" w:w="144"/>
        <w:tblLayout w:type="fixed"/>
        <w:jc w:val="left"/>
      </w:tblPr>
      <w:tblGrid>
        <w:gridCol w:w="10080"/>
      </w:tblGrid>
      <w:tr>
        <w:trPr>
          <w:cantSplit/>
          <w:tblHeader/>
          <w:tblHeader w:val="true"/>
          <w:tblHeader w:val="true"/>
        </w:trPr>
        <w:tc>
          <w:tcPr>
            <w:tcW w:type="dxa" w:w="10080"/>
            <w:shd w:fill="EAF3F8"/>
            <w:tcBorders>
              <w:top w:val="single" w:sz="8" w:color="153B5B"/>
              <w:left w:val="single" w:sz="8" w:color="153B5B"/>
              <w:bottom w:val="single" w:sz="8" w:color="153B5B"/>
              <w:right w:val="single" w:sz="8" w:color="153B5B"/>
              <w:insideH w:val="single" w:sz="8" w:color="153B5B"/>
              <w:insideV w:val="single" w:sz="8" w:color="153B5B"/>
            </w:tcBorders>
            <w:tcMar>
              <w:top w:w="72" w:type="dxa"/>
              <w:start w:w="110" w:type="dxa"/>
              <w:bottom w:w="72" w:type="dxa"/>
              <w:end w:w="110" w:type="dxa"/>
              <w:left w:w="72" w:type="dxa"/>
              <w:right w:w="72" w:type="dxa"/>
            </w:tcMar>
            <w:vAlign w:val="center"/>
          </w:tcPr>
          <w:p>
            <w:pPr>
              <w:spacing w:after="0" w:line="240" w:lineRule="auto"/>
            </w:pPr>
            <w:r>
              <w:rPr>
                <w:sz w:val="17"/>
              </w:rPr>
              <w:t>Shared three-option category trigger scale for Q1-Q6</w:t>
              <w:br/>
              <w:t>Do not show reminders for this category | Show reminders only when identifying or sensitive details are exposed | Show reminders whenever this verified category is present</w:t>
              <w:br/>
              <w:br/>
              <w:t>Shared five-point agreement scale for Q7-Q10</w:t>
              <w:br/>
              <w:t>Strongly disagree | Disagree | Neither agree nor disagree | Agree | Strongly agree</w:t>
              <w:br/>
              <w:t>Distinct rule thresholds (minimum likelihood + severity score): 11 [never] | 9 | 7 | 5 | 2 [any verified cue]. The observed score ranges from 2 to 10. Q8 applies generally to every verified privacy threat; Q7, Q9, and Q10 apply when the cue is inferred, uncertain, or task-irrelevant.</w:t>
            </w:r>
          </w:p>
        </w:tc>
      </w:tr>
    </w:tbl>
    <w:p>
      <w:pPr>
        <w:spacing w:before="0" w:after="20"/>
      </w:pPr>
    </w:p>
    <w:tbl>
      <w:tblPr>
        <w:tblStyle w:val="TableGrid"/>
        <w:tblLook w:firstColumn="1" w:firstRow="1" w:lastColumn="0" w:lastRow="0" w:noHBand="0" w:noVBand="1" w:val="04A0"/>
        <w:tblW w:type="dxa" w:w="10080"/>
        <w:tblInd w:type="dxa" w:w="144"/>
        <w:tblLayout w:type="fixed"/>
        <w:jc w:val="left"/>
      </w:tblPr>
      <w:tblGrid>
        <w:gridCol w:w="1440"/>
        <w:gridCol w:w="1440"/>
        <w:gridCol w:w="1440"/>
        <w:gridCol w:w="1440"/>
        <w:gridCol w:w="1440"/>
        <w:gridCol w:w="1440"/>
        <w:gridCol w:w="1440"/>
      </w:tblGrid>
      <w:tr>
        <w:trPr>
          <w:tblHeader w:val="true"/>
          <w:cantSplit/>
          <w:tblHeader w:val="true"/>
          <w:tblHeader w:val="true"/>
        </w:trPr>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Item</w:t>
            </w:r>
          </w:p>
        </w:tc>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Category / policy dimension</w:t>
            </w:r>
          </w:p>
        </w:tc>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Relevance</w:t>
            </w:r>
          </w:p>
        </w:tc>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Clarity</w:t>
            </w:r>
          </w:p>
        </w:tc>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Actionability</w:t>
            </w:r>
          </w:p>
        </w:tc>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Predictive value</w:t>
            </w:r>
          </w:p>
        </w:tc>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Decision</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Q1</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Biometric data</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Q2</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Children images</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Q3</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Personally identifiable information (PII)</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Legal sensitivity information</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Q5</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Personal life</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Q6</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Background individuals</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Q7</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Inferred privacy risks</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Q8</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r>
              <w:t>General reminder sensitivity</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Q9</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Uncertain detections</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Q10</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Task-irrelevant sensitive information</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Keep / Revise / Remove</w:t>
            </w:r>
          </w:p>
        </w:tc>
      </w:tr>
    </w:tbl>
    <w:p>
      <w:pPr>
        <w:spacing w:before="0" w:after="20"/>
      </w:pPr>
    </w:p>
    <w:p>
      <w:pPr>
        <w:pStyle w:val="Heading1"/>
        <w:spacing w:before="0" w:after="80"/>
      </w:pPr>
      <w:r>
        <w:rPr>
          <w:rFonts w:ascii="Liberation Sans" w:hAnsi="Liberation Sans"/>
          <w:b w:val="0"/>
          <w:i w:val="0"/>
        </w:rPr>
        <w:t>4. Item-specific prompts</w:t>
      </w:r>
    </w:p>
    <w:p>
      <w:pPr>
        <w:spacing w:before="0" w:after="20"/>
      </w:pPr>
      <w:r>
        <w:rPr>
          <w:rFonts w:ascii="Liberation Sans" w:hAnsi="Liberation Sans"/>
          <w:b/>
          <w:i w:val="0"/>
          <w:color w:val="1E6F78"/>
          <w:sz w:val="19"/>
        </w:rPr>
        <w:t>Q1. Biometric data</w:t>
      </w:r>
    </w:p>
    <w:p>
      <w:pPr>
        <w:spacing w:before="0" w:after="20"/>
      </w:pPr>
      <w:r>
        <w:rPr>
          <w:rFonts w:ascii="Liberation Sans" w:hAnsi="Liberation Sans"/>
          <w:b w:val="0"/>
          <w:i w:val="0"/>
          <w:sz w:val="17"/>
        </w:rPr>
        <w:t>Faces, fingerprints, and other distinctive body features that may identify a person.</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Q2. Children images</w:t>
      </w:r>
    </w:p>
    <w:p>
      <w:pPr>
        <w:spacing w:before="0" w:after="20"/>
      </w:pPr>
      <w:r>
        <w:rPr>
          <w:rFonts w:ascii="Liberation Sans" w:hAnsi="Liberation Sans"/>
          <w:b w:val="0"/>
          <w:i w:val="0"/>
          <w:sz w:val="17"/>
        </w:rPr>
        <w:t>Children, school events, playgrounds, and child-related activities.</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Q3. Personally identifiable information (PII)</w:t>
      </w:r>
    </w:p>
    <w:p>
      <w:pPr>
        <w:spacing w:before="0" w:after="20"/>
      </w:pPr>
      <w:r>
        <w:rPr>
          <w:rFonts w:ascii="Liberation Sans" w:hAnsi="Liberation Sans"/>
          <w:b w:val="0"/>
          <w:i w:val="0"/>
          <w:sz w:val="17"/>
        </w:rPr>
        <w:t>Financial or medical data; names, passports, email addresses, phone numbers, GPS, license plates, and other identifiers.</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Q4. Legal sensitivity information</w:t>
      </w:r>
    </w:p>
    <w:p>
      <w:pPr>
        <w:spacing w:before="0" w:after="20"/>
      </w:pPr>
      <w:r>
        <w:rPr>
          <w:rFonts w:ascii="Liberation Sans" w:hAnsi="Liberation Sans"/>
          <w:b w:val="0"/>
          <w:i w:val="0"/>
          <w:sz w:val="17"/>
        </w:rPr>
        <w:t>Nudity or explicit imagery; violent or unlawful acts; criminal acts; weapons or other high-risk items.</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Q5. Personal life</w:t>
      </w:r>
    </w:p>
    <w:p>
      <w:pPr>
        <w:spacing w:before="0" w:after="20"/>
      </w:pPr>
      <w:r>
        <w:rPr>
          <w:rFonts w:ascii="Liberation Sans" w:hAnsi="Liberation Sans"/>
          <w:b w:val="0"/>
          <w:i w:val="0"/>
          <w:sz w:val="17"/>
        </w:rPr>
        <w:t>Home interiors, personal items, location context, landmarks, routines, relationships, and activities.</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Q6. Background individuals</w:t>
      </w:r>
    </w:p>
    <w:p>
      <w:pPr>
        <w:spacing w:before="0" w:after="20"/>
      </w:pPr>
      <w:r>
        <w:t>Passersby, bystanders, coworkers, patients, patrons, and other people incidentally captured.</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7255A6"/>
          <w:sz w:val="19"/>
        </w:rPr>
        <w:t>Q7. Inferred privacy risks</w:t>
      </w:r>
    </w:p>
    <w:p>
      <w:pPr>
        <w:spacing w:before="0" w:after="20"/>
      </w:pPr>
      <w:r>
        <w:t>How much do you agree with the following statement?</w:t>
        <w:br/>
        <w:t>"The assistant should show a privacy reminder when a visual cue supports a sensitive inference."</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t>Q8. General reminder sensitivity</w:t>
      </w:r>
    </w:p>
    <w:p>
      <w:pPr>
        <w:spacing w:before="0" w:after="20"/>
      </w:pPr>
      <w:r>
        <w:t>How much do you agree with the following statement?</w:t>
        <w:br/>
        <w:t>"In general, the assistant should show detected privacy threats to the user."</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7255A6"/>
          <w:sz w:val="19"/>
        </w:rPr>
        <w:t>Q9. Uncertain detections</w:t>
      </w:r>
    </w:p>
    <w:p>
      <w:pPr>
        <w:spacing w:before="0" w:after="20"/>
      </w:pPr>
      <w:r>
        <w:t>How much do you agree with the following statement?</w:t>
        <w:br/>
        <w:t>"The assistant should show a privacy reminder when it is uncertain whether a detected visual cue is privacy-sensitive."</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7255A6"/>
          <w:sz w:val="19"/>
        </w:rPr>
        <w:t>Q10. Task-irrelevant sensitive information</w:t>
      </w:r>
    </w:p>
    <w:p>
      <w:pPr>
        <w:spacing w:before="0" w:after="20"/>
      </w:pPr>
      <w:r>
        <w:t>How much do you agree with the following statement?</w:t>
        <w:br/>
        <w:t>"The assistant should show a privacy reminder when privacy-sensitive content is visible but not needed for the current task."</w:t>
      </w:r>
    </w:p>
    <w:p>
      <w:pPr>
        <w:spacing w:before="0" w:after="80"/>
      </w:pPr>
      <w:r>
        <w:rPr>
          <w:rFonts w:ascii="Liberation Sans" w:hAnsi="Liberation Sans"/>
          <w:b w:val="0"/>
          <w:i w:val="0"/>
          <w:sz w:val="16"/>
        </w:rPr>
        <w:t>Main concern / suggested wording: ______________________________________________________________</w:t>
      </w:r>
    </w:p>
    <w:p>
      <w:pPr>
        <w:pStyle w:val="Heading1"/>
        <w:spacing w:before="0" w:after="80"/>
      </w:pPr>
      <w:r>
        <w:rPr>
          <w:rFonts w:ascii="Liberation Sans" w:hAnsi="Liberation Sans"/>
          <w:b w:val="0"/>
          <w:i w:val="0"/>
        </w:rPr>
        <w:t>5. VPrivCal-Probe stimuli</w:t>
      </w:r>
    </w:p>
    <w:p>
      <w:pPr>
        <w:spacing w:after="40"/>
        <w:jc w:val="center"/>
      </w:pPr>
      <w:r>
        <w:drawing>
          <wp:inline xmlns:a="http://schemas.openxmlformats.org/drawingml/2006/main" xmlns:pic="http://schemas.openxmlformats.org/drawingml/2006/picture">
            <wp:extent cx="6400800" cy="3360420"/>
            <wp:docPr id="2" name="Picture 2" descr="Image: image2.png"/>
            <wp:cNvGraphicFramePr>
              <a:graphicFrameLocks noChangeAspect="1"/>
            </wp:cNvGraphicFramePr>
            <a:graphic>
              <a:graphicData uri="http://schemas.openxmlformats.org/drawingml/2006/picture">
                <pic:pic>
                  <pic:nvPicPr>
                    <pic:cNvPr id="0" name="vprivcal_probe_composite.png"/>
                    <pic:cNvPicPr/>
                  </pic:nvPicPr>
                  <pic:blipFill>
                    <a:blip r:embed="rId12"/>
                    <a:stretch>
                      <a:fillRect/>
                    </a:stretch>
                  </pic:blipFill>
                  <pic:spPr>
                    <a:xfrm>
                      <a:off x="0" y="0"/>
                      <a:ext cx="6400800" cy="3360420"/>
                    </a:xfrm>
                    <a:prstGeom prst="rect"/>
                  </pic:spPr>
                </pic:pic>
              </a:graphicData>
            </a:graphic>
          </wp:inline>
        </w:drawing>
      </w:r>
    </w:p>
    <w:tbl>
      <w:tblPr>
        <w:tblLook w:firstColumn="1" w:firstRow="1" w:lastColumn="0" w:lastRow="0" w:noHBand="0" w:noVBand="1" w:val="04A0"/>
        <w:tblW w:type="dxa" w:w="10080"/>
        <w:tblInd w:type="dxa" w:w="144"/>
        <w:tblLayout w:type="fixed"/>
        <w:jc w:val="left"/>
      </w:tblPr>
      <w:tblGrid>
        <w:gridCol w:w="10080"/>
      </w:tblGrid>
      <w:tr>
        <w:trPr>
          <w:cantSplit/>
          <w:tblHeader/>
          <w:tblHeader w:val="true"/>
          <w:tblHeader w:val="true"/>
        </w:trPr>
        <w:tc>
          <w:tcPr>
            <w:tcW w:type="dxa" w:w="10080"/>
            <w:shd w:fill="F1ECFA"/>
            <w:tcBorders>
              <w:top w:val="single" w:sz="8" w:color="7255A6"/>
              <w:left w:val="single" w:sz="8" w:color="7255A6"/>
              <w:bottom w:val="single" w:sz="8" w:color="7255A6"/>
              <w:right w:val="single" w:sz="8" w:color="7255A6"/>
              <w:insideH w:val="single" w:sz="8" w:color="7255A6"/>
              <w:insideV w:val="single" w:sz="8" w:color="7255A6"/>
            </w:tcBorders>
            <w:tcMar>
              <w:top w:w="72" w:type="dxa"/>
              <w:start w:w="110" w:type="dxa"/>
              <w:bottom w:w="72" w:type="dxa"/>
              <w:end w:w="110" w:type="dxa"/>
              <w:left w:w="72" w:type="dxa"/>
              <w:right w:w="72" w:type="dxa"/>
            </w:tcMar>
            <w:vAlign w:val="center"/>
          </w:tcPr>
          <w:p>
            <w:pPr>
              <w:spacing w:after="0"/>
            </w:pPr>
            <w:r>
              <w:t>Two questions per internal category-scene pair</w:t>
              <w:br/>
              <w:t>A. Before the highlight: already aware / noticed but did not consider privacy / did not notice or realize VLM capability / not a concern.</w:t>
              <w:br/>
              <w:t>B. Preferred trigger: never remind / remind only for identifying or sensitive-detail exposure / remind whenever the verified category is present.</w:t>
              <w:br/>
              <w:t>Category identities remain hidden; participants see neutral linked-content labels.</w:t>
            </w:r>
          </w:p>
        </w:tc>
      </w:tr>
    </w:tbl>
    <w:p>
      <w:pPr>
        <w:spacing w:before="0" w:after="20"/>
      </w:pPr>
      <w:r>
        <w:t xml:space="preserve">The stimuli span private, public, and semi-public contexts. Coverage remains scene-level and internally category-complete across all six high-level categories. Phase A is unprompted pointing; Phase B uses neutral linked-content labels because participant-facing category identities are hidden.</w:t>
      </w:r>
    </w:p>
    <w:p>
      <w:pPr>
        <w:pageBreakBefore/>
      </w:pPr>
    </w:p>
    <w:tbl>
      <w:tblPr>
        <w:tblStyle w:val="TableGrid"/>
        <w:tblLook w:firstColumn="1" w:firstRow="1" w:lastColumn="0" w:lastRow="0" w:noHBand="0" w:noVBand="1" w:val="04A0"/>
        <w:tblW w:type="dxa" w:w="10080"/>
        <w:tblInd w:type="dxa" w:w="144"/>
        <w:tblLayout w:type="fixed"/>
        <w:jc w:val="left"/>
      </w:tblPr>
      <w:tblGrid>
        <w:gridCol w:w="2016"/>
        <w:gridCol w:w="2016"/>
        <w:gridCol w:w="2016"/>
        <w:gridCol w:w="2016"/>
        <w:gridCol w:w="2016"/>
      </w:tblGrid>
      <w:tr>
        <w:trPr>
          <w:tblHeader w:val="true"/>
          <w:cantSplit/>
          <w:tblHeader w:val="true"/>
          <w:tblHeader w:val="true"/>
        </w:trPr>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Criterion</w:t>
            </w:r>
          </w:p>
        </w:tc>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Scene 1</w:t>
            </w:r>
          </w:p>
        </w:tc>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Scene 2</w:t>
            </w:r>
          </w:p>
        </w:tc>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Scene 3</w:t>
            </w:r>
          </w:p>
        </w:tc>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Comment</w:t>
            </w:r>
          </w:p>
        </w:tc>
      </w:tr>
      <w:tr>
        <w:trPr>
          <w:cantSplit/>
        </w:trPr>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sz w:val="16"/>
              </w:rPr>
              <w:t>Context is realistic and distinct</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________________</w:t>
            </w:r>
          </w:p>
        </w:tc>
      </w:tr>
      <w:tr>
        <w:trPr>
          <w:cantSplit/>
        </w:trPr>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sz w:val="16"/>
              </w:rPr>
              <w:t xml:space="preserve">Internal category coverage is complete for the scene</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________________</w:t>
            </w:r>
          </w:p>
        </w:tc>
      </w:tr>
      <w:tr>
        <w:trPr>
          <w:cantSplit/>
        </w:trPr>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sz w:val="16"/>
              </w:rPr>
              <w:t xml:space="preserve">The optional evidence highlight is correctly localized and understandable</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________________</w:t>
            </w:r>
          </w:p>
        </w:tc>
      </w:tr>
      <w:tr>
        <w:trPr>
          <w:cantSplit/>
        </w:trPr>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sz w:val="16"/>
              </w:rPr>
              <w:t>The scene includes both obvious and subtle privacy content</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________________</w:t>
            </w:r>
          </w:p>
        </w:tc>
      </w:tr>
      <w:tr>
        <w:trPr>
          <w:cantSplit/>
        </w:trPr>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sz w:val="16"/>
              </w:rPr>
              <w:t xml:space="preserve">Point-first marking and neutral linked-content review are usable</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________________</w:t>
            </w:r>
          </w:p>
        </w:tc>
      </w:tr>
      <w:tr>
        <w:trPr>
          <w:cantSplit/>
        </w:trPr>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sz w:val="16"/>
              </w:rPr>
              <w:t>Cultural and ethical risk is acceptable</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________________</w:t>
            </w:r>
          </w:p>
        </w:tc>
      </w:tr>
    </w:tbl>
    <w:p>
      <w:pPr>
        <w:spacing w:before="0" w:after="20"/>
      </w:pPr>
      <w:r>
        <w:t>Implemented sequence: require the five-step Hint before the first scene (practice data are not saved; Hint time is separate). Phase A shows a clean image: participants place/delete points or confirm none; category/detection matching is internal, unmatched points are retained, and only ambiguous overlaps trigger a neutral chooser. Phase B reviews every present internal category sequentially with neutral linked-content labels, an optional Show/Hide highlight, awareness status, and three-option reminder-trigger preference. Category identities remain hidden.</w:t>
      </w:r>
    </w:p>
    <w:p>
      <w:pPr>
        <w:pStyle w:val="Heading1"/>
        <w:spacing w:before="0" w:after="80"/>
      </w:pPr>
      <w:r>
        <w:rPr>
          <w:rFonts w:ascii="Liberation Sans" w:hAnsi="Liberation Sans"/>
          <w:b w:val="0"/>
          <w:i w:val="0"/>
        </w:rPr>
        <w:t>6. Probe-level review</w:t>
      </w:r>
    </w:p>
    <w:tbl>
      <w:tblPr>
        <w:tblStyle w:val="TableGrid"/>
        <w:tblLook w:firstColumn="1" w:firstRow="1" w:lastColumn="0" w:lastRow="0" w:noHBand="0" w:noVBand="1" w:val="04A0"/>
        <w:tblW w:type="dxa" w:w="10080"/>
        <w:tblInd w:type="dxa" w:w="144"/>
        <w:tblLayout w:type="fixed"/>
        <w:jc w:val="left"/>
      </w:tblPr>
      <w:tblGrid>
        <w:gridCol w:w="3360"/>
        <w:gridCol w:w="3360"/>
        <w:gridCol w:w="3360"/>
      </w:tblGrid>
      <w:tr>
        <w:trPr>
          <w:tblHeader w:val="true"/>
          <w:cantSplit/>
          <w:tblHeader w:val="true"/>
          <w:tblHeader w:val="true"/>
        </w:trPr>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Review question</w:t>
            </w:r>
          </w:p>
        </w:tc>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Rating</w:t>
            </w:r>
          </w:p>
        </w:tc>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Comment</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 xml:space="preserve">Does the required five-step Hint teach point, delete, phase transition, response layout, and next-item navigation without contaminating real answers?</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________________________</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 xml:space="preserve">Is it clear that Hint data are not saved and Hint time is excluded from Probe completion time?</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________________________</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 xml:space="preserve">Does Phase A preserve an interpretable unprompted signal when categories and detections remain hidden and unmatched points are retained?</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________________________</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 xml:space="preserve">Are neutral linked-content labels plus the Show/Hide highlight sufficient to identify the review target without category names?</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________________________</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r>
              <w:t>Are the awareness-status item, three-option category trigger, and five-point cross-cutting agreement items distinct, understandable, and sufficiently brief?</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________________________</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 xml:space="preserve">Are pointer/delete, overlap chooser, move/zoom/pan/reset, keyboard controls, and list fallback sufficiently usable and accessible?</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________________________</w:t>
            </w:r>
          </w:p>
        </w:tc>
      </w:tr>
    </w:tbl>
    <w:p>
      <w:pPr>
        <w:spacing w:before="0" w:after="20"/>
      </w:pPr>
    </w:p>
    <w:p>
      <w:pPr>
        <w:pStyle w:val="Heading1"/>
        <w:spacing w:before="0" w:after="80"/>
      </w:pPr>
      <w:r>
        <w:rPr>
          <w:rFonts w:ascii="Liberation Sans" w:hAnsi="Liberation Sans"/>
          <w:b w:val="0"/>
          <w:i w:val="0"/>
        </w:rPr>
        <w:t>7. Held-out evaluation review</w:t>
      </w:r>
    </w:p>
    <w:p>
      <w:pPr>
        <w:spacing w:after="40"/>
        <w:jc w:val="center"/>
      </w:pPr>
      <w:r>
        <w:drawing>
          <wp:inline xmlns:a="http://schemas.openxmlformats.org/drawingml/2006/main" xmlns:pic="http://schemas.openxmlformats.org/drawingml/2006/picture">
            <wp:extent cx="6400800" cy="2311400"/>
            <wp:docPr id="3" name="Picture 3" descr="Image: image3.png"/>
            <wp:cNvGraphicFramePr>
              <a:graphicFrameLocks noChangeAspect="1"/>
            </wp:cNvGraphicFramePr>
            <a:graphic>
              <a:graphicData uri="http://schemas.openxmlformats.org/drawingml/2006/picture">
                <pic:pic>
                  <pic:nvPicPr>
                    <pic:cNvPr id="0" name="vprivcal_policy_compare.png"/>
                    <pic:cNvPicPr/>
                  </pic:nvPicPr>
                  <pic:blipFill>
                    <a:blip r:embed="rId13"/>
                    <a:stretch>
                      <a:fillRect/>
                    </a:stretch>
                  </pic:blipFill>
                  <pic:spPr>
                    <a:xfrm>
                      <a:off x="0" y="0"/>
                      <a:ext cx="6400800" cy="2311400"/>
                    </a:xfrm>
                    <a:prstGeom prst="rect"/>
                  </pic:spPr>
                </pic:pic>
              </a:graphicData>
            </a:graphic>
          </wp:inline>
        </w:drawing>
      </w:r>
    </w:p>
    <w:tbl>
      <w:tblPr>
        <w:tblStyle w:val="TableGrid"/>
        <w:tblLook w:firstColumn="1" w:firstRow="1" w:lastColumn="0" w:lastRow="0" w:noHBand="0" w:noVBand="1" w:val="04A0"/>
        <w:tblW w:type="dxa" w:w="10080"/>
        <w:tblInd w:type="dxa" w:w="144"/>
        <w:tblLayout w:type="fixed"/>
        <w:jc w:val="left"/>
      </w:tblPr>
      <w:tblGrid>
        <w:gridCol w:w="5040"/>
        <w:gridCol w:w="5040"/>
      </w:tblGrid>
      <w:tr>
        <w:trPr>
          <w:tblHeader w:val="true"/>
          <w:cantSplit/>
          <w:tblHeader w:val="true"/>
          <w:tblHeader w:val="true"/>
        </w:trPr>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Metric / design decision</w:t>
            </w:r>
          </w:p>
        </w:tc>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Expert judgment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Primary outcome: immediate acceptance rating (1-5) after each standardized reminder decision</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Strong / Revise / Reject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Cue-awareness difference between generic and VPrivCal policies</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Strong / Revise / Reject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Binary decision alignment, false-reminder rate, and missed-reminder rate</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Strong / Revise / Reject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Two-expert verification of category and exposure level before study inclusion</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Strong / Revise / Reject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Balance presence-only and sensitive-detail-exposed held-out cues where feasible</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Strong / Revise / Reject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r>
              <w:t>Treat simulations as software checks and short-video outcomes as immediate only; prespecify whether Q8 and Q10 values predict acceptance before considering later Q10 removal.</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Strong / Revise / Reject</w:t>
            </w:r>
          </w:p>
        </w:tc>
      </w:tr>
    </w:tbl>
    <w:p>
      <w:pPr>
        <w:spacing w:before="0" w:after="20"/>
      </w:pPr>
    </w:p>
    <w:p>
      <w:pPr>
        <w:pStyle w:val="Heading2"/>
      </w:pPr>
      <w:r>
        <w:t>7.1 Exposure-label codebook review</w:t>
      </w:r>
    </w:p>
    <w:p>
      <w:r>
        <w:t>Experts first confirm category membership. Then ask whether the visible cue identifies or links a person, or exposes a private fact about a person or household. If yes, label SENSITIVE_DETAIL_EXPOSED; otherwise label PRESENCE_ONLY. Disagreements are adjudicated or excluded before the cue JSON is locked.</w:t>
      </w:r>
    </w:p>
    <w:tbl>
      <w:tblPr>
        <w:tblStyle w:val="TableGrid"/>
        <w:tblLook w:firstColumn="1" w:firstRow="1" w:lastColumn="0" w:lastRow="0" w:noHBand="0" w:noVBand="1" w:val="04A0"/>
        <w:tblW w:type="dxa" w:w="10080"/>
        <w:tblInd w:type="dxa" w:w="144"/>
        <w:tblLayout w:type="fixed"/>
        <w:jc w:val="left"/>
      </w:tblPr>
      <w:tblGrid>
        <w:gridCol w:w="3360"/>
        <w:gridCol w:w="3360"/>
        <w:gridCol w:w="3360"/>
      </w:tblGrid>
      <w:tr>
        <w:trPr>
          <w:tblHeader w:val="true"/>
          <w:cantSplit/>
        </w:trPr>
        <w:tc>
          <w:tcPr>
            <w:tcW w:type="dxa" w:w="3360"/>
            <w:vAlign w:val="center"/>
            <w:tcMar>
              <w:top w:w="72" w:type="dxa"/>
              <w:left w:w="72" w:type="dxa"/>
              <w:bottom w:w="72" w:type="dxa"/>
              <w:right w:w="72" w:type="dxa"/>
            </w:tcMar>
          </w:tcPr>
          <w:p>
            <w:pPr>
              <w:spacing w:after="0"/>
            </w:pPr>
            <w:r>
              <w:rPr>
                <w:b/>
                <w:sz w:val="18"/>
              </w:rPr>
              <w:t>Category</w:t>
            </w:r>
          </w:p>
        </w:tc>
        <w:tc>
          <w:tcPr>
            <w:tcW w:type="dxa" w:w="3360"/>
            <w:vAlign w:val="center"/>
            <w:tcMar>
              <w:top w:w="72" w:type="dxa"/>
              <w:left w:w="72" w:type="dxa"/>
              <w:bottom w:w="72" w:type="dxa"/>
              <w:right w:w="72" w:type="dxa"/>
            </w:tcMar>
          </w:tcPr>
          <w:p>
            <w:pPr>
              <w:spacing w:after="0"/>
            </w:pPr>
            <w:r>
              <w:rPr>
                <w:b/>
                <w:sz w:val="18"/>
              </w:rPr>
              <w:t>PRESENCE_ONLY anchor</w:t>
            </w:r>
          </w:p>
        </w:tc>
        <w:tc>
          <w:tcPr>
            <w:tcW w:type="dxa" w:w="3360"/>
            <w:vAlign w:val="center"/>
            <w:tcMar>
              <w:top w:w="72" w:type="dxa"/>
              <w:left w:w="72" w:type="dxa"/>
              <w:bottom w:w="72" w:type="dxa"/>
              <w:right w:w="72" w:type="dxa"/>
            </w:tcMar>
          </w:tcPr>
          <w:p>
            <w:pPr>
              <w:spacing w:after="0"/>
            </w:pPr>
            <w:r>
              <w:rPr>
                <w:b/>
                <w:sz w:val="18"/>
              </w:rPr>
              <w:t>SENSITIVE_DETAIL_EXPOSED anchor</w:t>
            </w:r>
          </w:p>
        </w:tc>
      </w:tr>
      <w:tr>
        <w:trPr>
          <w:cantSplit/>
        </w:trPr>
        <w:tc>
          <w:tcPr>
            <w:tcW w:type="dxa" w:w="3360"/>
            <w:vAlign w:val="center"/>
            <w:tcMar>
              <w:top w:w="72" w:type="dxa"/>
              <w:left w:w="72" w:type="dxa"/>
              <w:bottom w:w="72" w:type="dxa"/>
              <w:right w:w="72" w:type="dxa"/>
            </w:tcMar>
          </w:tcPr>
          <w:p>
            <w:pPr>
              <w:spacing w:after="0"/>
            </w:pPr>
            <w:r>
              <w:rPr>
                <w:sz w:val="17"/>
              </w:rPr>
              <w:t>Biometric data</w:t>
            </w:r>
          </w:p>
        </w:tc>
        <w:tc>
          <w:tcPr>
            <w:tcW w:type="dxa" w:w="3360"/>
            <w:vAlign w:val="center"/>
            <w:tcMar>
              <w:top w:w="72" w:type="dxa"/>
              <w:left w:w="72" w:type="dxa"/>
              <w:bottom w:w="72" w:type="dxa"/>
              <w:right w:w="72" w:type="dxa"/>
            </w:tcMar>
          </w:tcPr>
          <w:p>
            <w:pPr>
              <w:spacing w:after="0"/>
            </w:pPr>
            <w:r>
              <w:rPr>
                <w:sz w:val="17"/>
              </w:rPr>
              <w:t>Distant, occluded, or otherwise non-recognizable person/body feature.</w:t>
            </w:r>
          </w:p>
        </w:tc>
        <w:tc>
          <w:tcPr>
            <w:tcW w:type="dxa" w:w="3360"/>
            <w:vAlign w:val="center"/>
            <w:tcMar>
              <w:top w:w="72" w:type="dxa"/>
              <w:left w:w="72" w:type="dxa"/>
              <w:bottom w:w="72" w:type="dxa"/>
              <w:right w:w="72" w:type="dxa"/>
            </w:tcMar>
          </w:tcPr>
          <w:p>
            <w:pPr>
              <w:spacing w:after="0"/>
            </w:pPr>
            <w:r>
              <w:rPr>
                <w:sz w:val="17"/>
              </w:rPr>
              <w:t>A clear face or distinctive body feature that supports recognition or re-identification.</w:t>
            </w:r>
          </w:p>
        </w:tc>
      </w:tr>
      <w:tr>
        <w:trPr>
          <w:cantSplit/>
        </w:trPr>
        <w:tc>
          <w:tcPr>
            <w:tcW w:type="dxa" w:w="3360"/>
            <w:vAlign w:val="center"/>
            <w:tcMar>
              <w:top w:w="72" w:type="dxa"/>
              <w:left w:w="72" w:type="dxa"/>
              <w:bottom w:w="72" w:type="dxa"/>
              <w:right w:w="72" w:type="dxa"/>
            </w:tcMar>
          </w:tcPr>
          <w:p>
            <w:pPr>
              <w:spacing w:after="0"/>
            </w:pPr>
            <w:r>
              <w:rPr>
                <w:sz w:val="17"/>
              </w:rPr>
              <w:t>Children images</w:t>
            </w:r>
          </w:p>
        </w:tc>
        <w:tc>
          <w:tcPr>
            <w:tcW w:type="dxa" w:w="3360"/>
            <w:vAlign w:val="center"/>
            <w:tcMar>
              <w:top w:w="72" w:type="dxa"/>
              <w:left w:w="72" w:type="dxa"/>
              <w:bottom w:w="72" w:type="dxa"/>
              <w:right w:w="72" w:type="dxa"/>
            </w:tcMar>
          </w:tcPr>
          <w:p>
            <w:pPr>
              <w:spacing w:after="0"/>
            </w:pPr>
            <w:r>
              <w:rPr>
                <w:sz w:val="17"/>
              </w:rPr>
              <w:t>A child is present without a recognizable identity or linkable school/location detail.</w:t>
            </w:r>
          </w:p>
        </w:tc>
        <w:tc>
          <w:tcPr>
            <w:tcW w:type="dxa" w:w="3360"/>
            <w:vAlign w:val="center"/>
            <w:tcMar>
              <w:top w:w="72" w:type="dxa"/>
              <w:left w:w="72" w:type="dxa"/>
              <w:bottom w:w="72" w:type="dxa"/>
              <w:right w:w="72" w:type="dxa"/>
            </w:tcMar>
          </w:tcPr>
          <w:p>
            <w:pPr>
              <w:spacing w:after="0"/>
            </w:pPr>
            <w:r>
              <w:rPr>
                <w:sz w:val="17"/>
              </w:rPr>
              <w:t>A recognizable child, readable name, school affiliation, home link, or other identity/location detail.</w:t>
            </w:r>
          </w:p>
        </w:tc>
      </w:tr>
      <w:tr>
        <w:trPr>
          <w:cantSplit/>
        </w:trPr>
        <w:tc>
          <w:tcPr>
            <w:tcW w:type="dxa" w:w="3360"/>
            <w:vAlign w:val="center"/>
            <w:tcMar>
              <w:top w:w="72" w:type="dxa"/>
              <w:left w:w="72" w:type="dxa"/>
              <w:bottom w:w="72" w:type="dxa"/>
              <w:right w:w="72" w:type="dxa"/>
            </w:tcMar>
          </w:tcPr>
          <w:p>
            <w:pPr>
              <w:spacing w:after="0"/>
            </w:pPr>
            <w:r>
              <w:rPr>
                <w:sz w:val="17"/>
              </w:rPr>
              <w:t>PII</w:t>
            </w:r>
          </w:p>
        </w:tc>
        <w:tc>
          <w:tcPr>
            <w:tcW w:type="dxa" w:w="3360"/>
            <w:vAlign w:val="center"/>
            <w:tcMar>
              <w:top w:w="72" w:type="dxa"/>
              <w:left w:w="72" w:type="dxa"/>
              <w:bottom w:w="72" w:type="dxa"/>
              <w:right w:w="72" w:type="dxa"/>
            </w:tcMar>
          </w:tcPr>
          <w:p>
            <w:pPr>
              <w:spacing w:after="0"/>
            </w:pPr>
            <w:r>
              <w:rPr>
                <w:sz w:val="17"/>
              </w:rPr>
              <w:t>A document, screen, badge, plate, or device is present but identifying content is unreadable.</w:t>
            </w:r>
          </w:p>
        </w:tc>
        <w:tc>
          <w:tcPr>
            <w:tcW w:type="dxa" w:w="3360"/>
            <w:vAlign w:val="center"/>
            <w:tcMar>
              <w:top w:w="72" w:type="dxa"/>
              <w:left w:w="72" w:type="dxa"/>
              <w:bottom w:w="72" w:type="dxa"/>
              <w:right w:w="72" w:type="dxa"/>
            </w:tcMar>
          </w:tcPr>
          <w:p>
            <w:pPr>
              <w:spacing w:after="0"/>
            </w:pPr>
            <w:r>
              <w:rPr>
                <w:sz w:val="17"/>
              </w:rPr>
              <w:t>A readable name, address, account/contact number, email, plate, patient ID, or comparable identifier.</w:t>
            </w:r>
          </w:p>
        </w:tc>
      </w:tr>
      <w:tr>
        <w:trPr>
          <w:cantSplit/>
        </w:trPr>
        <w:tc>
          <w:tcPr>
            <w:tcW w:type="dxa" w:w="3360"/>
            <w:vAlign w:val="center"/>
            <w:tcMar>
              <w:top w:w="72" w:type="dxa"/>
              <w:left w:w="72" w:type="dxa"/>
              <w:bottom w:w="72" w:type="dxa"/>
              <w:right w:w="72" w:type="dxa"/>
            </w:tcMar>
          </w:tcPr>
          <w:p>
            <w:pPr>
              <w:spacing w:after="0"/>
            </w:pPr>
            <w:r>
              <w:rPr>
                <w:sz w:val="17"/>
              </w:rPr>
              <w:t>Legal sensitivity</w:t>
            </w:r>
          </w:p>
        </w:tc>
        <w:tc>
          <w:tcPr>
            <w:tcW w:type="dxa" w:w="3360"/>
            <w:vAlign w:val="center"/>
            <w:tcMar>
              <w:top w:w="72" w:type="dxa"/>
              <w:left w:w="72" w:type="dxa"/>
              <w:bottom w:w="72" w:type="dxa"/>
              <w:right w:w="72" w:type="dxa"/>
            </w:tcMar>
          </w:tcPr>
          <w:p>
            <w:pPr>
              <w:spacing w:after="0"/>
            </w:pPr>
            <w:r>
              <w:rPr>
                <w:sz w:val="17"/>
              </w:rPr>
              <w:t>A potentially sensitive object or setting is present without person-specific sensitive content.</w:t>
            </w:r>
          </w:p>
        </w:tc>
        <w:tc>
          <w:tcPr>
            <w:tcW w:type="dxa" w:w="3360"/>
            <w:vAlign w:val="center"/>
            <w:tcMar>
              <w:top w:w="72" w:type="dxa"/>
              <w:left w:w="72" w:type="dxa"/>
              <w:bottom w:w="72" w:type="dxa"/>
              <w:right w:w="72" w:type="dxa"/>
            </w:tcMar>
          </w:tcPr>
          <w:p>
            <w:pPr>
              <w:spacing w:after="0"/>
            </w:pPr>
            <w:r>
              <w:rPr>
                <w:sz w:val="17"/>
              </w:rPr>
              <w:t>Explicit content, a visible unlawful/high-risk act, or person-linked legal/safety information.</w:t>
            </w:r>
          </w:p>
        </w:tc>
      </w:tr>
      <w:tr>
        <w:trPr>
          <w:cantSplit/>
        </w:trPr>
        <w:tc>
          <w:tcPr>
            <w:tcW w:type="dxa" w:w="3360"/>
            <w:vAlign w:val="center"/>
            <w:tcMar>
              <w:top w:w="72" w:type="dxa"/>
              <w:left w:w="72" w:type="dxa"/>
              <w:bottom w:w="72" w:type="dxa"/>
              <w:right w:w="72" w:type="dxa"/>
            </w:tcMar>
          </w:tcPr>
          <w:p>
            <w:pPr>
              <w:spacing w:after="0"/>
            </w:pPr>
            <w:r>
              <w:rPr>
                <w:sz w:val="17"/>
              </w:rPr>
              <w:t>Personal life</w:t>
            </w:r>
          </w:p>
        </w:tc>
        <w:tc>
          <w:tcPr>
            <w:tcW w:type="dxa" w:w="3360"/>
            <w:vAlign w:val="center"/>
            <w:tcMar>
              <w:top w:w="72" w:type="dxa"/>
              <w:left w:w="72" w:type="dxa"/>
              <w:bottom w:w="72" w:type="dxa"/>
              <w:right w:w="72" w:type="dxa"/>
            </w:tcMar>
          </w:tcPr>
          <w:p>
            <w:pPr>
              <w:spacing w:after="0"/>
            </w:pPr>
            <w:r>
              <w:rPr>
                <w:sz w:val="17"/>
              </w:rPr>
              <w:t>A generic home, routine, relationship, or personal object is visible without a linkable private fact.</w:t>
            </w:r>
          </w:p>
        </w:tc>
        <w:tc>
          <w:tcPr>
            <w:tcW w:type="dxa" w:w="3360"/>
            <w:vAlign w:val="center"/>
            <w:tcMar>
              <w:top w:w="72" w:type="dxa"/>
              <w:left w:w="72" w:type="dxa"/>
              <w:bottom w:w="72" w:type="dxa"/>
              <w:right w:w="72" w:type="dxa"/>
            </w:tcMar>
          </w:tcPr>
          <w:p>
            <w:pPr>
              <w:spacing w:after="0"/>
            </w:pPr>
            <w:r>
              <w:rPr>
                <w:sz w:val="17"/>
              </w:rPr>
              <w:t>An intimate activity, precise location, relationship/routine, or household detail is exposed and linkable.</w:t>
            </w:r>
          </w:p>
        </w:tc>
      </w:tr>
      <w:tr>
        <w:trPr>
          <w:cantSplit/>
        </w:trPr>
        <w:tc>
          <w:tcPr>
            <w:tcW w:type="dxa" w:w="3360"/>
            <w:vAlign w:val="center"/>
            <w:tcMar>
              <w:top w:w="72" w:type="dxa"/>
              <w:left w:w="72" w:type="dxa"/>
              <w:bottom w:w="72" w:type="dxa"/>
              <w:right w:w="72" w:type="dxa"/>
            </w:tcMar>
          </w:tcPr>
          <w:p>
            <w:pPr>
              <w:spacing w:after="0"/>
            </w:pPr>
            <w:r>
              <w:rPr>
                <w:sz w:val="17"/>
              </w:rPr>
              <w:t>Background individuals</w:t>
            </w:r>
          </w:p>
        </w:tc>
        <w:tc>
          <w:tcPr>
            <w:tcW w:type="dxa" w:w="3360"/>
            <w:vAlign w:val="center"/>
            <w:tcMar>
              <w:top w:w="72" w:type="dxa"/>
              <w:left w:w="72" w:type="dxa"/>
              <w:bottom w:w="72" w:type="dxa"/>
              <w:right w:w="72" w:type="dxa"/>
            </w:tcMar>
          </w:tcPr>
          <w:p>
            <w:pPr>
              <w:spacing w:after="0"/>
            </w:pPr>
            <w:r>
              <w:rPr>
                <w:sz w:val="17"/>
              </w:rPr>
              <w:t>An incidental person is distant or non-recognizable.</w:t>
            </w:r>
          </w:p>
        </w:tc>
        <w:tc>
          <w:tcPr>
            <w:tcW w:type="dxa" w:w="3360"/>
            <w:vAlign w:val="center"/>
            <w:tcMar>
              <w:top w:w="72" w:type="dxa"/>
              <w:left w:w="72" w:type="dxa"/>
              <w:bottom w:w="72" w:type="dxa"/>
              <w:right w:w="72" w:type="dxa"/>
            </w:tcMar>
          </w:tcPr>
          <w:p>
            <w:pPr>
              <w:spacing w:after="0"/>
            </w:pPr>
            <w:r>
              <w:rPr>
                <w:sz w:val="17"/>
              </w:rPr>
              <w:t>A bystander is recognizable or linked to a readable name, workplace, health context, or other private detail.</w:t>
            </w:r>
          </w:p>
        </w:tc>
      </w:tr>
    </w:tbl>
    <w:p>
      <w:r>
        <w:t>Reviewer judgment: Can two independent experts apply these anchors consistently?  □ Strong  □ Revise  □ Reject    Comment: ____________________________________________</w:t>
      </w:r>
    </w:p>
    <w:p>
      <w:pPr>
        <w:pStyle w:val="Heading1"/>
        <w:spacing w:before="0" w:after="80"/>
      </w:pPr>
      <w:r>
        <w:rPr>
          <w:rFonts w:ascii="Liberation Sans" w:hAnsi="Liberation Sans"/>
          <w:b w:val="0"/>
          <w:i w:val="0"/>
        </w:rPr>
        <w:t>8. Final decision</w:t>
      </w:r>
    </w:p>
    <w:p>
      <w:pPr>
        <w:spacing w:before="0" w:after="80"/>
      </w:pPr>
      <w:r>
        <w:rPr>
          <w:rFonts w:ascii="Liberation Sans" w:hAnsi="Liberation Sans"/>
          <w:b w:val="0"/>
          <w:i w:val="0"/>
          <w:sz w:val="18"/>
        </w:rPr>
        <w:t>VPrivCal-Q10:  □ Proceed  □ Minor revision  □ Major revision  □ Replace</w:t>
      </w:r>
    </w:p>
    <w:p>
      <w:pPr>
        <w:spacing w:before="0" w:after="80"/>
      </w:pPr>
      <w:r>
        <w:rPr>
          <w:rFonts w:ascii="Liberation Sans" w:hAnsi="Liberation Sans"/>
          <w:b w:val="0"/>
          <w:i w:val="0"/>
          <w:sz w:val="18"/>
        </w:rPr>
        <w:t xml:space="preserve">VPrivCal-Probe interface (including Hint):  □ Proceed  □ Minor revision  □ Major revision  □ Replace</w:t>
      </w:r>
    </w:p>
    <w:p>
      <w:pPr>
        <w:spacing w:before="0" w:after="80"/>
      </w:pPr>
      <w:r>
        <w:t>Workflow, expert verification, and immediate acceptance evaluation:  □ Proceed  □ Minor revision  □ Major revision  □ Replace</w:t>
      </w:r>
    </w:p>
    <w:p>
      <w:pPr>
        <w:spacing w:before="0" w:after="80"/>
      </w:pPr>
      <w:r>
        <w:rPr>
          <w:rFonts w:ascii="Liberation Sans" w:hAnsi="Liberation Sans"/>
          <w:b w:val="0"/>
          <w:i w:val="0"/>
          <w:sz w:val="18"/>
        </w:rPr>
        <w:t xml:space="preserve">Simulated policy-output pre-verification:  □ Proceed  □ Minor revision  □ Major revision  □ Defer</w:t>
      </w:r>
    </w:p>
    <w:p>
      <w:pPr>
        <w:spacing w:before="0" w:after="80"/>
      </w:pPr>
      <w:r>
        <w:rPr>
          <w:rFonts w:ascii="Liberation Sans" w:hAnsi="Liberation Sans"/>
          <w:b w:val="0"/>
          <w:i w:val="0"/>
          <w:sz w:val="18"/>
        </w:rPr>
        <w:t>Overall readiness for cognitive interviews:  □ Yes  □ Yes after revision  □ No</w:t>
      </w:r>
    </w:p>
    <w:p>
      <w:pPr>
        <w:spacing w:before="0" w:after="80"/>
      </w:pPr>
      <w:r>
        <w:rPr>
          <w:rFonts w:ascii="Liberation Sans" w:hAnsi="Liberation Sans"/>
          <w:b/>
          <w:i w:val="0"/>
          <w:sz w:val="18"/>
        </w:rPr>
        <w:t>Three highest-priority changes:</w:t>
      </w:r>
    </w:p>
    <w:p>
      <w:pPr>
        <w:spacing w:before="0" w:after="80"/>
      </w:pPr>
      <w:r>
        <w:rPr>
          <w:rFonts w:ascii="Liberation Sans" w:hAnsi="Liberation Sans"/>
          <w:b w:val="0"/>
          <w:i w:val="0"/>
          <w:sz w:val="17"/>
        </w:rPr>
        <w:t>1. __________________________________________________________________________________</w:t>
      </w:r>
    </w:p>
    <w:p>
      <w:pPr>
        <w:spacing w:before="0" w:after="80"/>
      </w:pPr>
      <w:r>
        <w:rPr>
          <w:rFonts w:ascii="Liberation Sans" w:hAnsi="Liberation Sans"/>
          <w:b w:val="0"/>
          <w:i w:val="0"/>
          <w:sz w:val="17"/>
        </w:rPr>
        <w:t>2. __________________________________________________________________________________</w:t>
      </w:r>
    </w:p>
    <w:p>
      <w:pPr>
        <w:spacing w:before="0" w:after="80"/>
      </w:pPr>
      <w:r>
        <w:rPr>
          <w:rFonts w:ascii="Liberation Sans" w:hAnsi="Liberation Sans"/>
          <w:b w:val="0"/>
          <w:i w:val="0"/>
          <w:sz w:val="17"/>
        </w:rPr>
        <w:t>3. __________________________________________________________________________________</w:t>
      </w:r>
    </w:p>
    <w:p>
      <w:pPr>
        <w:spacing w:before="0" w:after="80"/>
      </w:pPr>
      <w:r>
        <w:rPr>
          <w:rFonts w:ascii="Liberation Sans" w:hAnsi="Liberation Sans"/>
          <w:b w:val="0"/>
          <w:i w:val="0"/>
          <w:sz w:val="17"/>
        </w:rPr>
        <w:t>Alternative idea or missing test: ______________________________________________________________________</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A6570"/>
        <w:sz w:val="16"/>
      </w:rPr>
      <w:t xml:space="preserve">VPrivCal expert workshop  |  July 2026  |  </w:t>
    </w:r>
    <w:r>
      <w:rPr>
        <w:rFonts w:ascii="Liberation Sans" w:hAnsi="Liberation Sans"/>
        <w:color w:val="5A6570"/>
        <w:sz w:val="16"/>
      </w:rPr>
      <w:t xml:space="preserve">Page </w:t>
    </w:r>
    <w:fldSimple w:instr="PAGE">
      <w:r>
        <w:rPr>
          <w:rFonts w:ascii="Liberation Sans" w:hAnsi="Liberation Sans"/>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A6570"/>
        <w:sz w:val="15"/>
      </w:rPr>
      <w:t>VPRIVCAL EXPERT WORKSHOP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153B5B"/>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1E6F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7255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b/>
      <w:color w:val="153B5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Liberation Sans" w:hAnsi="Liberation Sans"/>
      <w:b w:val="0"/>
      <w:i/>
      <w:iCs/>
      <w:color w:val="1E6F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20"/>
    </w:pPr>
    <w:rPr>
      <w:rFonts w:ascii="Liberation Sans" w:hAnsi="Liberation Sans"/>
      <w:i/>
      <w:color w:val="5A65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VPrivCal Expert Review Workbook v6.4</dc:title>
  <dc:subject>Expert review of five-point cross-cutting agreement thresholds and binary reminders</dc:subject>
  <dc:creator>OpenAI</dc:creator>
  <cp:keywords/>
  <dc:description>Updated from v6.3: unified Q7-Q10 agreement format, Q8 general sensitivity, distinct five-level risk thresholds, provisional Q10 retention, and study background.</dc:description>
  <cp:lastModifiedBy/>
  <cp:revision>1</cp:revision>
  <dcterms:created xsi:type="dcterms:W3CDTF">2013-12-23T23:15:00Z</dcterms:created>
  <dcterms:modified xsi:type="dcterms:W3CDTF">2013-12-23T23:15:00Z</dcterms:modified>
  <cp:category/>
</cp:coreProperties>
</file>