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7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локальных</w:t>
      </w:r>
      <w:r>
        <w:t xml:space="preserve"> </w:t>
      </w:r>
      <w:r>
        <w:t xml:space="preserve">сетей</w:t>
      </w:r>
    </w:p>
    <w:p>
      <w:pPr>
        <w:pStyle w:val="Author"/>
      </w:pPr>
      <w:r>
        <w:t xml:space="preserve">Ромицына</w:t>
      </w:r>
      <w:r>
        <w:t xml:space="preserve"> </w:t>
      </w:r>
      <w:r>
        <w:t xml:space="preserve">Анастасия</w:t>
      </w:r>
      <w:r>
        <w:t xml:space="preserve"> </w:t>
      </w:r>
      <w:r>
        <w:t xml:space="preserve">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Получить навыки работы с физической рабочей областью Packet Tracer,</w:t>
      </w:r>
      <w:r>
        <w:t xml:space="preserve"> </w:t>
      </w:r>
      <w:r>
        <w:t xml:space="preserve">а также учесть физические параметры сети</w:t>
      </w:r>
    </w:p>
    <w:bookmarkEnd w:id="20"/>
    <w:bookmarkStart w:id="63" w:name="выполнение-лабората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лаборатаорной работы</w:t>
      </w:r>
    </w:p>
    <w:p>
      <w:pPr>
        <w:pStyle w:val="FirstParagraph"/>
      </w:pPr>
      <w:r>
        <w:t xml:space="preserve">Откроем проект предыдущей лабораторной работы(рис. 1).</w:t>
      </w:r>
    </w:p>
    <w:p>
      <w:pPr>
        <w:pStyle w:val="CaptionedFigure"/>
      </w:pPr>
      <w:r>
        <w:drawing>
          <wp:inline>
            <wp:extent cx="3733800" cy="1372651"/>
            <wp:effectExtent b="0" l="0" r="0" t="0"/>
            <wp:docPr descr="Открытие проекта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72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Открытие проекта</w:t>
      </w:r>
    </w:p>
    <w:p>
      <w:pPr>
        <w:pStyle w:val="BodyText"/>
      </w:pPr>
      <w:r>
        <w:t xml:space="preserve">Перейдем в физическую рабочую область Packet Tracer. Присвоим название городу — Moscow(рис. 2).</w:t>
      </w:r>
    </w:p>
    <w:p>
      <w:pPr>
        <w:pStyle w:val="CaptionedFigure"/>
      </w:pPr>
      <w:r>
        <w:drawing>
          <wp:inline>
            <wp:extent cx="1511166" cy="760395"/>
            <wp:effectExtent b="0" l="0" r="0" t="0"/>
            <wp:docPr descr="Название города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166" cy="76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Название города</w:t>
      </w:r>
    </w:p>
    <w:p>
      <w:pPr>
        <w:pStyle w:val="BodyText"/>
      </w:pPr>
      <w:r>
        <w:t xml:space="preserve">Щёлкнув на изображении города, мы видим изображение здания.</w:t>
      </w:r>
      <w:r>
        <w:t xml:space="preserve"> </w:t>
      </w:r>
      <w:r>
        <w:t xml:space="preserve">Присвоим ему название Donskaya.(рис. 3).</w:t>
      </w:r>
    </w:p>
    <w:p>
      <w:pPr>
        <w:pStyle w:val="CaptionedFigure"/>
      </w:pPr>
      <w:r>
        <w:drawing>
          <wp:inline>
            <wp:extent cx="3733800" cy="1417859"/>
            <wp:effectExtent b="0" l="0" r="0" t="0"/>
            <wp:docPr descr="Название города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Название города</w:t>
      </w:r>
    </w:p>
    <w:p>
      <w:pPr>
        <w:pStyle w:val="BodyText"/>
      </w:pPr>
      <w:r>
        <w:t xml:space="preserve">Щёлкнув на изображении здания Donskaya, переместим изображение, обозначающее серверное помещение, в него(рис. 4).</w:t>
      </w:r>
    </w:p>
    <w:p>
      <w:pPr>
        <w:pStyle w:val="CaptionedFigure"/>
      </w:pPr>
      <w:r>
        <w:drawing>
          <wp:inline>
            <wp:extent cx="3733800" cy="2111767"/>
            <wp:effectExtent b="0" l="0" r="0" t="0"/>
            <wp:docPr descr="Новое здвни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1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Новое здвние</w:t>
      </w:r>
    </w:p>
    <w:p>
      <w:pPr>
        <w:pStyle w:val="BodyText"/>
      </w:pPr>
      <w:r>
        <w:t xml:space="preserve">Щёлкнув на изображении серверной, Мы увидим отображение серверных</w:t>
      </w:r>
      <w:r>
        <w:t xml:space="preserve"> </w:t>
      </w:r>
      <w:r>
        <w:t xml:space="preserve">стоек.(рис. 5).</w:t>
      </w:r>
    </w:p>
    <w:p>
      <w:pPr>
        <w:pStyle w:val="CaptionedFigure"/>
      </w:pPr>
      <w:r>
        <w:drawing>
          <wp:inline>
            <wp:extent cx="3733800" cy="3557764"/>
            <wp:effectExtent b="0" l="0" r="0" t="0"/>
            <wp:docPr descr="Серверные стойки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Серверные стойки</w:t>
      </w:r>
    </w:p>
    <w:p>
      <w:pPr>
        <w:pStyle w:val="BodyText"/>
      </w:pPr>
      <w:r>
        <w:t xml:space="preserve">Переместим коммутатор msk-pavlovskaya–arromichina-sw-1 и два оконечных устройства dk-pavlovskaya-arromichina–1 и other-pavlovskaya-arromichina- -1 на территорию Pavlovskaya,</w:t>
      </w:r>
      <w:r>
        <w:t xml:space="preserve"> </w:t>
      </w:r>
      <w:r>
        <w:t xml:space="preserve">используя меню Move физической рабочей области Packet Tracer.(рис. 6).</w:t>
      </w:r>
    </w:p>
    <w:p>
      <w:pPr>
        <w:pStyle w:val="CaptionedFigure"/>
      </w:pPr>
      <w:r>
        <w:drawing>
          <wp:inline>
            <wp:extent cx="3733800" cy="2704277"/>
            <wp:effectExtent b="0" l="0" r="0" t="0"/>
            <wp:docPr descr="Перемещение коммутаторов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Перемещение коммутаторов</w:t>
      </w:r>
    </w:p>
    <w:p>
      <w:pPr>
        <w:pStyle w:val="BodyText"/>
      </w:pPr>
      <w:r>
        <w:t xml:space="preserve">Вернувшись в логическую рабочую область Packet Tracer, пропингуем с коммутатора msk-donskaya-arromichina-sw-1 коммутатор msk-pavlovskaya-arromichina-sw-1.</w:t>
      </w:r>
      <w:r>
        <w:t xml:space="preserve"> </w:t>
      </w:r>
      <w:r>
        <w:t xml:space="preserve">Убедимся в работоспособности соединения(рис. 7).</w:t>
      </w:r>
    </w:p>
    <w:p>
      <w:pPr>
        <w:pStyle w:val="CaptionedFigure"/>
      </w:pPr>
      <w:r>
        <w:drawing>
          <wp:inline>
            <wp:extent cx="3733800" cy="541401"/>
            <wp:effectExtent b="0" l="0" r="0" t="0"/>
            <wp:docPr descr="Пинг соединения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41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Пинг соединения</w:t>
      </w:r>
    </w:p>
    <w:p>
      <w:pPr>
        <w:pStyle w:val="BodyText"/>
      </w:pPr>
      <w:r>
        <w:t xml:space="preserve">В меню Options , Preferences во вкладке Interface активируем разрешение</w:t>
      </w:r>
      <w:r>
        <w:t xml:space="preserve"> </w:t>
      </w:r>
      <w:r>
        <w:t xml:space="preserve">на учёт физических характеристик среды передачи (Enable Cable Length</w:t>
      </w:r>
      <w:r>
        <w:t xml:space="preserve"> </w:t>
      </w:r>
      <w:r>
        <w:t xml:space="preserve">Effects).рис. 8).</w:t>
      </w:r>
    </w:p>
    <w:p>
      <w:pPr>
        <w:pStyle w:val="CaptionedFigure"/>
      </w:pPr>
      <w:r>
        <w:drawing>
          <wp:inline>
            <wp:extent cx="3733800" cy="1552253"/>
            <wp:effectExtent b="0" l="0" r="0" t="0"/>
            <wp:docPr descr="Настройки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2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Настройки</w:t>
      </w:r>
    </w:p>
    <w:p>
      <w:pPr>
        <w:pStyle w:val="BodyText"/>
      </w:pPr>
      <w:r>
        <w:t xml:space="preserve">В физической рабочей области Packet Tracer разместим две территории на</w:t>
      </w:r>
      <w:r>
        <w:t xml:space="preserve"> </w:t>
      </w:r>
      <w:r>
        <w:t xml:space="preserve">расстоянии более 100 м друг от друга (рекомендуемое расстояние — около</w:t>
      </w:r>
      <w:r>
        <w:t xml:space="preserve"> </w:t>
      </w:r>
      <w:r>
        <w:t xml:space="preserve">1000 м или более).рис. 9).</w:t>
      </w:r>
    </w:p>
    <w:p>
      <w:pPr>
        <w:pStyle w:val="CaptionedFigure"/>
      </w:pPr>
      <w:r>
        <w:drawing>
          <wp:inline>
            <wp:extent cx="3733800" cy="1692748"/>
            <wp:effectExtent b="0" l="0" r="0" t="0"/>
            <wp:docPr descr="Большое расстояние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Большое расстояние</w:t>
      </w:r>
    </w:p>
    <w:p>
      <w:pPr>
        <w:pStyle w:val="BodyText"/>
      </w:pPr>
      <w:r>
        <w:t xml:space="preserve">Вернувшись в логическую рабочую область Packet Tracer, пропингуем с коммутатора msk-donskaya-arromichina-sw-1 коммутатор msk-pavlovskaya-arromichina–sw-1.</w:t>
      </w:r>
      <w:r>
        <w:t xml:space="preserve"> </w:t>
      </w:r>
      <w:r>
        <w:t xml:space="preserve">Убедимся в неработоспособности соединения.рис. 10).</w:t>
      </w:r>
    </w:p>
    <w:p>
      <w:pPr>
        <w:pStyle w:val="CaptionedFigure"/>
      </w:pPr>
      <w:r>
        <w:drawing>
          <wp:inline>
            <wp:extent cx="3733800" cy="809947"/>
            <wp:effectExtent b="0" l="0" r="0" t="0"/>
            <wp:docPr descr="Пинг на большом расстояни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099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Пинг на большом расстоянии</w:t>
      </w:r>
    </w:p>
    <w:p>
      <w:pPr>
        <w:pStyle w:val="BodyText"/>
      </w:pPr>
      <w:r>
        <w:t xml:space="preserve">Удалим соединение между msk-donskaya-arromichina-sw-1 и msk-pavlovskaya–arromichina-sw-1.</w:t>
      </w:r>
      <w:r>
        <w:t xml:space="preserve"> </w:t>
      </w:r>
      <w:r>
        <w:t xml:space="preserve">Добавим в логическую рабочую область два повторителя (RepeaterPT). Присвоим им соответствующие названия msk-donskaya-arromichina-mc-1</w:t>
      </w:r>
      <w:r>
        <w:t xml:space="preserve"> </w:t>
      </w:r>
      <w:r>
        <w:t xml:space="preserve">и msk-pavlovskaya-arromichina-mc-1. Заменим имеющиеся модули на PT-REPEATERNM-1FFE и PT-REPEATER-NM-1CFE для подключения оптоволокна</w:t>
      </w:r>
      <w:r>
        <w:t xml:space="preserve"> </w:t>
      </w:r>
      <w:r>
        <w:t xml:space="preserve">и витой пары по технологии Fast Ethernet .рис. 11).</w:t>
      </w:r>
    </w:p>
    <w:p>
      <w:pPr>
        <w:pStyle w:val="CaptionedFigure"/>
      </w:pPr>
      <w:r>
        <w:drawing>
          <wp:inline>
            <wp:extent cx="3733800" cy="1851360"/>
            <wp:effectExtent b="0" l="0" r="0" t="0"/>
            <wp:docPr descr="Добавление двух повторителей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1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Добавление двух повторителей</w:t>
      </w:r>
    </w:p>
    <w:p>
      <w:pPr>
        <w:pStyle w:val="BodyText"/>
      </w:pPr>
      <w:r>
        <w:t xml:space="preserve">Переместим msk-pavlovskaya-arromichina-mc-1 на территорию Pavlovskaya (в физической рабочей области Packet Tracer).рис. 12).</w:t>
      </w:r>
    </w:p>
    <w:p>
      <w:pPr>
        <w:pStyle w:val="CaptionedFigure"/>
      </w:pPr>
      <w:r>
        <w:drawing>
          <wp:inline>
            <wp:extent cx="3733800" cy="2789049"/>
            <wp:effectExtent b="0" l="0" r="0" t="0"/>
            <wp:docPr descr="Перемещение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Перемещение</w:t>
      </w:r>
    </w:p>
    <w:p>
      <w:pPr>
        <w:pStyle w:val="BodyText"/>
      </w:pPr>
      <w:r>
        <w:t xml:space="preserve">Подключим коммутатор msk-donskaya-arromichina-sw-1 к msk-donskaya-arromichina-mc-1 по витой паре, msk-donskaya-arromichina-mc-1 и msk-pavlovskaya-arromichina-mc-1 — по оптоволокну,msk-pavlovskaya-arromichina-sw-1 к msk-pavlovskaya-arromichina-mc-1 — по витой парерис. 13).</w:t>
      </w:r>
    </w:p>
    <w:p>
      <w:pPr>
        <w:pStyle w:val="CaptionedFigure"/>
      </w:pPr>
      <w:r>
        <w:drawing>
          <wp:inline>
            <wp:extent cx="3733800" cy="1926252"/>
            <wp:effectExtent b="0" l="0" r="0" t="0"/>
            <wp:docPr descr="Подключение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Подключение</w:t>
      </w:r>
    </w:p>
    <w:p>
      <w:pPr>
        <w:pStyle w:val="BodyText"/>
      </w:pPr>
      <w:r>
        <w:t xml:space="preserve">Убедимся в работоспособности соединения между msk-donskaya-arromichina-sw-1</w:t>
      </w:r>
      <w:r>
        <w:t xml:space="preserve"> </w:t>
      </w:r>
      <w:r>
        <w:t xml:space="preserve">и msk-pavlovskaya-arromichina-sw-1.14).</w:t>
      </w:r>
    </w:p>
    <w:p>
      <w:pPr>
        <w:pStyle w:val="CaptionedFigure"/>
      </w:pPr>
      <w:r>
        <w:drawing>
          <wp:inline>
            <wp:extent cx="3733800" cy="795052"/>
            <wp:effectExtent b="0" l="0" r="0" t="0"/>
            <wp:docPr descr="Проверка соединения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950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соединения</w:t>
      </w:r>
    </w:p>
    <w:bookmarkEnd w:id="63"/>
    <w:bookmarkStart w:id="6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Мы смогли получить навыки работы с физической рабочей областью Packet Tracer, а также учесть физические параметры сети</w:t>
      </w:r>
    </w:p>
    <w:bookmarkEnd w:id="64"/>
    <w:bookmarkStart w:id="6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65" w:name="X4b4e57061781460b339b14ee8fbe978c970ec70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1. Перечислите возможные среды передачи данных. На какие характеристики среды передачи данных следует обращать внимание при планировании сети?</w:t>
      </w:r>
    </w:p>
    <w:p>
      <w:pPr>
        <w:pStyle w:val="FirstParagraph"/>
      </w:pPr>
      <w:r>
        <w:rPr>
          <w:bCs/>
          <w:b/>
        </w:rPr>
        <w:t xml:space="preserve">Возможные среды передачи данных: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Витая пара (Twisted Pair)</w:t>
      </w:r>
      <w:r>
        <w:t xml:space="preserve"> </w:t>
      </w:r>
      <w:r>
        <w:t xml:space="preserve">— медный кабель, состоящий из скрученных пар проводников. Бывает экранированная и неэкранированная.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Коаксиальный кабель (Coaxial Cable)</w:t>
      </w:r>
      <w:r>
        <w:t xml:space="preserve"> </w:t>
      </w:r>
      <w:r>
        <w:t xml:space="preserve">— медный кабель с центральной жилой и экраном.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Оптоволоконный кабель (Fiber Optic)</w:t>
      </w:r>
      <w:r>
        <w:t xml:space="preserve"> </w:t>
      </w:r>
      <w:r>
        <w:t xml:space="preserve">— среда, передающая данные в виде световых импульсов.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Радиоканал (Wireless)</w:t>
      </w:r>
      <w:r>
        <w:t xml:space="preserve"> </w:t>
      </w:r>
      <w:r>
        <w:t xml:space="preserve">— беспроводная передача данных (Wi-Fi, Bluetooth, сотовая связь, спутниковая связь).</w:t>
      </w:r>
    </w:p>
    <w:p>
      <w:pPr>
        <w:pStyle w:val="BodyText"/>
      </w:pPr>
      <w:r>
        <w:rPr>
          <w:bCs/>
          <w:b/>
        </w:rPr>
        <w:t xml:space="preserve">Характеристики, на которые следует обращать внимание при планировании: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Максимальная длина сегмента</w:t>
      </w:r>
      <w:r>
        <w:t xml:space="preserve"> </w:t>
      </w:r>
      <w:r>
        <w:t xml:space="preserve">— расстояние, на которое сигнал может передаваться без существенных потерь. В лабораторной работе при превышении 100 м для витой пары соединение переставало работать.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Пропускная способность (частота)</w:t>
      </w:r>
      <w:r>
        <w:t xml:space="preserve"> </w:t>
      </w:r>
      <w:r>
        <w:t xml:space="preserve">— определяет максимальную скорость передачи данных.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Затухание сигнала</w:t>
      </w:r>
      <w:r>
        <w:t xml:space="preserve"> </w:t>
      </w:r>
      <w:r>
        <w:t xml:space="preserve">— потеря мощности сигнала при прохождении по среде.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Помехозащищенность</w:t>
      </w:r>
      <w:r>
        <w:t xml:space="preserve"> </w:t>
      </w:r>
      <w:r>
        <w:t xml:space="preserve">— устойчивость к электромагнитным и радиочастотным помехам.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Стоимость</w:t>
      </w:r>
      <w:r>
        <w:t xml:space="preserve"> </w:t>
      </w:r>
      <w:r>
        <w:t xml:space="preserve">— как самого кабеля, так и монтажных работ, а также активного оборудования (трансиверов, медиаконвертеров).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Безопасность</w:t>
      </w:r>
      <w:r>
        <w:t xml:space="preserve"> </w:t>
      </w:r>
      <w:r>
        <w:t xml:space="preserve">— сложность несанкционированного подключения к кабелю.</w:t>
      </w:r>
    </w:p>
    <w:p>
      <w:r>
        <w:pict>
          <v:rect style="width:0;height:1.5pt" o:hralign="center" o:hrstd="t" o:hr="t"/>
        </w:pict>
      </w:r>
    </w:p>
    <w:bookmarkEnd w:id="65"/>
    <w:bookmarkStart w:id="66" w:name="Xa5e69066e208c1e33e6d159356af097db5cf6a5"/>
    <w:p>
      <w:pPr>
        <w:pStyle w:val="Heading3"/>
      </w:pPr>
      <w:r>
        <w:rPr>
          <w:rStyle w:val="SectionNumber"/>
        </w:rPr>
        <w:t xml:space="preserve">4.0.2</w:t>
      </w:r>
      <w:r>
        <w:tab/>
      </w:r>
      <w:r>
        <w:t xml:space="preserve">2. Перечислите категории витой пары. Чем они отличаются? Какая категория в каких условиях может применяться?</w:t>
      </w:r>
    </w:p>
    <w:p>
      <w:pPr>
        <w:pStyle w:val="FirstParagraph"/>
      </w:pPr>
      <w:r>
        <w:rPr>
          <w:bCs/>
          <w:b/>
        </w:rPr>
        <w:t xml:space="preserve">Основные категории витой пары: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Частота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скорость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Отличия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применения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 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Гбит/с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Базовая категория, наиболее распространена. Может быть как неэкранированной (UTP), так и экранированной.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Офисы, квартиры.</w:t>
            </w:r>
            <w:r>
              <w:t xml:space="preserve"> </w:t>
            </w:r>
            <w:r>
              <w:t xml:space="preserve">Стандарт для сетей Fast Ethernet и Gigabit Ethernet на расстояниях до 100 м. Оптимальна по соотношению цена/качество.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250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Гбит/с (до 55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Имеет пластиковый разделитель (крестовину) между парами, что снижает перекрестные помехи.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Требовательные офисы.</w:t>
            </w:r>
            <w:r>
              <w:t xml:space="preserve"> </w:t>
            </w:r>
            <w:r>
              <w:t xml:space="preserve">Используется для сетей с высокой плотностью трафика, для систем видеонаблюдения высокого разрешения (PoE).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 6a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Гбит/с (до 100 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Экранированная версия Cat 6. Обеспечивает 10 Гбит/с на полные 100 м.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Магистрали зданий, ЦОД.</w:t>
            </w:r>
            <w:r>
              <w:t xml:space="preserve"> </w:t>
            </w:r>
            <w:r>
              <w:t xml:space="preserve">Применяется в дата-центрах, промышленных зонах с высоким уровнем помех, для подключения мощных серверов.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 7 / Cat 7a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/ 1000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/ 40 Гбит/с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Использует разъемы GG45 или TERA (несовместим с RJ-45 без адаптеров). Требует обязательного заземления.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Промышленность, высоконагруженные ЦОД.</w:t>
            </w:r>
            <w:r>
              <w:t xml:space="preserve"> </w:t>
            </w:r>
            <w:r>
              <w:t xml:space="preserve">Сложен в монтаже, применяется там, где требуется максимальная защита от помех и высокая пропускная способность.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2000 МГц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25/40 Гбит/с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Работает только на коротких расстояниях (до 30 м).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Дата-центры.</w:t>
            </w:r>
            <w:r>
              <w:t xml:space="preserve"> </w:t>
            </w:r>
            <w:r>
              <w:t xml:space="preserve">Для соединения серверов и коммутаторов внутри стойки или между соседними стойками.</w:t>
            </w:r>
          </w:p>
        </w:tc>
      </w:tr>
    </w:tbl>
    <w:p>
      <w:pPr>
        <w:pStyle w:val="BodyText"/>
      </w:pPr>
      <w:r>
        <w:rPr>
          <w:bCs/>
          <w:b/>
        </w:rPr>
        <w:t xml:space="preserve">Главное отличие</w:t>
      </w:r>
      <w:r>
        <w:t xml:space="preserve"> </w:t>
      </w:r>
      <w:r>
        <w:t xml:space="preserve">категорий друг от друга — в</w:t>
      </w:r>
      <w:r>
        <w:t xml:space="preserve"> </w:t>
      </w:r>
      <w:r>
        <w:rPr>
          <w:bCs/>
          <w:b/>
        </w:rPr>
        <w:t xml:space="preserve">частотном диапазоне</w:t>
      </w:r>
      <w:r>
        <w:t xml:space="preserve"> </w:t>
      </w:r>
      <w:r>
        <w:t xml:space="preserve">(полосе пропускания) и</w:t>
      </w:r>
      <w:r>
        <w:t xml:space="preserve"> </w:t>
      </w:r>
      <w:r>
        <w:rPr>
          <w:bCs/>
          <w:b/>
        </w:rPr>
        <w:t xml:space="preserve">конструктивных особенностях</w:t>
      </w:r>
      <w:r>
        <w:t xml:space="preserve"> </w:t>
      </w:r>
      <w:r>
        <w:t xml:space="preserve">(наличие экрана, разделителя), что напрямую влияет на максимальную скорость передачи данных и допустимую длину кабеля.</w:t>
      </w:r>
    </w:p>
    <w:p>
      <w:r>
        <w:pict>
          <v:rect style="width:0;height:1.5pt" o:hralign="center" o:hrstd="t" o:hr="t"/>
        </w:pict>
      </w:r>
    </w:p>
    <w:bookmarkEnd w:id="66"/>
    <w:bookmarkStart w:id="67" w:name="Xad83acc88eb68ca5de8e8eb6463bd20995d834d"/>
    <w:p>
      <w:pPr>
        <w:pStyle w:val="Heading3"/>
      </w:pPr>
      <w:r>
        <w:rPr>
          <w:rStyle w:val="SectionNumber"/>
        </w:rPr>
        <w:t xml:space="preserve">4.0.3</w:t>
      </w:r>
      <w:r>
        <w:tab/>
      </w:r>
      <w:r>
        <w:t xml:space="preserve">3. В чем отличие одномодового и многомодового оптоволокна? Какой тип кабеля в каких условиях может применяться?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Многомодовое оптоволокно (MMF)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Одномодовое оптоволокно (SMF)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Диаметр сердцевины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или 62,5 мкм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 мкм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Источник света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Светодиод (LED) или лазер (VCSEL)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Лазер (лазерный диод)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Распространение света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Несколько мод (лучей), что приводит к модовой дисперсии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Одна мода, дисперсия минимальна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Максимальная длина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 550 м (для 10 Гбит/с), до 2 км (для 1 Гбит/с)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Десятки километров (до 40–80 км и более)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Дешевле (кабель и трансиверы), но дороже на больших расстояниях из-за необходимости регенерации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Дороже (кабель и трансиверы), но позволяет строить длинные магистрали без повторителей</w:t>
            </w:r>
          </w:p>
        </w:tc>
      </w:tr>
    </w:tbl>
    <w:p>
      <w:pPr>
        <w:pStyle w:val="BodyText"/>
      </w:pPr>
      <w:r>
        <w:rPr>
          <w:bCs/>
          <w:b/>
        </w:rPr>
        <w:t xml:space="preserve">Условия применения: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Многомодовое оптоволокно (MMF)</w:t>
      </w:r>
      <w:r>
        <w:t xml:space="preserve"> </w:t>
      </w:r>
      <w:r>
        <w:t xml:space="preserve">применяется:</w:t>
      </w:r>
      <w:r>
        <w:t xml:space="preserve"> </w:t>
      </w:r>
      <w:r>
        <w:t xml:space="preserve">* Внутри зданий и кампусов (на расстояниях до 300–550 м).</w:t>
      </w:r>
      <w:r>
        <w:t xml:space="preserve"> </w:t>
      </w:r>
      <w:r>
        <w:t xml:space="preserve">* В корпоративных сетях, дата-центрах (для связи внутри помещений).</w:t>
      </w:r>
      <w:r>
        <w:t xml:space="preserve"> </w:t>
      </w:r>
      <w:r>
        <w:t xml:space="preserve">* Там, где требуется высокая скорость на относительно коротких расстояниях, а бюджет ограничен.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Одномодовое оптоволокно (SMF)</w:t>
      </w:r>
      <w:r>
        <w:t xml:space="preserve"> </w:t>
      </w:r>
      <w:r>
        <w:t xml:space="preserve">применяется:</w:t>
      </w:r>
      <w:r>
        <w:t xml:space="preserve"> </w:t>
      </w:r>
      <w:r>
        <w:t xml:space="preserve">* На магистральных линиях связи между городами, зданиями на большом удалении.</w:t>
      </w:r>
      <w:r>
        <w:t xml:space="preserve"> </w:t>
      </w:r>
      <w:r>
        <w:t xml:space="preserve">* В городских сетях (Metro Ethernet).</w:t>
      </w:r>
      <w:r>
        <w:t xml:space="preserve"> </w:t>
      </w:r>
      <w:r>
        <w:t xml:space="preserve">* В лабораторной работе именно</w:t>
      </w:r>
      <w:r>
        <w:t xml:space="preserve"> </w:t>
      </w:r>
      <w:r>
        <w:rPr>
          <w:bCs/>
          <w:b/>
        </w:rPr>
        <w:t xml:space="preserve">одномодовое оптоволокно</w:t>
      </w:r>
      <w:r>
        <w:t xml:space="preserve"> </w:t>
      </w:r>
      <w:r>
        <w:t xml:space="preserve">использовалось для соединения двух территорий (между медиаконвертерами), так как расстояние между ними превышало 100 м (предел для витой пары) и могло составлять до нескольких километров.</w:t>
      </w:r>
    </w:p>
    <w:p>
      <w:r>
        <w:pict>
          <v:rect style="width:0;height:1.5pt" o:hralign="center" o:hrstd="t" o:hr="t"/>
        </w:pict>
      </w:r>
    </w:p>
    <w:bookmarkEnd w:id="67"/>
    <w:bookmarkStart w:id="68" w:name="X2b5a132c093c2834afe046c6730905c128ba2fa"/>
    <w:p>
      <w:pPr>
        <w:pStyle w:val="Heading3"/>
      </w:pPr>
      <w:r>
        <w:rPr>
          <w:rStyle w:val="SectionNumber"/>
        </w:rPr>
        <w:t xml:space="preserve">4.0.4</w:t>
      </w:r>
      <w:r>
        <w:tab/>
      </w:r>
      <w:r>
        <w:t xml:space="preserve">4. Какие разъёмы встречаются на патчах оптоволокна? Чем они отличаются?</w:t>
      </w:r>
    </w:p>
    <w:p>
      <w:pPr>
        <w:pStyle w:val="FirstParagraph"/>
      </w:pPr>
      <w:r>
        <w:t xml:space="preserve">В оптоволоконных сетях (в том числе в лабораторной работе Packet Tracer) встречаются следующие типы разъемов: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Тип разъема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Особенности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вид / Конструкция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 (Subscriber Connector)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Прямоугольный разъем с фиксацией</w:t>
            </w:r>
            <w:r>
              <w:t xml:space="preserve"> </w:t>
            </w:r>
            <w:r>
              <w:t xml:space="preserve">“</w:t>
            </w:r>
            <w:r>
              <w:t xml:space="preserve">push-pull</w:t>
            </w:r>
            <w:r>
              <w:t xml:space="preserve">”</w:t>
            </w:r>
            <w:r>
              <w:t xml:space="preserve"> </w:t>
            </w:r>
            <w:r>
              <w:t xml:space="preserve">(защелка). Имеет квадратное сечение. Широко распространен в Ethernet-сетях (1000Base-LX, 1000Base-SX). В лабораторной работе используется на модулях</w:t>
            </w:r>
            <w:r>
              <w:t xml:space="preserve"> </w:t>
            </w:r>
            <w:r>
              <w:rPr>
                <w:bCs/>
                <w:b/>
              </w:rPr>
              <w:t xml:space="preserve">PT-REPEATER-NM-1CFE</w:t>
            </w:r>
            <w:r>
              <w:t xml:space="preserve"> </w:t>
            </w:r>
            <w:r>
              <w:t xml:space="preserve">(Fast Ethernet).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Квадратный корпус, фиксация защелкой.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 (Straight Tip)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Разъем с круглым керамическим наконечником и фиксацией типа</w:t>
            </w:r>
            <w:r>
              <w:t xml:space="preserve"> </w:t>
            </w:r>
            <w:r>
              <w:t xml:space="preserve">“</w:t>
            </w:r>
            <w:r>
              <w:t xml:space="preserve">байонет</w:t>
            </w:r>
            <w:r>
              <w:t xml:space="preserve">”</w:t>
            </w:r>
            <w:r>
              <w:t xml:space="preserve"> </w:t>
            </w:r>
            <w:r>
              <w:t xml:space="preserve">(поворотом). Ранее был популярен в корпоративных сетях. В лабораторной работе используется на модулях</w:t>
            </w:r>
            <w:r>
              <w:t xml:space="preserve"> </w:t>
            </w:r>
            <w:r>
              <w:rPr>
                <w:bCs/>
                <w:b/>
              </w:rPr>
              <w:t xml:space="preserve">PT-REPEATER-NM-1FFE</w:t>
            </w:r>
            <w:r>
              <w:t xml:space="preserve"> </w:t>
            </w:r>
            <w:r>
              <w:t xml:space="preserve">(Fast Ethernet).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Круглый металлический корпус, фиксация поворотом (как у коаксиального разъема BNC).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LC (Lucent Connector)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Малогабаритный разъем с фиксацией защелкой. Имеет прямоугольный корпус меньшего размера, чем SC. Является стандартом для высокоскоростных интерфейсов (SFP-модули, 10G/40G Ethernet).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прямоугольный разъем, похож на уменьшенный SC.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FC (Ferrule Connector)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Круглый разъем с винтовой фиксацией. Обеспечивает очень надежное соединение, устойчивое к вибрации. Используется в промышленности и на магистральных линиях связи.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Круглый металлический корпус с резьбой.</w:t>
            </w:r>
          </w:p>
        </w:tc>
      </w:tr>
    </w:tbl>
    <w:p>
      <w:pPr>
        <w:pStyle w:val="BodyText"/>
      </w:pPr>
      <w:r>
        <w:rPr>
          <w:bCs/>
          <w:b/>
        </w:rPr>
        <w:t xml:space="preserve">Чем они отличаются: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Формой корпуса и способом фиксации:</w:t>
      </w:r>
      <w:r>
        <w:t xml:space="preserve"> </w:t>
      </w:r>
      <w:r>
        <w:t xml:space="preserve">байонет (ST), защелка (SC, LC), винт (FC).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Габаритами:</w:t>
      </w:r>
      <w:r>
        <w:t xml:space="preserve"> </w:t>
      </w:r>
      <w:r>
        <w:t xml:space="preserve">LC существенно меньше SC и ST, что позволяет размещать больше портов на лицевой панели оборудования.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Областью применения: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SC и ST</w:t>
      </w:r>
      <w:r>
        <w:t xml:space="preserve"> </w:t>
      </w:r>
      <w:r>
        <w:t xml:space="preserve">чаще встречаются на оборудовании Fast Ethernet и Gigabit Ethernet старого образца, а также на медиаконвертерах.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LC</w:t>
      </w:r>
      <w:r>
        <w:t xml:space="preserve"> </w:t>
      </w:r>
      <w:r>
        <w:t xml:space="preserve">является современным стандартом для SFP, SFP+ и QSFP трансиверов, используемых в коммутаторах корпоративного уровня и дата-центров.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FC</w:t>
      </w:r>
      <w:r>
        <w:t xml:space="preserve"> </w:t>
      </w:r>
      <w:r>
        <w:t xml:space="preserve">применяется в промышленности, на магистралях и в системах видеонаблюдения на улице, где требуется повышенная надежность соединения.</w:t>
      </w:r>
    </w:p>
    <w:bookmarkEnd w:id="68"/>
    <w:bookmarkEnd w:id="69"/>
    <w:bookmarkStart w:id="71" w:name="список-литературы"/>
    <w:p>
      <w:pPr>
        <w:pStyle w:val="Heading1"/>
      </w:pPr>
      <w:r>
        <w:t xml:space="preserve">Список литературы</w:t>
      </w:r>
    </w:p>
    <w:bookmarkStart w:id="70" w:name="refs"/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7</dc:title>
  <dc:creator>Ромицына Анастасия Романовна</dc:creator>
  <dc:language>ru-RU</dc:language>
  <cp:keywords/>
  <dcterms:created xsi:type="dcterms:W3CDTF">2026-03-26T17:47:42Z</dcterms:created>
  <dcterms:modified xsi:type="dcterms:W3CDTF">2026-03-26T17:47:42Z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Администрирование локальных сетей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