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51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Настройка маршрутизатора msk-donskaya-gw-1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2133600" cy="2445173"/>
            <wp:effectExtent b="0" l="0" r="0" t="0"/>
            <wp:docPr descr="Настройка msk-donskaya-g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44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msk-donskaya-gw-1</w:t>
      </w:r>
    </w:p>
    <w:p>
      <w:pPr>
        <w:pStyle w:val="BodyText"/>
      </w:pPr>
      <w:r>
        <w:t xml:space="preserve">Проверка состояния протокола OSPF на маршрутизаторе msk-donskaya-gw-1(рис. 2).</w:t>
      </w:r>
    </w:p>
    <w:p>
      <w:pPr>
        <w:pStyle w:val="CaptionedFigure"/>
      </w:pPr>
      <w:r>
        <w:drawing>
          <wp:inline>
            <wp:extent cx="3733800" cy="4266073"/>
            <wp:effectExtent b="0" l="0" r="0" t="0"/>
            <wp:docPr descr="Проверка msk-donskaya-g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6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msk-donskaya-gw-1</w:t>
      </w:r>
    </w:p>
    <w:p>
      <w:pPr>
        <w:pStyle w:val="BodyText"/>
      </w:pPr>
      <w:r>
        <w:t xml:space="preserve">Настройка маршрутизатора msk-q42-gw-1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4270583"/>
            <wp:effectExtent b="0" l="0" r="0" t="0"/>
            <wp:docPr descr="Настройка msk-q42-g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msk-q42-gw-1</w:t>
      </w:r>
    </w:p>
    <w:p>
      <w:pPr>
        <w:pStyle w:val="BodyText"/>
      </w:pPr>
      <w:r>
        <w:t xml:space="preserve">Настройка маршрутизирующего коммутатора</w:t>
      </w:r>
      <w:r>
        <w:t xml:space="preserve"> </w:t>
      </w:r>
      <w:r>
        <w:t xml:space="preserve">msk-hostel-gw-1 (рис. 4).</w:t>
      </w:r>
    </w:p>
    <w:p>
      <w:pPr>
        <w:pStyle w:val="CaptionedFigure"/>
      </w:pPr>
      <w:r>
        <w:drawing>
          <wp:inline>
            <wp:extent cx="3733800" cy="4294654"/>
            <wp:effectExtent b="0" l="0" r="0" t="0"/>
            <wp:docPr descr="Настройка msk-hostel-gw-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msk-hostel-gw-1</w:t>
      </w:r>
    </w:p>
    <w:p>
      <w:pPr>
        <w:pStyle w:val="BodyText"/>
      </w:pPr>
      <w:r>
        <w:t xml:space="preserve">Настройка маршрутизатора sch-sochi-gw-1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3733800" cy="4200035"/>
            <wp:effectExtent b="0" l="0" r="0" t="0"/>
            <wp:docPr descr="Настройка sch-sochi-g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sch-sochi-gw-1</w:t>
      </w:r>
    </w:p>
    <w:p>
      <w:pPr>
        <w:pStyle w:val="BodyText"/>
      </w:pPr>
      <w:r>
        <w:t xml:space="preserve">Настройка интерфейсов коммутатора provider-sw-1 (рис. 6).</w:t>
      </w:r>
    </w:p>
    <w:p>
      <w:pPr>
        <w:pStyle w:val="CaptionedFigure"/>
      </w:pPr>
      <w:r>
        <w:drawing>
          <wp:inline>
            <wp:extent cx="3733800" cy="4266636"/>
            <wp:effectExtent b="0" l="0" r="0" t="0"/>
            <wp:docPr descr="Настройка provider-s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provider-sw-1</w:t>
      </w:r>
    </w:p>
    <w:p>
      <w:pPr>
        <w:pStyle w:val="BodyText"/>
      </w:pPr>
      <w:r>
        <w:t xml:space="preserve">Настройка маршрутизатора msk-q42-gw-1</w:t>
      </w:r>
      <w:r>
        <w:t xml:space="preserve"> </w:t>
      </w:r>
      <w:r>
        <w:t xml:space="preserve">(рис. 7).</w:t>
      </w:r>
    </w:p>
    <w:p>
      <w:pPr>
        <w:pStyle w:val="CaptionedFigure"/>
      </w:pPr>
      <w:r>
        <w:drawing>
          <wp:inline>
            <wp:extent cx="3733800" cy="4249885"/>
            <wp:effectExtent b="0" l="0" r="0" t="0"/>
            <wp:docPr descr="Настройка msk-q42-gw-1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msk-q42-gw-1</w:t>
      </w:r>
    </w:p>
    <w:p>
      <w:pPr>
        <w:pStyle w:val="BodyText"/>
      </w:pPr>
      <w:r>
        <w:t xml:space="preserve">Настройка коммутатора sch-sochi-sw-1 (рис.8).</w:t>
      </w:r>
    </w:p>
    <w:p>
      <w:pPr>
        <w:pStyle w:val="CaptionedFigure"/>
      </w:pPr>
      <w:r>
        <w:drawing>
          <wp:inline>
            <wp:extent cx="3733800" cy="4261062"/>
            <wp:effectExtent b="0" l="0" r="0" t="0"/>
            <wp:docPr descr="Настройка sch-sochi-sw-1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sch-sochi-sw-1</w:t>
      </w:r>
    </w:p>
    <w:p>
      <w:pPr>
        <w:pStyle w:val="BodyText"/>
      </w:pPr>
      <w:r>
        <w:t xml:space="preserve">Настройка маршрутизатора sch-sochi-gw-1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4207374"/>
            <wp:effectExtent b="0" l="0" r="0" t="0"/>
            <wp:docPr descr="Настройка sch-sochi-gw-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7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sch-sochi-gw-1</w:t>
      </w:r>
    </w:p>
    <w:p>
      <w:pPr>
        <w:pStyle w:val="BodyText"/>
      </w:pPr>
      <w:r>
        <w:t xml:space="preserve">Проверка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1935069"/>
            <wp:effectExtent b="0" l="0" r="0" t="0"/>
            <wp:docPr descr="Провер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настроить динамическую маршрутизацию между территориями организации.</w:t>
      </w:r>
    </w:p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Протоколы динамической маршрутизации:</w:t>
      </w:r>
      <w:r>
        <w:t xml:space="preserve"> </w:t>
      </w:r>
      <w:r>
        <w:t xml:space="preserve">RIP, OSPF, EIGRP (Cisco), IS-IS, BGP.</w:t>
      </w:r>
    </w:p>
    <w:p>
      <w:pPr>
        <w:numPr>
          <w:ilvl w:val="0"/>
          <w:numId w:val="1001"/>
        </w:numPr>
      </w:pPr>
      <w:r>
        <w:t xml:space="preserve">Принципы работы:</w:t>
      </w:r>
      <w:r>
        <w:t xml:space="preserve"> </w:t>
      </w:r>
      <w:r>
        <w:t xml:space="preserve">Маршрутизаторы автоматически обмениваются информацией о известных сетях, строят карту топологии, рассчитывают оптимальные маршруты на основе метрик (например, количество прыжков, пропускная способность) и обновляют таблицы маршрутизации при изменении сети.</w:t>
      </w:r>
    </w:p>
    <w:p>
      <w:pPr>
        <w:numPr>
          <w:ilvl w:val="0"/>
          <w:numId w:val="1001"/>
        </w:numPr>
      </w:pPr>
      <w:r>
        <w:t xml:space="preserve">Обращение устройства из одной подсети к устройству из другой:</w:t>
      </w:r>
      <w:r>
        <w:t xml:space="preserve"> </w:t>
      </w:r>
      <w:r>
        <w:t xml:space="preserve">Устройство-отправитель отправляет пакет на свой шлюз по умолчанию. Маршрутизатор получает пакет, смотрит в таблицу маршрутизации (заполненную динамически), находит подходящий маршрут до сети назначения и пересылает пакет следующему маршрутизатору, пока пакет не достигнет целевой подсети.</w:t>
      </w:r>
    </w:p>
    <w:p>
      <w:pPr>
        <w:numPr>
          <w:ilvl w:val="0"/>
          <w:numId w:val="1001"/>
        </w:numPr>
      </w:pPr>
      <w:r>
        <w:t xml:space="preserve">Выводимая информация при просмотре таблицы маршрутизации:</w:t>
      </w:r>
    </w:p>
    <w:p>
      <w:pPr>
        <w:pStyle w:val="FirstParagraph"/>
      </w:pPr>
      <w:r>
        <w:t xml:space="preserve">Сеть назначения (Destination)</w:t>
      </w:r>
    </w:p>
    <w:p>
      <w:pPr>
        <w:pStyle w:val="BodyText"/>
      </w:pPr>
      <w:r>
        <w:t xml:space="preserve">Маска подсети (Netmask)</w:t>
      </w:r>
    </w:p>
    <w:p>
      <w:pPr>
        <w:pStyle w:val="BodyText"/>
      </w:pPr>
      <w:r>
        <w:t xml:space="preserve">Адрес следующего шлюза (Gateway/Next-hop)</w:t>
      </w:r>
    </w:p>
    <w:p>
      <w:pPr>
        <w:pStyle w:val="BodyText"/>
      </w:pPr>
      <w:r>
        <w:t xml:space="preserve">Интерфейс выхода (Interface)</w:t>
      </w:r>
    </w:p>
    <w:p>
      <w:pPr>
        <w:pStyle w:val="BodyText"/>
      </w:pPr>
      <w:r>
        <w:t xml:space="preserve">Метрика (Metric)</w:t>
      </w:r>
    </w:p>
    <w:p>
      <w:pPr>
        <w:pStyle w:val="BodyText"/>
      </w:pPr>
      <w:r>
        <w:t xml:space="preserve">Тип маршрута (статический, динамический, по умолчанию)</w:t>
      </w:r>
    </w:p>
    <w:p>
      <w:pPr>
        <w:pStyle w:val="BodyText"/>
      </w:pPr>
      <w:r>
        <w:t xml:space="preserve">Источник протокола маршрутизации (например, OSPF, RIP).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15</dc:title>
  <dc:creator>Ромицына Анастасия Романовна</dc:creator>
  <dc:language>ru-RU</dc:language>
  <cp:keywords/>
  <dcterms:created xsi:type="dcterms:W3CDTF">2026-05-21T11:11:48Z</dcterms:created>
  <dcterms:modified xsi:type="dcterms:W3CDTF">2026-05-21T11:11:48Z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