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5.png" ContentType="image/png"/>
  <Override PartName="/word/media/rId58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10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Ромицына</w:t>
      </w:r>
      <w:r>
        <w:t xml:space="preserve"> </w:t>
      </w:r>
      <w:r>
        <w:t xml:space="preserve">Анастасия</w:t>
      </w:r>
      <w:r>
        <w:t xml:space="preserve"> </w:t>
      </w:r>
      <w:r>
        <w:t xml:space="preserve">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Освоить настройку прав доступа пользователей к ресурсам сети</w:t>
      </w:r>
    </w:p>
    <w:bookmarkEnd w:id="20"/>
    <w:bookmarkStart w:id="54" w:name="выполнение-лабората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лаборатаорной работы</w:t>
      </w:r>
    </w:p>
    <w:p>
      <w:pPr>
        <w:pStyle w:val="FirstParagraph"/>
      </w:pPr>
      <w:r>
        <w:t xml:space="preserve">В рабочей области проекта подключим ноутбук администратора с именем</w:t>
      </w:r>
      <w:r>
        <w:t xml:space="preserve"> </w:t>
      </w:r>
      <w:r>
        <w:t xml:space="preserve">admin к сети к other-donskaya-1 с тем, чтобы разрешить ему потом любые</w:t>
      </w:r>
      <w:r>
        <w:t xml:space="preserve"> </w:t>
      </w:r>
      <w:r>
        <w:t xml:space="preserve">действия, связанные с управлением сетью</w:t>
      </w:r>
      <w:r>
        <w:t xml:space="preserve"> </w:t>
      </w:r>
      <w:r>
        <w:t xml:space="preserve">Для этого подсоединим ноутбук к порту 24 коммутатора msk-donskaya-sw-4 и присвоим ему статический адрес 10.128.6.200, указав в качестве gateway-адреса 10.128.6.1 и адреса DNS-сервера 10.128.0.5</w:t>
      </w:r>
      <w:r>
        <w:t xml:space="preserve"> </w:t>
      </w:r>
      <w:r>
        <w:t xml:space="preserve">(рис. 1).</w:t>
      </w:r>
    </w:p>
    <w:p>
      <w:pPr>
        <w:pStyle w:val="CaptionedFigure"/>
      </w:pPr>
      <w:r>
        <w:drawing>
          <wp:inline>
            <wp:extent cx="3733800" cy="1769665"/>
            <wp:effectExtent b="0" l="0" r="0" t="0"/>
            <wp:docPr descr="Добавление устройств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Добавление устройства</w:t>
      </w:r>
    </w:p>
    <w:p>
      <w:pPr>
        <w:pStyle w:val="BodyText"/>
      </w:pPr>
      <w:r>
        <w:t xml:space="preserve">Настроим доступ к web-серверу по порту tcp 80(рис. 2).</w:t>
      </w:r>
    </w:p>
    <w:p>
      <w:pPr>
        <w:pStyle w:val="CaptionedFigure"/>
      </w:pPr>
      <w:r>
        <w:drawing>
          <wp:inline>
            <wp:extent cx="3733800" cy="796140"/>
            <wp:effectExtent b="0" l="0" r="0" t="0"/>
            <wp:docPr descr="Настройка доступ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6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доступа</w:t>
      </w:r>
    </w:p>
    <w:p>
      <w:pPr>
        <w:pStyle w:val="BodyText"/>
      </w:pPr>
      <w:r>
        <w:t xml:space="preserve">Добавим список управления доступом к интерфейсу(рис. 3).</w:t>
      </w:r>
    </w:p>
    <w:p>
      <w:pPr>
        <w:pStyle w:val="CaptionedFigure"/>
      </w:pPr>
      <w:r>
        <w:drawing>
          <wp:inline>
            <wp:extent cx="3733800" cy="455478"/>
            <wp:effectExtent b="0" l="0" r="0" t="0"/>
            <wp:docPr descr="Добавление списк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5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списка</w:t>
      </w:r>
    </w:p>
    <w:p>
      <w:pPr>
        <w:pStyle w:val="BodyText"/>
      </w:pPr>
      <w:r>
        <w:t xml:space="preserve">Настроим дополнительный доступ для администратора по протоколам Telnet и FTP(рис. 4).</w:t>
      </w:r>
    </w:p>
    <w:p>
      <w:pPr>
        <w:pStyle w:val="CaptionedFigure"/>
      </w:pPr>
      <w:r>
        <w:drawing>
          <wp:inline>
            <wp:extent cx="3733800" cy="392350"/>
            <wp:effectExtent b="0" l="0" r="0" t="0"/>
            <wp:docPr descr="Настройк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2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</w:t>
      </w:r>
    </w:p>
    <w:p>
      <w:pPr>
        <w:pStyle w:val="BodyText"/>
      </w:pPr>
      <w:r>
        <w:t xml:space="preserve">Убедитесь, что с узла с ip-адресом 10.128.6.200 есть доступ по протоколу</w:t>
      </w:r>
      <w:r>
        <w:t xml:space="preserve"> </w:t>
      </w:r>
      <w:r>
        <w:t xml:space="preserve">FTP. (рис. 5).</w:t>
      </w:r>
    </w:p>
    <w:p>
      <w:pPr>
        <w:pStyle w:val="CaptionedFigure"/>
      </w:pPr>
      <w:r>
        <w:drawing>
          <wp:inline>
            <wp:extent cx="3733800" cy="2051610"/>
            <wp:effectExtent b="0" l="0" r="0" t="0"/>
            <wp:docPr descr="Проверка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1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</w:t>
      </w:r>
    </w:p>
    <w:p>
      <w:pPr>
        <w:pStyle w:val="BodyText"/>
      </w:pPr>
      <w:r>
        <w:t xml:space="preserve">Настроим доступ к файловому серверу</w:t>
      </w:r>
      <w:r>
        <w:t xml:space="preserve"> </w:t>
      </w:r>
      <w:r>
        <w:t xml:space="preserve">Здесь: в списке контроля доступа servers-out указано (в качестве</w:t>
      </w:r>
      <w:r>
        <w:t xml:space="preserve"> </w:t>
      </w:r>
      <w:r>
        <w:t xml:space="preserve">комментария-напоминания remark file), что следующие ограничения</w:t>
      </w:r>
      <w:r>
        <w:t xml:space="preserve"> </w:t>
      </w:r>
      <w:r>
        <w:t xml:space="preserve">предназначены для работы с file-сервером; всем узлам внутренней сети</w:t>
      </w:r>
      <w:r>
        <w:t xml:space="preserve"> </w:t>
      </w:r>
      <w:r>
        <w:t xml:space="preserve">(10.128.0.0) разрешён доступ по протоколу SMB (работает через порт 445</w:t>
      </w:r>
      <w:r>
        <w:t xml:space="preserve"> </w:t>
      </w:r>
      <w:r>
        <w:t xml:space="preserve">протокола TCP) к каталогам общего пользования; любым узлам разрешён</w:t>
      </w:r>
      <w:r>
        <w:t xml:space="preserve"> </w:t>
      </w:r>
      <w:r>
        <w:t xml:space="preserve">доступ к file-серверу по протоколу FTP. Запись 0.0.255.255 — обратная</w:t>
      </w:r>
      <w:r>
        <w:t xml:space="preserve"> </w:t>
      </w:r>
      <w:r>
        <w:t xml:space="preserve">маска (wildcard mask)</w:t>
      </w:r>
      <w:r>
        <w:t xml:space="preserve"> </w:t>
      </w:r>
      <w:r>
        <w:t xml:space="preserve">(рис. 6).</w:t>
      </w:r>
    </w:p>
    <w:p>
      <w:pPr>
        <w:pStyle w:val="CaptionedFigure"/>
      </w:pPr>
      <w:r>
        <w:drawing>
          <wp:inline>
            <wp:extent cx="3733800" cy="496401"/>
            <wp:effectExtent b="0" l="0" r="0" t="0"/>
            <wp:docPr descr="Настройка доступа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6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доступа</w:t>
      </w:r>
    </w:p>
    <w:p>
      <w:pPr>
        <w:pStyle w:val="BodyText"/>
      </w:pPr>
      <w:r>
        <w:t xml:space="preserve">Настроим доступ к почтовому серверу(рис. 7).</w:t>
      </w:r>
    </w:p>
    <w:p>
      <w:pPr>
        <w:pStyle w:val="CaptionedFigure"/>
      </w:pPr>
      <w:r>
        <w:drawing>
          <wp:inline>
            <wp:extent cx="3733800" cy="496856"/>
            <wp:effectExtent b="0" l="0" r="0" t="0"/>
            <wp:docPr descr="Настройка доступ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6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доступа</w:t>
      </w:r>
    </w:p>
    <w:p>
      <w:pPr>
        <w:pStyle w:val="BodyText"/>
      </w:pPr>
      <w:r>
        <w:t xml:space="preserve">Настроим доступ к DNS-серверу (рис. 8).</w:t>
      </w:r>
    </w:p>
    <w:p>
      <w:pPr>
        <w:pStyle w:val="CaptionedFigure"/>
      </w:pPr>
      <w:r>
        <w:drawing>
          <wp:inline>
            <wp:extent cx="3733800" cy="356013"/>
            <wp:effectExtent b="0" l="0" r="0" t="0"/>
            <wp:docPr descr="Настройка доступа DNS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доступа DNS</w:t>
      </w:r>
    </w:p>
    <w:p>
      <w:pPr>
        <w:pStyle w:val="BodyText"/>
      </w:pPr>
      <w:r>
        <w:t xml:space="preserve">Разрешим icmp-запросы Здесь демонстрируется явное управление порядком размещения правил</w:t>
      </w:r>
      <w:r>
        <w:t xml:space="preserve"> </w:t>
      </w:r>
      <w:r>
        <w:t xml:space="preserve">— правило разрешения для icmp-запросов добавляется в начало списка</w:t>
      </w:r>
      <w:r>
        <w:t xml:space="preserve"> </w:t>
      </w:r>
      <w:r>
        <w:t xml:space="preserve">контроля доступа(рис.9).</w:t>
      </w:r>
    </w:p>
    <w:p>
      <w:pPr>
        <w:pStyle w:val="CaptionedFigure"/>
      </w:pPr>
      <w:r>
        <w:drawing>
          <wp:inline>
            <wp:extent cx="3733800" cy="555103"/>
            <wp:effectExtent b="0" l="0" r="0" t="0"/>
            <wp:docPr descr="icmp-запросы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5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icmp-запросы</w:t>
      </w:r>
    </w:p>
    <w:p>
      <w:pPr>
        <w:pStyle w:val="BodyText"/>
      </w:pPr>
      <w:r>
        <w:t xml:space="preserve">Настроим доступ для сети Other (рис. 10).</w:t>
      </w:r>
    </w:p>
    <w:p>
      <w:pPr>
        <w:pStyle w:val="CaptionedFigure"/>
      </w:pPr>
      <w:r>
        <w:drawing>
          <wp:inline>
            <wp:extent cx="3733800" cy="737280"/>
            <wp:effectExtent b="0" l="0" r="0" t="0"/>
            <wp:docPr descr="Настройка доступа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7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доступа</w:t>
      </w:r>
    </w:p>
    <w:p>
      <w:pPr>
        <w:pStyle w:val="BodyText"/>
      </w:pPr>
      <w:r>
        <w:t xml:space="preserve">Настроим доступ администратора к сети сетевого оборудования(рис. 11).</w:t>
      </w:r>
    </w:p>
    <w:p>
      <w:pPr>
        <w:pStyle w:val="CaptionedFigure"/>
      </w:pPr>
      <w:r>
        <w:drawing>
          <wp:inline>
            <wp:extent cx="3733800" cy="498444"/>
            <wp:effectExtent b="0" l="0" r="0" t="0"/>
            <wp:docPr descr="Настройка доступа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8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доступа</w:t>
      </w:r>
    </w:p>
    <w:bookmarkEnd w:id="54"/>
    <w:bookmarkStart w:id="62" w:name="выполнение-самостоятель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самостоятельной работы</w:t>
      </w:r>
    </w:p>
    <w:p>
      <w:pPr>
        <w:pStyle w:val="FirstParagraph"/>
      </w:pPr>
      <w:r>
        <w:t xml:space="preserve">Проверим корректность установленных правил доступа, попытавшись получить доступ по различным протоколам с разных устройств сети к подсети</w:t>
      </w:r>
      <w:r>
        <w:t xml:space="preserve"> </w:t>
      </w:r>
      <w:r>
        <w:t xml:space="preserve">серверов и подсети сетевого оборудования(рис. 12).</w:t>
      </w:r>
    </w:p>
    <w:p>
      <w:pPr>
        <w:pStyle w:val="CaptionedFigure"/>
      </w:pPr>
      <w:r>
        <w:drawing>
          <wp:inline>
            <wp:extent cx="3733800" cy="3514164"/>
            <wp:effectExtent b="0" l="0" r="0" t="0"/>
            <wp:docPr descr="Проверка коректности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4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 коректности</w:t>
      </w:r>
    </w:p>
    <w:p>
      <w:pPr>
        <w:pStyle w:val="BodyText"/>
      </w:pPr>
      <w:r>
        <w:t xml:space="preserve">Разрешим администратору из сети Other на Павловской действия, аналогичные действиям администратора сети Other на Донской.(рис.</w:t>
      </w:r>
      <w:r>
        <w:t xml:space="preserve"> </w:t>
      </w:r>
      <w:r>
        <w:rPr>
          <w:bCs/>
          <w:b/>
        </w:rPr>
        <w:t xml:space="preserve">¿fig:013?</w:t>
      </w:r>
      <w:r>
        <w:t xml:space="preserve">).</w:t>
      </w:r>
    </w:p>
    <w:p>
      <w:pPr>
        <w:pStyle w:val="BodyText"/>
      </w:pPr>
      <w:bookmarkStart w:id="61" w:name="fig:013"/>
      <w:r>
        <w:drawing>
          <wp:inline>
            <wp:extent cx="3733800" cy="3206161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6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bookmarkEnd w:id="62"/>
    <w:bookmarkStart w:id="63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смогли освоить настройку прав доступа пользователей к ресурсам сети</w:t>
      </w:r>
    </w:p>
    <w:bookmarkEnd w:id="63"/>
    <w:bookmarkStart w:id="64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  <w:pStyle w:val="Compact"/>
      </w:pPr>
      <w:r>
        <w:t xml:space="preserve">Как задать действие правила для конкретного протокола?</w:t>
      </w:r>
      <w:r>
        <w:t xml:space="preserve"> </w:t>
      </w:r>
      <w:r>
        <w:t xml:space="preserve">Действие правила для конкретного протокола задаётся в расширенном списке контроля доступа (extended ACL) с помощью команды permit (разрешить) или deny (запретить), после чего указывается протокол.</w:t>
      </w:r>
    </w:p>
    <w:p>
      <w:pPr>
        <w:pStyle w:val="FirstParagraph"/>
      </w:pPr>
      <w:r>
        <w:t xml:space="preserve">Пример из текста (для протокола TCP):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permit tcp any host 10.128.0.2 eq 80</w:t>
      </w:r>
      <w:r>
        <w:t xml:space="preserve"> </w:t>
      </w:r>
      <w:r>
        <w:t xml:space="preserve">Здесь:</w:t>
      </w:r>
    </w:p>
    <w:p>
      <w:pPr>
        <w:pStyle w:val="BodyText"/>
      </w:pPr>
      <w:r>
        <w:t xml:space="preserve">permit — действие,</w:t>
      </w:r>
    </w:p>
    <w:p>
      <w:pPr>
        <w:pStyle w:val="BodyText"/>
      </w:pPr>
      <w:r>
        <w:t xml:space="preserve">tcp — конкретный протокол,</w:t>
      </w:r>
    </w:p>
    <w:p>
      <w:pPr>
        <w:pStyle w:val="BodyText"/>
      </w:pPr>
      <w:r>
        <w:t xml:space="preserve">any — любой источник,</w:t>
      </w:r>
    </w:p>
    <w:p>
      <w:pPr>
        <w:pStyle w:val="BodyText"/>
      </w:pPr>
      <w:r>
        <w:t xml:space="preserve">host 10.128.0.2 — целевой хост,</w:t>
      </w:r>
    </w:p>
    <w:p>
      <w:pPr>
        <w:pStyle w:val="BodyText"/>
      </w:pPr>
      <w:r>
        <w:t xml:space="preserve">eq 80 — порт 80 (HTTP).</w:t>
      </w:r>
    </w:p>
    <w:p>
      <w:pPr>
        <w:pStyle w:val="BodyText"/>
      </w:pPr>
      <w:r>
        <w:t xml:space="preserve">Для протокола UDP (например, для DNS):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permit udp 10.128.0.0 0.0.255.255 host 10.128.0.5 eq 53</w:t>
      </w:r>
      <w:r>
        <w:t xml:space="preserve"> </w:t>
      </w:r>
      <w:r>
        <w:t xml:space="preserve">Для протокола ICMP: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permit icmp any any</w:t>
      </w:r>
      <w:r>
        <w:t xml:space="preserve"> </w:t>
      </w:r>
      <w:r>
        <w:t xml:space="preserve">2. Как задать действие правила сразу для нескольких портов?</w:t>
      </w:r>
      <w:r>
        <w:t xml:space="preserve"> </w:t>
      </w:r>
      <w:r>
        <w:t xml:space="preserve">Для указания нескольких портов в одном правиле используется ключевое слово range, после которого перечисляются начальный и конечный порты.</w:t>
      </w:r>
    </w:p>
    <w:p>
      <w:pPr>
        <w:pStyle w:val="BodyText"/>
      </w:pPr>
      <w:r>
        <w:t xml:space="preserve">Пример из текста (для FTP):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permit tcp host 10.128.6.200 host 10.128.0.2 range 20 ftp</w:t>
      </w:r>
      <w:r>
        <w:t xml:space="preserve"> </w:t>
      </w:r>
      <w:r>
        <w:t xml:space="preserve">Это правило разрешает доступ с хоста администратора на web-сервер по портам 20 и FTP (21).</w:t>
      </w:r>
    </w:p>
    <w:p>
      <w:pPr>
        <w:pStyle w:val="BodyText"/>
      </w:pPr>
      <w:r>
        <w:t xml:space="preserve">Также можно указывать известные протоколы по имени, например ftp, smtp, pop3, telnet, что эквивалентно указанию соответствующих номеров портов.</w:t>
      </w:r>
    </w:p>
    <w:p>
      <w:pPr>
        <w:numPr>
          <w:ilvl w:val="0"/>
          <w:numId w:val="1002"/>
        </w:numPr>
        <w:pStyle w:val="Compact"/>
      </w:pPr>
      <w:r>
        <w:t xml:space="preserve">Как узнать номер правила в списке прав доступа?</w:t>
      </w:r>
      <w:r>
        <w:t xml:space="preserve"> </w:t>
      </w:r>
      <w:r>
        <w:t xml:space="preserve">Номера правил (строк) в списке контроля доступа можно посмотреть с помощью команды:</w:t>
      </w:r>
    </w:p>
    <w:p>
      <w:pPr>
        <w:pStyle w:val="FirstParagraph"/>
      </w:pPr>
      <w:r>
        <w:t xml:space="preserve">text</w:t>
      </w:r>
      <w:r>
        <w:t xml:space="preserve"> </w:t>
      </w:r>
      <w:r>
        <w:t xml:space="preserve">show access-lists</w:t>
      </w:r>
      <w:r>
        <w:t xml:space="preserve"> </w:t>
      </w:r>
      <w:r>
        <w:t xml:space="preserve">В тексте лабораторной работы это указано в разделе 7 (стр. 4):</w:t>
      </w:r>
    </w:p>
    <w:p>
      <w:pPr>
        <w:pStyle w:val="BodyText"/>
      </w:pPr>
      <w:r>
        <w:t xml:space="preserve">Номера строк правил в списке контроля доступа можно посмотреть с помощью команды show access-lists.</w:t>
      </w:r>
    </w:p>
    <w:p>
      <w:pPr>
        <w:numPr>
          <w:ilvl w:val="0"/>
          <w:numId w:val="1003"/>
        </w:numPr>
        <w:pStyle w:val="Compact"/>
      </w:pPr>
      <w:r>
        <w:t xml:space="preserve">Каким образом можно изменить порядок применения правил в списке контроля доступа?</w:t>
      </w:r>
      <w:r>
        <w:t xml:space="preserve"> </w:t>
      </w:r>
      <w:r>
        <w:t xml:space="preserve">В классических Cisco ACL порядок применения правил определяется их последовательностью в списке. Правила проверяются сверху вниз до первого совпадения.</w:t>
      </w:r>
    </w:p>
    <w:p>
      <w:pPr>
        <w:pStyle w:val="FirstParagraph"/>
      </w:pPr>
      <w:r>
        <w:t xml:space="preserve">Изменить порядок можно следующими способами:</w:t>
      </w:r>
    </w:p>
    <w:p>
      <w:pPr>
        <w:pStyle w:val="BodyText"/>
      </w:pPr>
      <w:r>
        <w:t xml:space="preserve">Удалить и заново добавить правила в нужной последовательности.</w:t>
      </w:r>
    </w:p>
    <w:p>
      <w:pPr>
        <w:pStyle w:val="BodyText"/>
      </w:pPr>
      <w:r>
        <w:t xml:space="preserve">Использовать номера строк (если поддерживается версией IOS): при добавлении правила можно указать номер, чтобы вставить его между существующими.</w:t>
      </w:r>
    </w:p>
    <w:p>
      <w:pPr>
        <w:pStyle w:val="BodyText"/>
      </w:pPr>
      <w:r>
        <w:t xml:space="preserve">В современных версиях Cisco IOS можно использовать ip access-list extended</w:t>
      </w:r>
      <w:r>
        <w:t xml:space="preserve"> </w:t>
      </w:r>
      <w:r>
        <w:t xml:space="preserve"> </w:t>
      </w:r>
      <w:r>
        <w:t xml:space="preserve">и затем команды с номерами, например: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15 permit tcp any any eq 80</w:t>
      </w:r>
      <w:r>
        <w:t xml:space="preserve"> </w:t>
      </w:r>
      <w:r>
        <w:t xml:space="preserve">Номер определяет позицию правила.</w:t>
      </w:r>
    </w:p>
    <w:p>
      <w:pPr>
        <w:pStyle w:val="BodyText"/>
      </w:pPr>
      <w:r>
        <w:t xml:space="preserve">В тексте лабораторной работы (стр. 4) показан пример добавления правила для ICMP в начало списка (путём указания номера 1):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1 permit icmp any any</w:t>
      </w:r>
      <w:r>
        <w:t xml:space="preserve"> </w:t>
      </w:r>
      <w:r>
        <w:t xml:space="preserve">Это демонстрирует, что с помощью указания номера можно задать приоритет правила (меньший номер — выше приоритет).</w:t>
      </w:r>
    </w:p>
    <w:bookmarkEnd w:id="64"/>
    <w:bookmarkStart w:id="66" w:name="список-литературы"/>
    <w:p>
      <w:pPr>
        <w:pStyle w:val="Heading1"/>
      </w:pPr>
      <w:r>
        <w:t xml:space="preserve">Список литературы</w:t>
      </w:r>
    </w:p>
    <w:bookmarkStart w:id="65" w:name="refs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10</dc:title>
  <dc:creator>Ромицына Анастасия Романовна</dc:creator>
  <dc:language>ru-RU</dc:language>
  <cp:keywords/>
  <dcterms:created xsi:type="dcterms:W3CDTF">2026-04-12T21:25:37Z</dcterms:created>
  <dcterms:modified xsi:type="dcterms:W3CDTF">2026-04-12T21:25:37Z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