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Планирование</w:t>
      </w:r>
      <w:r>
        <w:t xml:space="preserve"> </w:t>
      </w:r>
      <w:r>
        <w:t xml:space="preserve">локальной</w:t>
      </w:r>
      <w:r>
        <w:t xml:space="preserve"> </w:t>
      </w:r>
      <w:r>
        <w:t xml:space="preserve">сети</w:t>
      </w:r>
      <w:r>
        <w:t xml:space="preserve"> </w:t>
      </w:r>
      <w:r>
        <w:t xml:space="preserve">организации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принципами планирования локальной сети организации</w:t>
      </w:r>
    </w:p>
    <w:bookmarkEnd w:id="20"/>
    <w:bookmarkStart w:id="10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Повторяем схемы из лабораторной работы(рис. 1).</w:t>
      </w:r>
    </w:p>
    <w:p>
      <w:pPr>
        <w:pStyle w:val="CaptionedFigure"/>
      </w:pPr>
      <w:r>
        <w:drawing>
          <wp:inline>
            <wp:extent cx="2667000" cy="1436076"/>
            <wp:effectExtent b="0" l="0" r="0" t="0"/>
            <wp:docPr descr="Рабочая область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3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Рабочая область</w:t>
      </w:r>
    </w:p>
    <w:p>
      <w:pPr>
        <w:pStyle w:val="BodyText"/>
      </w:pPr>
      <w:r>
        <w:t xml:space="preserve">Начальная настройка msk-donskaya-arromichina-sw-1(рис. 2).</w:t>
      </w:r>
    </w:p>
    <w:p>
      <w:pPr>
        <w:pStyle w:val="CaptionedFigure"/>
      </w:pPr>
      <w:r>
        <w:drawing>
          <wp:inline>
            <wp:extent cx="2667000" cy="2575350"/>
            <wp:effectExtent b="0" l="0" r="0" t="0"/>
            <wp:docPr descr="Настройка msk-donskaya-arromichina-sw-1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7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msk-donskaya-arromichina-sw-1</w:t>
      </w:r>
    </w:p>
    <w:p>
      <w:pPr>
        <w:pStyle w:val="BodyText"/>
      </w:pPr>
      <w:r>
        <w:t xml:space="preserve">Начальная настройка msk-donskaya-arromichina-sw-2(рис. 3).</w:t>
      </w:r>
    </w:p>
    <w:p>
      <w:pPr>
        <w:pStyle w:val="CaptionedFigure"/>
      </w:pPr>
      <w:r>
        <w:drawing>
          <wp:inline>
            <wp:extent cx="2667000" cy="2609547"/>
            <wp:effectExtent b="0" l="0" r="0" t="0"/>
            <wp:docPr descr="Настройка msk-donskaya-arromichina-sw-2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09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msk-donskaya-arromichina-sw-2</w:t>
      </w:r>
    </w:p>
    <w:p>
      <w:pPr>
        <w:pStyle w:val="BodyText"/>
      </w:pPr>
      <w:r>
        <w:t xml:space="preserve">Начальная настройка msk-donskaya-arromichina-sw-4(рис. 4).</w:t>
      </w:r>
    </w:p>
    <w:p>
      <w:pPr>
        <w:pStyle w:val="CaptionedFigure"/>
      </w:pPr>
      <w:r>
        <w:drawing>
          <wp:inline>
            <wp:extent cx="2667000" cy="2633510"/>
            <wp:effectExtent b="0" l="0" r="0" t="0"/>
            <wp:docPr descr="Настройка msk-donskaya-arromichina-sw-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33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msk-donskaya-arromichina-sw-4</w:t>
      </w:r>
    </w:p>
    <w:p>
      <w:pPr>
        <w:pStyle w:val="BodyText"/>
      </w:pPr>
      <w:r>
        <w:t xml:space="preserve">Начальная настройка msk-donskaya-arromichina-sw-3(рис. 5).</w:t>
      </w:r>
    </w:p>
    <w:p>
      <w:pPr>
        <w:pStyle w:val="CaptionedFigure"/>
      </w:pPr>
      <w:r>
        <w:drawing>
          <wp:inline>
            <wp:extent cx="2667000" cy="2651690"/>
            <wp:effectExtent b="0" l="0" r="0" t="0"/>
            <wp:docPr descr="Настройка msk-donskaya-arromichina-sw-3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51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msk-donskaya-arromichina-sw-3</w:t>
      </w:r>
    </w:p>
    <w:p>
      <w:pPr>
        <w:pStyle w:val="BodyText"/>
      </w:pPr>
      <w:r>
        <w:t xml:space="preserve">Настройка msk-donskaya-arromichina-sw-1(рис. 6).</w:t>
      </w:r>
    </w:p>
    <w:p>
      <w:pPr>
        <w:pStyle w:val="CaptionedFigure"/>
      </w:pPr>
      <w:r>
        <w:drawing>
          <wp:inline>
            <wp:extent cx="3733800" cy="3777368"/>
            <wp:effectExtent b="0" l="0" r="0" t="0"/>
            <wp:docPr descr="msk-donskaya-arromichina-sw-1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msk-donskaya-arromichina-sw-1</w:t>
      </w:r>
    </w:p>
    <w:p>
      <w:pPr>
        <w:pStyle w:val="BodyText"/>
      </w:pPr>
      <w:r>
        <w:t xml:space="preserve">Начальная настройка msk-donskaya-arromichina-sw-3(рис. 7).</w:t>
      </w:r>
    </w:p>
    <w:p>
      <w:pPr>
        <w:pStyle w:val="CaptionedFigure"/>
      </w:pPr>
      <w:r>
        <w:drawing>
          <wp:inline>
            <wp:extent cx="3733800" cy="3708196"/>
            <wp:effectExtent b="0" l="0" r="0" t="0"/>
            <wp:docPr descr="Настройка msk-donskaya-arromichina-sw-3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8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msk-donskaya-arromichina-sw-3</w:t>
      </w:r>
    </w:p>
    <w:p>
      <w:pPr>
        <w:pStyle w:val="BodyText"/>
      </w:pPr>
      <w:r>
        <w:t xml:space="preserve">Настройка msk-donskaya-arromichina-sw-4(рис. 8).</w:t>
      </w:r>
    </w:p>
    <w:p>
      <w:pPr>
        <w:pStyle w:val="CaptionedFigure"/>
      </w:pPr>
      <w:r>
        <w:drawing>
          <wp:inline>
            <wp:extent cx="3733800" cy="3789720"/>
            <wp:effectExtent b="0" l="0" r="0" t="0"/>
            <wp:docPr descr="Настройка msk-donskaya-arromichina-sw-4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9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msk-donskaya-arromichina-sw-4</w:t>
      </w:r>
    </w:p>
    <w:p>
      <w:pPr>
        <w:pStyle w:val="BodyText"/>
      </w:pPr>
      <w:r>
        <w:t xml:space="preserve">Настройка msk-donskaya-arromichina-sw-1(рис. 9).</w:t>
      </w:r>
    </w:p>
    <w:p>
      <w:pPr>
        <w:pStyle w:val="CaptionedFigure"/>
      </w:pPr>
      <w:r>
        <w:drawing>
          <wp:inline>
            <wp:extent cx="3733800" cy="3716573"/>
            <wp:effectExtent b="0" l="0" r="0" t="0"/>
            <wp:docPr descr="Настройка msk-donskaya-arromichina-sw-1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6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msk-donskaya-arromichina-sw-1</w:t>
      </w:r>
    </w:p>
    <w:p>
      <w:pPr>
        <w:pStyle w:val="BodyText"/>
      </w:pPr>
      <w:r>
        <w:t xml:space="preserve">настройка msk-donskaya-arromichina-gw-1(рис. 10).</w:t>
      </w:r>
    </w:p>
    <w:p>
      <w:pPr>
        <w:pStyle w:val="CaptionedFigure"/>
      </w:pPr>
      <w:r>
        <w:drawing>
          <wp:inline>
            <wp:extent cx="3733800" cy="3733800"/>
            <wp:effectExtent b="0" l="0" r="0" t="0"/>
            <wp:docPr descr="Настройка msk-donskaya-arromichina-gw-1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msk-donskaya-arromichina-gw-1</w:t>
      </w:r>
    </w:p>
    <w:p>
      <w:pPr>
        <w:pStyle w:val="BodyText"/>
      </w:pPr>
      <w:r>
        <w:t xml:space="preserve">настройка web-arromichina 10.128.0.0.16 (рис. 11).</w:t>
      </w:r>
    </w:p>
    <w:p>
      <w:pPr>
        <w:pStyle w:val="CaptionedFigure"/>
      </w:pPr>
      <w:r>
        <w:drawing>
          <wp:inline>
            <wp:extent cx="3733800" cy="1422810"/>
            <wp:effectExtent b="0" l="0" r="0" t="0"/>
            <wp:docPr descr="Настройка web-arromichina 10.128.0.0.16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2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web-arromichina 10.128.0.0.16</w:t>
      </w:r>
    </w:p>
    <w:p>
      <w:pPr>
        <w:pStyle w:val="BodyText"/>
      </w:pPr>
      <w:r>
        <w:t xml:space="preserve">Настройка file-arromichina 10.128.0.0.16 (рис. 12).</w:t>
      </w:r>
    </w:p>
    <w:p>
      <w:pPr>
        <w:pStyle w:val="CaptionedFigure"/>
      </w:pPr>
      <w:r>
        <w:drawing>
          <wp:inline>
            <wp:extent cx="3733800" cy="1364024"/>
            <wp:effectExtent b="0" l="0" r="0" t="0"/>
            <wp:docPr descr="Настройка file-arromichina 10.128.0.0.16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4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file-arromichina 10.128.0.0.16</w:t>
      </w:r>
    </w:p>
    <w:p>
      <w:pPr>
        <w:pStyle w:val="BodyText"/>
      </w:pPr>
      <w:r>
        <w:t xml:space="preserve">Настройка mail-arromichina 10.128.0.0.16 (рис. 13).</w:t>
      </w:r>
    </w:p>
    <w:p>
      <w:pPr>
        <w:pStyle w:val="CaptionedFigure"/>
      </w:pPr>
      <w:r>
        <w:drawing>
          <wp:inline>
            <wp:extent cx="3733800" cy="1380454"/>
            <wp:effectExtent b="0" l="0" r="0" t="0"/>
            <wp:docPr descr="Настройка mail-arromichina 10.128.0.0.16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0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mail-arromichina 10.128.0.0.16</w:t>
      </w:r>
    </w:p>
    <w:p>
      <w:pPr>
        <w:pStyle w:val="BodyText"/>
      </w:pPr>
      <w:r>
        <w:t xml:space="preserve">Настройка дк1-arromichina 10.128.0.0.16 (рис. 14).</w:t>
      </w:r>
    </w:p>
    <w:p>
      <w:pPr>
        <w:pStyle w:val="CaptionedFigure"/>
      </w:pPr>
      <w:r>
        <w:drawing>
          <wp:inline>
            <wp:extent cx="3733800" cy="1594061"/>
            <wp:effectExtent b="0" l="0" r="0" t="0"/>
            <wp:docPr descr="Настройка дк1-arromichina 10.128.0.0.16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4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дк1-arromichina 10.128.0.0.16</w:t>
      </w:r>
    </w:p>
    <w:p>
      <w:pPr>
        <w:pStyle w:val="BodyText"/>
      </w:pPr>
      <w:r>
        <w:t xml:space="preserve">Настройка дк-arromichina 10.128.0.0.16 (рис. 15).</w:t>
      </w:r>
    </w:p>
    <w:p>
      <w:pPr>
        <w:pStyle w:val="CaptionedFigure"/>
      </w:pPr>
      <w:r>
        <w:drawing>
          <wp:inline>
            <wp:extent cx="3733800" cy="1487413"/>
            <wp:effectExtent b="0" l="0" r="0" t="0"/>
            <wp:docPr descr="Настройка дк-arromichina 10.128.0.0.16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7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дк-arromichina 10.128.0.0.16</w:t>
      </w:r>
    </w:p>
    <w:p>
      <w:pPr>
        <w:pStyle w:val="BodyText"/>
      </w:pPr>
      <w:r>
        <w:t xml:space="preserve">Настройка deportaments-arromichina 10.128.0.0.16 (рис. 16).</w:t>
      </w:r>
    </w:p>
    <w:p>
      <w:pPr>
        <w:pStyle w:val="CaptionedFigure"/>
      </w:pPr>
      <w:r>
        <w:drawing>
          <wp:inline>
            <wp:extent cx="3733800" cy="1506776"/>
            <wp:effectExtent b="0" l="0" r="0" t="0"/>
            <wp:docPr descr="Настройка deportaments-arromichina 10.128.0.0.16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6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deportaments-arromichina 10.128.0.0.16</w:t>
      </w:r>
    </w:p>
    <w:p>
      <w:pPr>
        <w:pStyle w:val="BodyText"/>
      </w:pPr>
      <w:r>
        <w:t xml:space="preserve">Настройка adm-arromichina 10.128.0.0.16 (рис. 17).</w:t>
      </w:r>
    </w:p>
    <w:p>
      <w:pPr>
        <w:pStyle w:val="CaptionedFigure"/>
      </w:pPr>
      <w:r>
        <w:drawing>
          <wp:inline>
            <wp:extent cx="3733800" cy="1532594"/>
            <wp:effectExtent b="0" l="0" r="0" t="0"/>
            <wp:docPr descr="Настройка adm-arromichina 10.128.0.0.16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adm-arromichina 10.128.0.0.16</w:t>
      </w:r>
    </w:p>
    <w:p>
      <w:pPr>
        <w:pStyle w:val="BodyText"/>
      </w:pPr>
      <w:r>
        <w:t xml:space="preserve">Настройка other-arromichina 10.128.0.0.16 (рис. 18).</w:t>
      </w:r>
    </w:p>
    <w:p>
      <w:pPr>
        <w:pStyle w:val="CaptionedFigure"/>
      </w:pPr>
      <w:r>
        <w:drawing>
          <wp:inline>
            <wp:extent cx="3733800" cy="1524707"/>
            <wp:effectExtent b="0" l="0" r="0" t="0"/>
            <wp:docPr descr="Настройка other-arromichina 10.128.0.0.16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4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other-arromichina 10.128.0.0.16</w:t>
      </w:r>
    </w:p>
    <w:p>
      <w:pPr>
        <w:pStyle w:val="BodyText"/>
      </w:pPr>
      <w:r>
        <w:t xml:space="preserve">настройка dk-arromichina 10.128.0.0.16 (рис. 19).</w:t>
      </w:r>
    </w:p>
    <w:p>
      <w:pPr>
        <w:pStyle w:val="CaptionedFigure"/>
      </w:pPr>
      <w:r>
        <w:drawing>
          <wp:inline>
            <wp:extent cx="3733800" cy="1477780"/>
            <wp:effectExtent b="0" l="0" r="0" t="0"/>
            <wp:docPr descr="Настройка dr-arromichina 10.128.0.0.16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7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Настройка dr-arromichina 10.128.0.0.16</w:t>
      </w:r>
    </w:p>
    <w:p>
      <w:pPr>
        <w:pStyle w:val="BodyText"/>
      </w:pPr>
      <w:r>
        <w:t xml:space="preserve">Настройка other-arromichina 10.128.0.0.16 (рис. 20).</w:t>
      </w:r>
    </w:p>
    <w:p>
      <w:pPr>
        <w:pStyle w:val="CaptionedFigure"/>
      </w:pPr>
      <w:r>
        <w:drawing>
          <wp:inline>
            <wp:extent cx="3733800" cy="1469965"/>
            <wp:effectExtent b="0" l="0" r="0" t="0"/>
            <wp:docPr descr="Настройка other-arromichina 10.128.0.0.16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9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Настройка other-arromichina 10.128.0.0.16</w:t>
      </w:r>
    </w:p>
    <w:p>
      <w:pPr>
        <w:pStyle w:val="BodyText"/>
      </w:pPr>
      <w:r>
        <w:t xml:space="preserve">Настройка dns-arromichina 10.128.0.0.16 (рис. 21).</w:t>
      </w:r>
    </w:p>
    <w:p>
      <w:pPr>
        <w:pStyle w:val="CaptionedFigure"/>
      </w:pPr>
      <w:r>
        <w:drawing>
          <wp:inline>
            <wp:extent cx="3733800" cy="1373551"/>
            <wp:effectExtent b="0" l="0" r="0" t="0"/>
            <wp:docPr descr="Настройка dns-arromichina 10.128.0.0.16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3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Настройка dns-arromichina 10.128.0.0.16</w:t>
      </w:r>
    </w:p>
    <w:p>
      <w:pPr>
        <w:pStyle w:val="BodyText"/>
      </w:pPr>
      <w:r>
        <w:t xml:space="preserve">Настроили все, зпускаем на проверку (рис. 22).</w:t>
      </w:r>
    </w:p>
    <w:p>
      <w:pPr>
        <w:pStyle w:val="CaptionedFigure"/>
      </w:pPr>
      <w:r>
        <w:drawing>
          <wp:inline>
            <wp:extent cx="3733800" cy="2282523"/>
            <wp:effectExtent b="0" l="0" r="0" t="0"/>
            <wp:docPr descr="Запускаем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Запускаем</w:t>
      </w:r>
    </w:p>
    <w:p>
      <w:pPr>
        <w:pStyle w:val="BodyText"/>
      </w:pPr>
      <w:r>
        <w:t xml:space="preserve">Настройка msk-donskaya-arromichina-gw-1 (рис. 23).</w:t>
      </w:r>
    </w:p>
    <w:p>
      <w:pPr>
        <w:pStyle w:val="CaptionedFigure"/>
      </w:pPr>
      <w:r>
        <w:drawing>
          <wp:inline>
            <wp:extent cx="3733800" cy="3708313"/>
            <wp:effectExtent b="0" l="0" r="0" t="0"/>
            <wp:docPr descr="настройка msk-donskaya-arromichina-gw-1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8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настройка msk-donskaya-arromichina-gw-1</w:t>
      </w:r>
    </w:p>
    <w:p>
      <w:pPr>
        <w:pStyle w:val="BodyText"/>
      </w:pPr>
      <w:r>
        <w:t xml:space="preserve">Настройка file-arromichina 172.16.0.3 (рис. 24).</w:t>
      </w:r>
    </w:p>
    <w:p>
      <w:pPr>
        <w:pStyle w:val="CaptionedFigure"/>
      </w:pPr>
      <w:r>
        <w:drawing>
          <wp:inline>
            <wp:extent cx="3733800" cy="1357745"/>
            <wp:effectExtent b="0" l="0" r="0" t="0"/>
            <wp:docPr descr="Настройка file-arromichina 172.16.0.3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Настройка file-arromichina 172.16.0.3</w:t>
      </w:r>
    </w:p>
    <w:p>
      <w:pPr>
        <w:pStyle w:val="BodyText"/>
      </w:pPr>
      <w:r>
        <w:t xml:space="preserve">Настройка other1-arromichina 172.16.0.3 (рис. 25).</w:t>
      </w:r>
    </w:p>
    <w:p>
      <w:pPr>
        <w:pStyle w:val="CaptionedFigure"/>
      </w:pPr>
      <w:r>
        <w:drawing>
          <wp:inline>
            <wp:extent cx="3733800" cy="1630110"/>
            <wp:effectExtent b="0" l="0" r="0" t="0"/>
            <wp:docPr descr="Настройка other1-arromichina 172.16.0.3 аналогично настраиваем все нужные устройства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0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Настройка other1-arromichina 172.16.0.3 аналогично настраиваем все нужные устройства</w:t>
      </w:r>
    </w:p>
    <w:p>
      <w:pPr>
        <w:pStyle w:val="BodyText"/>
      </w:pPr>
      <w:r>
        <w:t xml:space="preserve">Запускаем на проверку(рис. 26).</w:t>
      </w:r>
    </w:p>
    <w:p>
      <w:pPr>
        <w:pStyle w:val="CaptionedFigure"/>
      </w:pPr>
      <w:r>
        <w:drawing>
          <wp:inline>
            <wp:extent cx="3733800" cy="2291195"/>
            <wp:effectExtent b="0" l="0" r="0" t="0"/>
            <wp:docPr descr="Запускаем на проверку на этом этапе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1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Запускаем на проверку на этом этапе</w:t>
      </w:r>
    </w:p>
    <w:p>
      <w:pPr>
        <w:pStyle w:val="BodyText"/>
      </w:pPr>
      <w:r>
        <w:t xml:space="preserve">Настраиваем все устройства на новый адрес 192.168.0.0(рис. 27).</w:t>
      </w:r>
    </w:p>
    <w:p>
      <w:pPr>
        <w:pStyle w:val="CaptionedFigure"/>
      </w:pPr>
      <w:r>
        <w:drawing>
          <wp:inline>
            <wp:extent cx="3733800" cy="2557631"/>
            <wp:effectExtent b="0" l="0" r="0" t="0"/>
            <wp:docPr descr="Настройка всех умтройств на адрес 192.168.0.0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7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Настройка всех умтройств на адрес 192.168.0.0</w:t>
      </w:r>
    </w:p>
    <w:p>
      <w:pPr>
        <w:pStyle w:val="BodyText"/>
      </w:pPr>
      <w:r>
        <w:t xml:space="preserve">Запускаем на проверку(рис. 28).</w:t>
      </w:r>
    </w:p>
    <w:p>
      <w:pPr>
        <w:pStyle w:val="CaptionedFigure"/>
      </w:pPr>
      <w:r>
        <w:drawing>
          <wp:inline>
            <wp:extent cx="3733800" cy="2135036"/>
            <wp:effectExtent b="0" l="0" r="0" t="0"/>
            <wp:docPr descr="Запускаем на проверку на этом этапе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5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Запускаем на проверку на этом этапе</w:t>
      </w:r>
    </w:p>
    <w:bookmarkEnd w:id="105"/>
    <w:bookmarkStart w:id="10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смогли познакомиться с принципами планирования локальной сети организации</w:t>
      </w:r>
    </w:p>
    <w:bookmarkEnd w:id="106"/>
    <w:bookmarkStart w:id="10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Модель OSI (Open Systems Interconnection) — это эталонная модель, определяющая уровни взаимодействия в сети. Выделяют 7 уровней: физический (передача битов), канальный (формирование кадров, MAC-адреса), сетевой (маршрутизация, IP-адреса), транспортный (обеспечение надежности, сегменты), сеансовый (управление сеансами), представления (преобразование данных) и прикладной (взаимодействие с приложениями).</w:t>
      </w:r>
    </w:p>
    <w:p>
      <w:pPr>
        <w:numPr>
          <w:ilvl w:val="0"/>
          <w:numId w:val="1001"/>
        </w:numPr>
      </w:pPr>
      <w:r>
        <w:t xml:space="preserve">Коммутатор (switch) функционирует на канальном уровне (L2), он соединяет устройства в сети, используя их MAC-адреса для коммутации кадров, и используется для создания VLAN.</w:t>
      </w:r>
    </w:p>
    <w:p>
      <w:pPr>
        <w:numPr>
          <w:ilvl w:val="0"/>
          <w:numId w:val="1001"/>
        </w:numPr>
      </w:pPr>
      <w:r>
        <w:t xml:space="preserve">Маршрутизатор (router) работает на сетевом уровне (L3), обеспечивает связь между разными сетями (подсетями) и VLAN, принимая решения о маршрутизации на основе IP-адресов.</w:t>
      </w:r>
    </w:p>
    <w:p>
      <w:pPr>
        <w:numPr>
          <w:ilvl w:val="0"/>
          <w:numId w:val="1001"/>
        </w:numPr>
      </w:pPr>
      <w:r>
        <w:t xml:space="preserve">Коммутатор второго уровня (L2) работает только с MAC-адресами и не выполняет маршрутизацию, в отличие от коммутатора третьего уровня (L3), который также способен выполнять функции маршрутизации между VLAN, совмещая функции коммутатора и маршрутизатора.</w:t>
      </w:r>
    </w:p>
    <w:p>
      <w:pPr>
        <w:numPr>
          <w:ilvl w:val="0"/>
          <w:numId w:val="1001"/>
        </w:numPr>
      </w:pPr>
      <w:r>
        <w:t xml:space="preserve">Сетевой интерфейс — это точка подключения устройства к сети (например, сетевая плата), имеющая собственный MAC-адрес.</w:t>
      </w:r>
    </w:p>
    <w:p>
      <w:pPr>
        <w:numPr>
          <w:ilvl w:val="0"/>
          <w:numId w:val="1001"/>
        </w:numPr>
      </w:pPr>
      <w:r>
        <w:t xml:space="preserve">Сетевой порт — это физический разъем на сетевом устройстве (коммутаторе, маршрутизаторе), через который осуществляется подключение.</w:t>
      </w:r>
    </w:p>
    <w:p>
      <w:pPr>
        <w:numPr>
          <w:ilvl w:val="0"/>
          <w:numId w:val="1001"/>
        </w:numPr>
      </w:pPr>
      <w:r>
        <w:t xml:space="preserve">Ethernet — базовая технология локальных сетей. Fast Ethernet — стандарт со скоростью передачи 100 Мбит/с. Gigabit Ethernet обеспечивает скорость 1000 Мбит/с, используется для магистралей и серверов.</w:t>
      </w:r>
    </w:p>
    <w:p>
      <w:pPr>
        <w:numPr>
          <w:ilvl w:val="0"/>
          <w:numId w:val="1001"/>
        </w:numPr>
      </w:pPr>
      <w:r>
        <w:t xml:space="preserve">IPv4-адрес — это 32-битный адрес, идентифицирующий устройство в сети (например, 10.128.3.1). Сеть — это совокупность устройств, имеющих общую часть IP-адреса. Подсеть — это логическое разделение одной большой сети на более мелкие части для упрощения управления. Маска подсети определяет, какая часть IP-адреса относится к сети, а какая — к узлу (например, /24 или 255.255.255.0). Служебные адреса: адрес сети (младший, все биты хоста =0) и широковещательный адрес (старший, все биты хоста =1). Пример разбиения: сеть 10.128.0.0/16 (одна большая) разбита на подсети /24: 10.128.1.0/24 (управление), 10.128.3.0/24 (ДК) и другие, каждая поддерживает до 254 узлов.</w:t>
      </w:r>
    </w:p>
    <w:p>
      <w:pPr>
        <w:numPr>
          <w:ilvl w:val="0"/>
          <w:numId w:val="1001"/>
        </w:numPr>
      </w:pPr>
      <w:r>
        <w:t xml:space="preserve">VLAN (Virtual Local Area Network) — это технология, позволяющая логически разделить единую физическую сеть на несколько изолированных широковещательных доменов. Применяется для разделения трафика разных групп пользователей, повышения безопасности и упрощения управления. Преимущества: трафик отделяется, повышается производительность, упрощается добавление новых устройств. Примеры: отдельная сеть для Администрации (VLAN 103) и отдельная для Дисплейных классов (VLAN 101) на разных территориях.</w:t>
      </w:r>
    </w:p>
    <w:p>
      <w:pPr>
        <w:numPr>
          <w:ilvl w:val="0"/>
          <w:numId w:val="1001"/>
        </w:numPr>
      </w:pPr>
      <w:r>
        <w:t xml:space="preserve">Access Port (порт доступа) принадлежит одному конкретному VLAN и используется для подключения конечных устройств (компьютеров, принтеров). Trunk Port (магистральный порт) передает трафик сразу нескольких VLAN между коммутаторами и маршрутизаторами.</w:t>
      </w:r>
    </w:p>
    <w:bookmarkEnd w:id="107"/>
    <w:bookmarkStart w:id="109" w:name="список-литературы"/>
    <w:p>
      <w:pPr>
        <w:pStyle w:val="Heading1"/>
      </w:pPr>
      <w:r>
        <w:t xml:space="preserve">Список литературы</w:t>
      </w:r>
    </w:p>
    <w:bookmarkStart w:id="108" w:name="refs"/>
    <w:bookmarkEnd w:id="108"/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</dc:title>
  <dc:creator>Ромицына Анасасия Романовна</dc:creator>
  <dc:language>ru-RU</dc:language>
  <cp:keywords/>
  <dcterms:created xsi:type="dcterms:W3CDTF">2026-02-28T07:15:17Z</dcterms:created>
  <dcterms:modified xsi:type="dcterms:W3CDTF">2026-02-28T07:15:17Z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Планирование локальной сети организации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