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Получение навыков настройки VPN-туннеля через незащищённое Интернетсоединение.</w:t>
      </w:r>
    </w:p>
    <w:bookmarkEnd w:id="20"/>
    <w:bookmarkStart w:id="51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Разместим в рабочей области проекта оборудование для сети Университета г. Пиза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2133600" cy="904174"/>
            <wp:effectExtent b="0" l="0" r="0" t="0"/>
            <wp:docPr descr="Размещение объекто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904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объектов</w:t>
      </w:r>
    </w:p>
    <w:p>
      <w:pPr>
        <w:pStyle w:val="BodyText"/>
      </w:pPr>
      <w:r>
        <w:t xml:space="preserve">В физической рабочей области проекта создадим город Пиза, здание Университета г. Пиза.(рис. 2).</w:t>
      </w:r>
    </w:p>
    <w:p>
      <w:pPr>
        <w:pStyle w:val="CaptionedFigure"/>
      </w:pPr>
      <w:r>
        <w:drawing>
          <wp:inline>
            <wp:extent cx="3733800" cy="2627132"/>
            <wp:effectExtent b="0" l="0" r="0" t="0"/>
            <wp:docPr descr="Размещение объекто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7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Размещение объектов</w:t>
      </w:r>
    </w:p>
    <w:p>
      <w:pPr>
        <w:pStyle w:val="BodyText"/>
      </w:pPr>
      <w:r>
        <w:t xml:space="preserve">Переместим туда соответствующее оборудование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2234829"/>
            <wp:effectExtent b="0" l="0" r="0" t="0"/>
            <wp:docPr descr="Перемещение оборудования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Перемещение оборудования</w:t>
      </w:r>
    </w:p>
    <w:p>
      <w:pPr>
        <w:pStyle w:val="BodyText"/>
      </w:pPr>
      <w:r>
        <w:t xml:space="preserve">Первоначальная настройка маршрутизатора pisa-unipi-gw-1 (рис. 4).</w:t>
      </w:r>
    </w:p>
    <w:p>
      <w:pPr>
        <w:pStyle w:val="CaptionedFigure"/>
      </w:pPr>
      <w:r>
        <w:drawing>
          <wp:inline>
            <wp:extent cx="3733800" cy="6022806"/>
            <wp:effectExtent b="0" l="0" r="0" t="0"/>
            <wp:docPr descr="Первоначальная настрой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22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Первоначальная настройка</w:t>
      </w:r>
    </w:p>
    <w:p>
      <w:pPr>
        <w:pStyle w:val="BodyText"/>
      </w:pPr>
      <w:r>
        <w:t xml:space="preserve">Первоначальная настройка коммутатора pisa-unipi-sw-1</w:t>
      </w:r>
      <w:r>
        <w:t xml:space="preserve"> </w:t>
      </w:r>
      <w:r>
        <w:t xml:space="preserve">(рис. 5).</w:t>
      </w:r>
    </w:p>
    <w:p>
      <w:pPr>
        <w:pStyle w:val="CaptionedFigure"/>
      </w:pPr>
      <w:r>
        <w:drawing>
          <wp:inline>
            <wp:extent cx="3733800" cy="6067425"/>
            <wp:effectExtent b="0" l="0" r="0" t="0"/>
            <wp:docPr descr="Первоначальная настройка коммутатора pisa-unipi-sw-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Первоначальная настройка коммутатора pisa-unipi-sw-1</w:t>
      </w:r>
    </w:p>
    <w:p>
      <w:pPr>
        <w:pStyle w:val="BodyText"/>
      </w:pPr>
      <w:r>
        <w:t xml:space="preserve">Настройка интерфейсов маршрутизатора pisa-unipi-gw-1 (рис. 6).</w:t>
      </w:r>
    </w:p>
    <w:p>
      <w:pPr>
        <w:pStyle w:val="CaptionedFigure"/>
      </w:pPr>
      <w:r>
        <w:drawing>
          <wp:inline>
            <wp:extent cx="3733800" cy="6056801"/>
            <wp:effectExtent b="0" l="0" r="0" t="0"/>
            <wp:docPr descr="Настройка интерфейсов маршрутизатора pisa-unipi-gw-1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56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интерфейсов маршрутизатора pisa-unipi-gw-1</w:t>
      </w:r>
    </w:p>
    <w:p>
      <w:pPr>
        <w:pStyle w:val="BodyText"/>
      </w:pPr>
      <w:r>
        <w:t xml:space="preserve">Настройка интерфейсов коммутатора pisa-unipi-sw-1 (рис. 7).</w:t>
      </w:r>
    </w:p>
    <w:p>
      <w:pPr>
        <w:pStyle w:val="CaptionedFigure"/>
      </w:pPr>
      <w:r>
        <w:drawing>
          <wp:inline>
            <wp:extent cx="3733800" cy="6090192"/>
            <wp:effectExtent b="0" l="0" r="0" t="0"/>
            <wp:docPr descr="Настройка интерфейсов коммутатора pisa-unipi-sw-1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9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интерфейсов коммутатора pisa-unipi-sw-1</w:t>
      </w:r>
    </w:p>
    <w:p>
      <w:pPr>
        <w:pStyle w:val="BodyText"/>
      </w:pPr>
      <w:r>
        <w:t xml:space="preserve">Настройка маршрутизатора msk-donskaya-gw-1 (рис.8).</w:t>
      </w:r>
    </w:p>
    <w:p>
      <w:pPr>
        <w:pStyle w:val="CaptionedFigure"/>
      </w:pPr>
      <w:r>
        <w:drawing>
          <wp:inline>
            <wp:extent cx="3733800" cy="7453719"/>
            <wp:effectExtent b="0" l="0" r="0" t="0"/>
            <wp:docPr descr="Настройка маршрутизатора msk-donskaya-gw-1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53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маршрутизатора msk-donskaya-gw-1</w:t>
      </w:r>
    </w:p>
    <w:p>
      <w:pPr>
        <w:pStyle w:val="BodyText"/>
      </w:pPr>
      <w:r>
        <w:t xml:space="preserve">Настройка интерфейсов маршрутизатора pisa-unipi-gw-1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3733800" cy="6983110"/>
            <wp:effectExtent b="0" l="0" r="0" t="0"/>
            <wp:docPr descr="Настройка интерфейсов маршрутизатора pisa-unipi-gw-1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8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интерфейсов маршрутизатора pisa-unipi-gw-1</w:t>
      </w:r>
    </w:p>
    <w:p>
      <w:pPr>
        <w:pStyle w:val="BodyText"/>
      </w:pPr>
      <w:r>
        <w:t xml:space="preserve">Проверка</w:t>
      </w:r>
      <w:r>
        <w:t xml:space="preserve"> </w:t>
      </w:r>
      <w:r>
        <w:t xml:space="preserve">(рис. 10).</w:t>
      </w:r>
    </w:p>
    <w:p>
      <w:pPr>
        <w:pStyle w:val="CaptionedFigure"/>
      </w:pPr>
      <w:r>
        <w:drawing>
          <wp:inline>
            <wp:extent cx="3733800" cy="2903291"/>
            <wp:effectExtent b="0" l="0" r="0" t="0"/>
            <wp:docPr descr="Проверк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</w:t>
      </w:r>
    </w:p>
    <w:bookmarkEnd w:id="51"/>
    <w:bookmarkStart w:id="5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получить навыки настройки VPN-туннеля через незащищённое Интернетсоединение.</w:t>
      </w:r>
    </w:p>
    <w:bookmarkEnd w:id="52"/>
    <w:bookmarkStart w:id="5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Что такое VPN?</w:t>
      </w:r>
      <w:r>
        <w:t xml:space="preserve"> </w:t>
      </w:r>
      <w:r>
        <w:t xml:space="preserve">VPN (Virtual Private Network) — это технология для создания защищённого (зашифрованного) соединения между устройством и сетью через интернет.</w:t>
      </w:r>
    </w:p>
    <w:p>
      <w:pPr>
        <w:numPr>
          <w:ilvl w:val="0"/>
          <w:numId w:val="1001"/>
        </w:numPr>
      </w:pPr>
      <w:r>
        <w:t xml:space="preserve">В каких случаях следует использовать VPN?</w:t>
      </w:r>
      <w:r>
        <w:t xml:space="preserve"> </w:t>
      </w:r>
      <w:r>
        <w:t xml:space="preserve">Для защиты данных в публичных Wi-Fi, обхода блокировок, скрытия реального IP-адреса и безопасного доступа к корпоративной сети.</w:t>
      </w:r>
    </w:p>
    <w:p>
      <w:pPr>
        <w:numPr>
          <w:ilvl w:val="0"/>
          <w:numId w:val="1001"/>
        </w:numPr>
      </w:pPr>
      <w:r>
        <w:t xml:space="preserve">Как с помощью VPN обойти NAT?</w:t>
      </w:r>
      <w:r>
        <w:t xml:space="preserve"> </w:t>
      </w:r>
      <w:r>
        <w:t xml:space="preserve">VPN-клиент устанавливает исходящее соединение с VPN-сервером, которое не блокируется NAT (т.к. идёт «наружу»). Сервер присваивает устройству внутренний IP и перенаправляет обратный трафик через уже открытый канал, минуя ограничения NAT на входящие подключения.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16</dc:title>
  <dc:creator>Ромицына Анастасия Романовна</dc:creator>
  <dc:language>ru-RU</dc:language>
  <cp:keywords/>
  <dcterms:created xsi:type="dcterms:W3CDTF">2026-05-29T12:09:11Z</dcterms:created>
  <dcterms:modified xsi:type="dcterms:W3CDTF">2026-05-29T12:09:11Z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