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42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</w:t>
      </w:r>
      <w:r>
        <w:t xml:space="preserve"> </w:t>
      </w:r>
      <w:r>
        <w:t xml:space="preserve">через сеть провайдера посредством статической маршрутизации локальной</w:t>
      </w:r>
      <w:r>
        <w:t xml:space="preserve"> </w:t>
      </w:r>
      <w:r>
        <w:t xml:space="preserve">сети с сетью основного здания, расположенного в 42-м квартале в Москве,</w:t>
      </w:r>
      <w:r>
        <w:t xml:space="preserve"> </w:t>
      </w:r>
      <w:r>
        <w:t xml:space="preserve">и сетью филиала, расположенного в г. Сочи.</w:t>
      </w:r>
    </w:p>
    <w:bookmarkEnd w:id="20"/>
    <w:bookmarkStart w:id="63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Внесем изменения в схемы L1, L2 и L3 сети. На схеме предыдущего нашего проекта разместим согласно необходимое оборудование. Присвоим названия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1751320"/>
            <wp:effectExtent b="0" l="0" r="0" t="0"/>
            <wp:docPr descr="Добавление устройст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устройств</w:t>
      </w:r>
    </w:p>
    <w:p>
      <w:pPr>
        <w:pStyle w:val="BodyText"/>
      </w:pPr>
      <w:r>
        <w:t xml:space="preserve">На медиаконвертерах заменим имеющиеся модули на PT-REPEATERNM-1FFE и PT-REPEATER-NM-1CFE для подключения витой пары по технологии Fast Ethernet и оптоволокна соответственно (рис. 2).</w:t>
      </w:r>
    </w:p>
    <w:p>
      <w:pPr>
        <w:pStyle w:val="CaptionedFigure"/>
      </w:pPr>
      <w:r>
        <w:drawing>
          <wp:inline>
            <wp:extent cx="3733800" cy="1709230"/>
            <wp:effectExtent b="0" l="0" r="0" t="0"/>
            <wp:docPr descr="Замена модулей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Замена модулей</w:t>
      </w:r>
    </w:p>
    <w:p>
      <w:pPr>
        <w:pStyle w:val="BodyText"/>
      </w:pPr>
      <w:r>
        <w:t xml:space="preserve">На маршрутизаторе msk-q42-gw-1 добавим дополнительный интерфейс</w:t>
      </w:r>
      <w:r>
        <w:t xml:space="preserve"> </w:t>
      </w:r>
      <w:r>
        <w:t xml:space="preserve">NM-2FE2W (рис. 3).</w:t>
      </w:r>
    </w:p>
    <w:p>
      <w:pPr>
        <w:pStyle w:val="CaptionedFigure"/>
      </w:pPr>
      <w:r>
        <w:drawing>
          <wp:inline>
            <wp:extent cx="3733800" cy="2002436"/>
            <wp:effectExtent b="0" l="0" r="0" t="0"/>
            <wp:docPr descr="Добавление интерфейс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интерфейса</w:t>
      </w:r>
    </w:p>
    <w:p>
      <w:pPr>
        <w:pStyle w:val="BodyText"/>
      </w:pPr>
      <w:r>
        <w:t xml:space="preserve">В физической рабочей области Packet Tracer добавим в г. Москва здание</w:t>
      </w:r>
      <w:r>
        <w:t xml:space="preserve"> </w:t>
      </w:r>
      <w:r>
        <w:t xml:space="preserve">42-го квартала и присвоим ему соответствующее название. (рис. 4).</w:t>
      </w:r>
    </w:p>
    <w:p>
      <w:pPr>
        <w:pStyle w:val="CaptionedFigure"/>
      </w:pPr>
      <w:r>
        <w:drawing>
          <wp:inline>
            <wp:extent cx="3733800" cy="1769023"/>
            <wp:effectExtent b="0" l="0" r="0" t="0"/>
            <wp:docPr descr="Добавление зданий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зданий</w:t>
      </w:r>
    </w:p>
    <w:p>
      <w:pPr>
        <w:pStyle w:val="BodyText"/>
      </w:pPr>
      <w:r>
        <w:t xml:space="preserve">В физической рабочей области Packet Tracer добавим город Сочи и в нём здание филиала, присвоим ему соответствующее название. (рис. 5).</w:t>
      </w:r>
    </w:p>
    <w:p>
      <w:pPr>
        <w:pStyle w:val="CaptionedFigure"/>
      </w:pPr>
      <w:r>
        <w:drawing>
          <wp:inline>
            <wp:extent cx="3733800" cy="1274410"/>
            <wp:effectExtent b="0" l="0" r="0" t="0"/>
            <wp:docPr descr="Добавление зданий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зданий</w:t>
      </w:r>
    </w:p>
    <w:p>
      <w:pPr>
        <w:pStyle w:val="BodyText"/>
      </w:pPr>
      <w:r>
        <w:t xml:space="preserve">Перенесем из сети «Донская» оборудование сети 42-го квартала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2039042"/>
            <wp:effectExtent b="0" l="0" r="0" t="0"/>
            <wp:docPr descr="Перенос оборудования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Перенос оборудования</w:t>
      </w:r>
    </w:p>
    <w:p>
      <w:pPr>
        <w:pStyle w:val="BodyText"/>
      </w:pPr>
      <w:r>
        <w:t xml:space="preserve">Перенесем из сеть филиала в соответствующие здания (рис. 7).</w:t>
      </w:r>
    </w:p>
    <w:p>
      <w:pPr>
        <w:pStyle w:val="CaptionedFigure"/>
      </w:pPr>
      <w:r>
        <w:drawing>
          <wp:inline>
            <wp:extent cx="3733800" cy="1615917"/>
            <wp:effectExtent b="0" l="0" r="0" t="0"/>
            <wp:docPr descr="Перенос оборудования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Перенос оборудования</w:t>
      </w:r>
    </w:p>
    <w:p>
      <w:pPr>
        <w:pStyle w:val="BodyText"/>
      </w:pPr>
      <w:r>
        <w:t xml:space="preserve">Проведем соединение объектов согласно скорректированной вами схеме L1 (рис. 8).</w:t>
      </w:r>
    </w:p>
    <w:p>
      <w:pPr>
        <w:pStyle w:val="CaptionedFigure"/>
      </w:pPr>
      <w:r>
        <w:drawing>
          <wp:inline>
            <wp:extent cx="3733800" cy="2046384"/>
            <wp:effectExtent b="0" l="0" r="0" t="0"/>
            <wp:docPr descr="Соединение объектов" title="" id="43" name="Picture"/>
            <a:graphic>
              <a:graphicData uri="http://schemas.openxmlformats.org/drawingml/2006/picture">
                <pic:pic>
                  <pic:nvPicPr>
                    <pic:cNvPr descr="image/1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6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Соединение объектов</w:t>
      </w:r>
    </w:p>
    <w:p>
      <w:pPr>
        <w:pStyle w:val="BodyText"/>
      </w:pPr>
      <w:r>
        <w:t xml:space="preserve">Первоначальная настройка маршрутизатора msk-q42-gw-1 (рис. 9).</w:t>
      </w:r>
    </w:p>
    <w:p>
      <w:pPr>
        <w:pStyle w:val="CaptionedFigure"/>
      </w:pPr>
      <w:r>
        <w:drawing>
          <wp:inline>
            <wp:extent cx="3733800" cy="4225820"/>
            <wp:effectExtent b="0" l="0" r="0" t="0"/>
            <wp:docPr descr="Первоначальная настройка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Первоначальная настройка</w:t>
      </w:r>
    </w:p>
    <w:p>
      <w:pPr>
        <w:pStyle w:val="BodyText"/>
      </w:pPr>
      <w:r>
        <w:t xml:space="preserve">Первоначальная настройка коммутатора msk-q42-sw-1 (рис.10).</w:t>
      </w:r>
    </w:p>
    <w:p>
      <w:pPr>
        <w:pStyle w:val="CaptionedFigure"/>
      </w:pPr>
      <w:r>
        <w:drawing>
          <wp:inline>
            <wp:extent cx="3733800" cy="4217884"/>
            <wp:effectExtent b="0" l="0" r="0" t="0"/>
            <wp:docPr descr="Первоначальная настройка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7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Первоначальная настройка</w:t>
      </w:r>
    </w:p>
    <w:p>
      <w:pPr>
        <w:pStyle w:val="BodyText"/>
      </w:pPr>
      <w:r>
        <w:t xml:space="preserve">Первоначальная настройка маршрутизирующего коммутатора msk-hostel-gw-1</w:t>
      </w:r>
      <w:r>
        <w:t xml:space="preserve"> </w:t>
      </w:r>
      <w:r>
        <w:t xml:space="preserve">(рис. 11).</w:t>
      </w:r>
    </w:p>
    <w:p>
      <w:pPr>
        <w:pStyle w:val="CaptionedFigure"/>
      </w:pPr>
      <w:r>
        <w:drawing>
          <wp:inline>
            <wp:extent cx="3733800" cy="4290068"/>
            <wp:effectExtent b="0" l="0" r="0" t="0"/>
            <wp:docPr descr="Первоначальная настройк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Первоначальная настройка</w:t>
      </w:r>
    </w:p>
    <w:p>
      <w:pPr>
        <w:pStyle w:val="BodyText"/>
      </w:pPr>
      <w:r>
        <w:t xml:space="preserve">Первоначальная настройка коммутатора msk-hostel-sw-1</w:t>
      </w:r>
      <w:r>
        <w:t xml:space="preserve"> </w:t>
      </w:r>
      <w:r>
        <w:t xml:space="preserve">(рис. 12).</w:t>
      </w:r>
    </w:p>
    <w:p>
      <w:pPr>
        <w:pStyle w:val="CaptionedFigure"/>
      </w:pPr>
      <w:r>
        <w:drawing>
          <wp:inline>
            <wp:extent cx="3733800" cy="4242773"/>
            <wp:effectExtent b="0" l="0" r="0" t="0"/>
            <wp:docPr descr="Первоначальная настройка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2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Первоначальная настройка</w:t>
      </w:r>
    </w:p>
    <w:p>
      <w:pPr>
        <w:pStyle w:val="BodyText"/>
      </w:pPr>
      <w:r>
        <w:t xml:space="preserve">Первоначальная настройка коммутатора sch-sochi-sw-1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3733800" cy="4237410"/>
            <wp:effectExtent b="0" l="0" r="0" t="0"/>
            <wp:docPr descr="Первоначальная настройка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Первоначальная настройка</w:t>
      </w:r>
    </w:p>
    <w:p>
      <w:pPr>
        <w:pStyle w:val="BodyText"/>
      </w:pPr>
      <w:r>
        <w:t xml:space="preserve">Первоначальная настройка маршрутизатора sch-sochi-gw-1</w:t>
      </w:r>
      <w:r>
        <w:t xml:space="preserve"> </w:t>
      </w:r>
      <w:r>
        <w:t xml:space="preserve">(рис. 14).</w:t>
      </w:r>
    </w:p>
    <w:p>
      <w:pPr>
        <w:pStyle w:val="CaptionedFigure"/>
      </w:pPr>
      <w:r>
        <w:drawing>
          <wp:inline>
            <wp:extent cx="3733800" cy="4273435"/>
            <wp:effectExtent b="0" l="0" r="0" t="0"/>
            <wp:docPr descr="Первоначальная настройка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Первоначальная настройка</w:t>
      </w:r>
    </w:p>
    <w:bookmarkEnd w:id="63"/>
    <w:bookmarkStart w:id="6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провести подготовительные мероприятия по организации взаимодействия</w:t>
      </w:r>
      <w:r>
        <w:t xml:space="preserve"> </w:t>
      </w:r>
      <w:r>
        <w:t xml:space="preserve">через сеть провайдера посредством статической маршрутизации локальной</w:t>
      </w:r>
      <w:r>
        <w:t xml:space="preserve"> </w:t>
      </w:r>
      <w:r>
        <w:t xml:space="preserve">сети с сетью основного здания, расположенного в 42-м квартале в Москве,</w:t>
      </w:r>
      <w:r>
        <w:t xml:space="preserve"> </w:t>
      </w:r>
      <w:r>
        <w:t xml:space="preserve">и сетью филиала, расположенного в г. Сочи.</w:t>
      </w:r>
    </w:p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В каких случаях следует использовать статическую маршрутизацию? Приведите примеры.</w:t>
      </w:r>
      <w:r>
        <w:t xml:space="preserve"> </w:t>
      </w:r>
      <w:r>
        <w:t xml:space="preserve">Случаи использования:</w:t>
      </w:r>
    </w:p>
    <w:p>
      <w:pPr>
        <w:pStyle w:val="FirstParagraph"/>
      </w:pPr>
      <w:r>
        <w:t xml:space="preserve">Малые сети (2-5 маршрутизаторов) — проще и дешевле, чем настройка динамических протоколов.</w:t>
      </w:r>
    </w:p>
    <w:p>
      <w:pPr>
        <w:pStyle w:val="BodyText"/>
      </w:pPr>
      <w:r>
        <w:t xml:space="preserve">Stub-сети (имеют только один выход) — достаточно маршрута по умолчанию.</w:t>
      </w:r>
    </w:p>
    <w:p>
      <w:pPr>
        <w:pStyle w:val="BodyText"/>
      </w:pPr>
      <w:r>
        <w:t xml:space="preserve">Соединение с провайдером — статический маршрут до головного офиса или интернет-шлюза.</w:t>
      </w:r>
    </w:p>
    <w:p>
      <w:pPr>
        <w:pStyle w:val="BodyText"/>
      </w:pPr>
      <w:r>
        <w:t xml:space="preserve">Резервные маршруты — с более высоким значением метрики для аварийного переключения.</w:t>
      </w:r>
    </w:p>
    <w:p>
      <w:pPr>
        <w:pStyle w:val="BodyText"/>
      </w:pPr>
      <w:r>
        <w:t xml:space="preserve">Отсутствие поддержки динамических протоколов на оборудовании.</w:t>
      </w:r>
    </w:p>
    <w:p>
      <w:pPr>
        <w:pStyle w:val="BodyText"/>
      </w:pPr>
      <w:r>
        <w:t xml:space="preserve">Требования безопасности — статические маршруты не анонсируются и не могут быть подменены.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Маршрут по умолчанию: ip route 0.0.0.0 0.0.0.0 192.168.1.1</w:t>
      </w:r>
    </w:p>
    <w:p>
      <w:pPr>
        <w:pStyle w:val="BodyText"/>
      </w:pPr>
      <w:r>
        <w:t xml:space="preserve">Резервный маршрут (AD=200): ip route 10.0.0.0 255.255.255.0 10.10.10.2 200</w:t>
      </w:r>
    </w:p>
    <w:p>
      <w:pPr>
        <w:numPr>
          <w:ilvl w:val="0"/>
          <w:numId w:val="1002"/>
        </w:numPr>
        <w:pStyle w:val="Compact"/>
      </w:pPr>
      <w:r>
        <w:t xml:space="preserve">Укажите основные принципы статической маршрутизации между VLANs</w:t>
      </w:r>
      <w:r>
        <w:t xml:space="preserve"> </w:t>
      </w:r>
      <w:r>
        <w:t xml:space="preserve">Каждый VLAN — отдельная IP-подсеть (например, VLAN 10 — 192.168.10.0/24).</w:t>
      </w:r>
    </w:p>
    <w:p>
      <w:pPr>
        <w:pStyle w:val="FirstParagraph"/>
      </w:pPr>
      <w:r>
        <w:t xml:space="preserve">На маршрутизаторе/L3-коммутаторе создаются SVI или подинтерфейсы для каждого VLAN с IP-адресом шлюза.</w:t>
      </w:r>
    </w:p>
    <w:p>
      <w:pPr>
        <w:pStyle w:val="BodyText"/>
      </w:pPr>
      <w:r>
        <w:t xml:space="preserve">Маршруты прописываются вручную для VLAN, не подключённых напрямую к данному устройству.</w:t>
      </w:r>
    </w:p>
    <w:p>
      <w:pPr>
        <w:pStyle w:val="BodyText"/>
      </w:pPr>
      <w:r>
        <w:t xml:space="preserve">На хостах в VLAN указывается шлюз по умолчанию — IP-адрес соответствующего SVI/подинтерфейса.</w:t>
      </w:r>
    </w:p>
    <w:p>
      <w:pPr>
        <w:pStyle w:val="BodyText"/>
      </w:pPr>
      <w:r>
        <w:t xml:space="preserve">Требуется симметрия маршрутов — обратный путь должен проходить через тот же маршрутизатор (или настроены ответные статические маршруты).</w:t>
      </w:r>
    </w:p>
    <w:p>
      <w:pPr>
        <w:pStyle w:val="BodyText"/>
      </w:pPr>
      <w:r>
        <w:t xml:space="preserve">Отсутствует автоматическое обнаружение — при изменении топологии или добавлении VLAN маршруты корректируются только вручную администратором.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13</dc:title>
  <dc:creator>Ромицына Анастасия Романовна</dc:creator>
  <dc:language>ru-RU</dc:language>
  <cp:keywords/>
  <dcterms:created xsi:type="dcterms:W3CDTF">2026-05-07T23:14:20Z</dcterms:created>
  <dcterms:modified xsi:type="dcterms:W3CDTF">2026-05-07T23:14:20Z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