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PingFang SC" w:hAnsi="PingFang SC" w:eastAsia="PingFang SC" w:cs="PingFang SC"/>
          <w:b/>
          <w:color w:val="2E74B5"/>
          <w:sz w:val="20"/>
        </w:rPr>
        <w:t>COURSE IMPLEMENTATION PLAN</w:t>
      </w:r>
    </w:p>
    <w:p>
      <w:pPr>
        <w:spacing w:after="120"/>
      </w:pPr>
      <w:r>
        <w:rPr>
          <w:rFonts w:ascii="PingFang SC" w:hAnsi="PingFang SC" w:eastAsia="PingFang SC" w:cs="PingFang SC"/>
          <w:b/>
          <w:color w:val="1F4D78"/>
          <w:sz w:val="50"/>
        </w:rPr>
        <w:t>2026年秋算法设计与分析课程教学实施方案</w:t>
      </w:r>
    </w:p>
    <w:p>
      <w:pPr>
        <w:spacing w:after="360"/>
      </w:pPr>
      <w:r>
        <w:rPr>
          <w:rFonts w:ascii="PingFang SC" w:hAnsi="PingFang SC" w:eastAsia="PingFang SC" w:cs="PingFang SC"/>
          <w:color w:val="667085"/>
          <w:sz w:val="24"/>
        </w:rPr>
        <w:t>以 LeetCode 热题100为主线，以蓝桥杯、洛谷典型题为补充的实战型教学设计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2E74B5"/>
                <w:sz w:val="17"/>
              </w:rPr>
              <w:t>总学时</w:t>
            </w:r>
          </w:p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0"/>
              </w:rPr>
              <w:t>48学时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2E74B5"/>
                <w:sz w:val="17"/>
              </w:rPr>
              <w:t>建议组织</w:t>
            </w:r>
          </w:p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0"/>
              </w:rPr>
              <w:t>16次课 × 3学时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2E74B5"/>
                <w:sz w:val="17"/>
              </w:rPr>
              <w:t>课堂主线</w:t>
            </w:r>
          </w:p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0"/>
              </w:rPr>
              <w:t>现场分析 · 编码 · 测试 · 复盘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2E74B5"/>
                <w:sz w:val="17"/>
              </w:rPr>
              <w:t>课外训练</w:t>
            </w:r>
          </w:p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/>
                <w:color w:val="1F4D78"/>
                <w:sz w:val="20"/>
              </w:rPr>
              <w:t>每日不少于2题</w:t>
            </w:r>
          </w:p>
        </w:tc>
      </w:tr>
    </w:tbl>
    <w:p>
      <w:pPr>
        <w:pStyle w:val="Heading1"/>
      </w:pPr>
      <w:r>
        <w:t>一、课程定位与设计思路</w:t>
      </w:r>
    </w:p>
    <w:p>
      <w:pPr>
        <w:jc w:val="both"/>
      </w:pPr>
      <w:r>
        <w:t>本课程面向已具备一门程序设计语言基础的学生，目标不是停留在算法概念的记忆与证明，而是通过高频、可迁移的实战训练，使学生形成“识别问题结构—选择算法范式—论证正确性—分析复杂度—实现与调试—复盘迁移”的完整能力链。课程以 LeetCode 热题100的知识结构为主线，精选蓝桥杯、洛谷等平台中难度和背景适宜的题目进行迁移训练。</w:t>
      </w:r>
    </w:p>
    <w:p>
      <w:pPr>
        <w:jc w:val="both"/>
      </w:pPr>
      <w:r>
        <w:t>核心原则：每节课尽可能多地接触典型题，但不追求简单刷题数量；每道核心题必须沉淀为可复用的思维模板、代码模板和错误清单。48学时结束时，学生应能独立完成常见中等难度算法题，并能清楚说明算法选择、正确性依据与时间/空间复杂度。</w:t>
      </w:r>
    </w:p>
    <w:p>
      <w:pPr>
        <w:pStyle w:val="Heading1"/>
      </w:pPr>
      <w:r>
        <w:t>二、课程教学目标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知识目标：掌握哈希、双指针、滑动窗口、子串、数组、矩阵、链表、二叉树、图论、回溯、二分查找、栈、堆、贪心、动态规划和常用技巧等核心知识。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能力目标：能够将自然语言问题抽象为数据结构与状态关系，选择合适算法，独立编写可运行代码，并用测试用例定位边界错误。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分析目标：能够解释算法正确性，计算时间复杂度与空间复杂度，比较不同解法的适用条件与工程权衡。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迁移目标：能够把课堂形成的模式迁移到 LeetCode、蓝桥杯、洛谷及课程综合任务中，解决未见过但结构相似的问题。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学习习惯目标：形成每日稳定训练、错题归档、代码复盘和阶段总结的习惯，逐步建立个人算法模板库。</w:t>
      </w:r>
    </w:p>
    <w:p>
      <w:pPr>
        <w:pStyle w:val="Heading1"/>
      </w:pPr>
      <w:r>
        <w:t>三、教学方法与课堂组织</w:t>
      </w:r>
    </w:p>
    <w:p>
      <w:pPr>
        <w:pStyle w:val="Heading2"/>
      </w:pPr>
      <w:r>
        <w:t>（一）问题驱动的现场解题</w:t>
      </w:r>
    </w:p>
    <w:p>
      <w:r>
        <w:t>教师以真实平台题目作为知识入口，先隐藏标准答案，由学生识别输入输出、约束条件、数据规模和边界，再现场完成从朴素方案到优化方案的推导。板书或投屏必须保留关键思路演化过程，使学生看到算法是如何“长出来”的。</w:t>
      </w:r>
    </w:p>
    <w:p>
      <w:pPr>
        <w:pStyle w:val="Heading2"/>
      </w:pPr>
      <w:r>
        <w:t>（二）一课一闭环：讲、练、评、结</w:t>
      </w:r>
    </w:p>
    <w:p>
      <w:pPr>
        <w:pStyle w:val="ListNumber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问题热身（10—15分钟）：用1道易题或旧题变式激活先修知识。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方法精讲（30—40分钟）：用1道代表题讲清数据结构、算法范式、正确性和复杂度。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现场编码（35—45分钟）：教师边写边解释变量含义、不变量、边界处理和调试方法。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同类迁移（45—55分钟）：学生独立或结对完成1—2道同构/变式题，教师巡回答疑。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挑战提升（20—30分钟）：选讲竞赛题或中等难度题，比较多种解法。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复盘小结（10—15分钟）：形成“识别信号—解题模板—易错点—复杂度”四项总结，并布置每日题。</w:t>
      </w:r>
    </w:p>
    <w:p>
      <w:pPr>
        <w:pStyle w:val="Heading2"/>
      </w:pPr>
      <w:r>
        <w:t>（三）多平台题源的分工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题源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主要用途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使用原则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LeetCode 热题100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课程知识主线与典型面试题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结构稳定、模式清晰，便于形成算法范式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蓝桥杯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综合应用、模拟与竞赛限时训练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强化读题、实现速度和综合建模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洛谷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专题训练与难度分层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题量丰富，适合从模板题到提高题的梯度练习</w:t>
            </w:r>
          </w:p>
        </w:tc>
      </w:tr>
    </w:tbl>
    <w:p>
      <w:pPr>
        <w:spacing w:after="20"/>
      </w:pPr>
    </w:p>
    <w:p>
      <w:pPr>
        <w:pStyle w:val="Heading1"/>
      </w:pPr>
      <w:r>
        <w:t>四、教学内容与48学时进度安排</w:t>
      </w:r>
    </w:p>
    <w:p>
      <w:r>
        <w:t>建议按16次课组织，每次3学时。下表以热题100的模块顺序为主，并根据教学逻辑合并相近主题。题目可依据学生语言基础和平台更新进行等价替换，但每次课的核心模式与能力目标应保持稳定。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00"/>
        <w:gridCol w:w="3370"/>
        <w:gridCol w:w="2820"/>
        <w:gridCol w:w="1350"/>
      </w:tblGrid>
      <w:tr>
        <w:trPr>
          <w:tblHeader w:val="true"/>
        </w:trPr>
        <w:tc>
          <w:tcPr>
            <w:tcW w:type="dxa" w:w="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次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33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代表性实战题（示例）</w:t>
            </w:r>
          </w:p>
        </w:tc>
        <w:tc>
          <w:tcPr>
            <w:tcW w:type="dxa" w:w="28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关键能力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课堂产出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导论、复杂度与解题流程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两数之和、最长连续序列；补充：枚举优化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建立六步解题法；掌握哈希空间换时间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2讲解+1练习</w:t>
            </w:r>
          </w:p>
        </w:tc>
      </w:tr>
      <w:tr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2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双指针</w:t>
            </w:r>
          </w:p>
        </w:tc>
        <w:tc>
          <w:tcPr>
            <w:tcW w:type="dxa" w:w="33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移动零、盛最多水的容器、三数之和</w:t>
            </w:r>
          </w:p>
        </w:tc>
        <w:tc>
          <w:tcPr>
            <w:tcW w:type="dxa" w:w="2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掌握相向/同向指针与去重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2讲解+2练习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滑动窗口与子串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无重复字符的最长子串、找到字符串中所有字母异位词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理解窗口不变量、扩张与收缩条件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2讲解+2练习</w:t>
            </w:r>
          </w:p>
        </w:tc>
      </w:tr>
      <w:tr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4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数组与区间技巧</w:t>
            </w:r>
          </w:p>
        </w:tc>
        <w:tc>
          <w:tcPr>
            <w:tcW w:type="dxa" w:w="33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最大子数组、合并区间、轮转数组、除自身以外数组的乘积</w:t>
            </w:r>
          </w:p>
        </w:tc>
        <w:tc>
          <w:tcPr>
            <w:tcW w:type="dxa" w:w="2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掌握前缀/后缀、区间排序与状态维护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3讲解+1练习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矩阵与模拟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矩阵置零、螺旋矩阵、旋转图像、搜索二维矩阵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提升下标控制、分层遍历与原地修改能力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3讲解+1练习</w:t>
            </w:r>
          </w:p>
        </w:tc>
      </w:tr>
      <w:tr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6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链表基础与综合</w:t>
            </w:r>
          </w:p>
        </w:tc>
        <w:tc>
          <w:tcPr>
            <w:tcW w:type="dxa" w:w="33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相交链表、反转链表、回文链表、环形链表、合并有序链表</w:t>
            </w:r>
          </w:p>
        </w:tc>
        <w:tc>
          <w:tcPr>
            <w:tcW w:type="dxa" w:w="2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掌握虚拟头结点、快慢指针、指针重连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3讲解+2练习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链表进阶与栈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两两交换、K个一组翻转、随机链表复制；有效括号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处理复杂指针关系，理解栈的配对模型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3讲解+1练习</w:t>
            </w:r>
          </w:p>
        </w:tc>
      </w:tr>
      <w:tr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8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二叉树遍历与结构</w:t>
            </w:r>
          </w:p>
        </w:tc>
        <w:tc>
          <w:tcPr>
            <w:tcW w:type="dxa" w:w="33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中序遍历、最大深度、翻转二叉树、对称二叉树、直径</w:t>
            </w:r>
          </w:p>
        </w:tc>
        <w:tc>
          <w:tcPr>
            <w:tcW w:type="dxa" w:w="2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掌握递归定义、返回值设计和遍历框架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3讲解+2练习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二叉树进阶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层序遍历、验证搜索树、第K小元素、最近公共祖先、路径总和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掌握BFS、BST性质与树上信息汇总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3讲解+1练习</w:t>
            </w:r>
          </w:p>
        </w:tc>
      </w:tr>
      <w:tr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10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图论基础</w:t>
            </w:r>
          </w:p>
        </w:tc>
        <w:tc>
          <w:tcPr>
            <w:tcW w:type="dxa" w:w="33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岛屿数量、腐烂的橘子、课程表、实现Trie</w:t>
            </w:r>
          </w:p>
        </w:tc>
        <w:tc>
          <w:tcPr>
            <w:tcW w:type="dxa" w:w="2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掌握网格DFS/BFS、拓扑排序与前缀树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3讲解+1练习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回溯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全排列、子集、组合总和、括号生成、单词搜索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掌握选择—递归—撤销框架与剪枝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3讲解+2练习</w:t>
            </w:r>
          </w:p>
        </w:tc>
      </w:tr>
      <w:tr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12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二分查找与搜索空间</w:t>
            </w:r>
          </w:p>
        </w:tc>
        <w:tc>
          <w:tcPr>
            <w:tcW w:type="dxa" w:w="33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二分查找、搜索旋转排序数组、寻找峰值、搜索二维矩阵II</w:t>
            </w:r>
          </w:p>
        </w:tc>
        <w:tc>
          <w:tcPr>
            <w:tcW w:type="dxa" w:w="2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能定义单调性、区间和循环不变量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3讲解+1练习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栈、单调栈与堆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最小栈、每日温度、柱状图最大矩形、数组第K大、前K高频元素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掌握单调结构和Top-K模型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3讲解+2练习</w:t>
            </w:r>
          </w:p>
        </w:tc>
      </w:tr>
      <w:tr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14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贪心与综合技巧</w:t>
            </w:r>
          </w:p>
        </w:tc>
        <w:tc>
          <w:tcPr>
            <w:tcW w:type="dxa" w:w="33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买卖股票最佳时机、跳跃游戏、划分字母区间；只出现一次的数字</w:t>
            </w:r>
          </w:p>
        </w:tc>
        <w:tc>
          <w:tcPr>
            <w:tcW w:type="dxa" w:w="2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识别局部最优与全局最优，理解位运算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3讲解+1练习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动态规划基础</w:t>
            </w:r>
          </w:p>
        </w:tc>
        <w:tc>
          <w:tcPr>
            <w:tcW w:type="dxa" w:w="3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爬楼梯、打家劫舍、完全平方数、零钱兑换、单词拆分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掌握状态、转移、初始化、遍历顺序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3讲解+2练习</w:t>
            </w:r>
          </w:p>
        </w:tc>
      </w:tr>
      <w:tr>
        <w:tc>
          <w:tcPr>
            <w:tcW w:type="dxa" w:w="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16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动态规划进阶与综合考核</w:t>
            </w:r>
          </w:p>
        </w:tc>
        <w:tc>
          <w:tcPr>
            <w:tcW w:type="dxa" w:w="33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最长递增子序列、最长公共子序列、编辑距离；限时综合题</w:t>
            </w:r>
          </w:p>
        </w:tc>
        <w:tc>
          <w:tcPr>
            <w:tcW w:type="dxa" w:w="28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形成一维/二维DP框架，完成综合迁移与课程复盘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5"/>
              </w:rPr>
              <w:t>2讲解+综合测评</w:t>
            </w:r>
          </w:p>
        </w:tc>
      </w:tr>
    </w:tbl>
    <w:p>
      <w:pPr>
        <w:spacing w:after="20"/>
      </w:pPr>
    </w:p>
    <w:p>
      <w:pPr>
        <w:pStyle w:val="Heading1"/>
      </w:pPr>
      <w:r>
        <w:t>五、LeetCode 热题100内容模块建议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能力板块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主要内容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教学关注点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基础数据处理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哈希、双指针、滑动窗口、子串、数组、矩阵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从数据规模判断复杂度；维护集合、窗口、区间与下标不变量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线性结构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链表、栈、单调栈、堆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指针操作、后进先出、候选集维护与Top-K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非线性结构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二叉树、图、Trie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递归、遍历、连通性、拓扑关系与层次结构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搜索与生成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二分查找、回溯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利用单调性缩小空间；系统枚举并剪枝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优化方法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贪心、动态规划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建立局部选择依据；定义状态和状态转移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综合技巧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位运算、排序、前缀和、边界与工程实现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提高代码简洁性、鲁棒性与复杂度意识</w:t>
            </w:r>
          </w:p>
        </w:tc>
      </w:tr>
    </w:tbl>
    <w:p>
      <w:pPr>
        <w:spacing w:after="20"/>
      </w:pPr>
    </w:p>
    <w:p>
      <w:pPr>
        <w:pStyle w:val="Heading1"/>
      </w:pPr>
      <w:r>
        <w:t>六、学生练习与学习管理</w:t>
      </w:r>
    </w:p>
    <w:p>
      <w:pPr>
        <w:pStyle w:val="Heading2"/>
      </w:pPr>
      <w:r>
        <w:t>（一）每日两题制度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基础题1道：与当周课堂模板高度同构，要求独立完成并通过全部测试。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迁移题1道：改变数据表达、约束或问题背景，要求写出思路、复杂度与至少1个自拟边界用例。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建议在16次课期间设置不少于32道必做题；如按完整教学周持续执行，可扩展为“2题/学习日”，由教师按周发布清单并控制总负荷。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每位学生维护个人错题本，至少记录：错误类型、失败用例、修正后的关键不变量、可迁移模板。</w:t>
      </w:r>
    </w:p>
    <w:p>
      <w:pPr>
        <w:pStyle w:val="Heading2"/>
      </w:pPr>
      <w:r>
        <w:t>（二）分层练习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题目类型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要求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A层：保底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平台简单题/核心模板题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所有学生必须完成；关注正确实现与复杂度达标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B层：标准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热题100中等题/常见变式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课程主体；要求独立分析并限时完成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C层：挑战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蓝桥杯、洛谷提高题或综合题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供学有余力者；鼓励多解法、优化与讲题</w:t>
            </w:r>
          </w:p>
        </w:tc>
      </w:tr>
    </w:tbl>
    <w:p>
      <w:pPr>
        <w:spacing w:after="20"/>
      </w:pPr>
    </w:p>
    <w:p>
      <w:pPr>
        <w:pStyle w:val="Heading2"/>
      </w:pPr>
      <w:r>
        <w:t>（三）提交与反馈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提交内容包括可运行代码、核心思路、复杂度、自测用例；不接受只有通过截图而无解释的提交。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教师每周抽取共性错误进行10分钟集中复盘；优秀解法由学生在课堂讲解，形成同伴教学。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对连续未完成、照搬代码或基础模板掌握不牢的学生，安排短时面谈和针对性补练。</w:t>
      </w:r>
    </w:p>
    <w:p>
      <w:pPr>
        <w:pStyle w:val="Heading1"/>
      </w:pPr>
      <w:r>
        <w:t>七、考核与评价建议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200"/>
        <w:gridCol w:w="58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评价项目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建议权重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评价要点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平时每日题与作业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30%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完成度、正确性、复杂度说明、错题订正；兼顾持续性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课堂参与与随堂练习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15%</w:t>
            </w:r>
          </w:p>
        </w:tc>
        <w:tc>
          <w:tcPr>
            <w:tcW w:type="dxa" w:w="5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现场分析、编码、测试、讨论与讲题表现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阶段测验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20%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两次限时上机，覆盖基础模板和同类迁移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课程综合项目/大作业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15%</w:t>
            </w:r>
          </w:p>
        </w:tc>
        <w:tc>
          <w:tcPr>
            <w:tcW w:type="dxa" w:w="5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选择一个综合问题，提交设计、代码、测试与复盘报告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期末上机考核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20%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2—3题，考查独立建模、实现、复杂度与鲁棒性</w:t>
            </w:r>
          </w:p>
        </w:tc>
      </w:tr>
    </w:tbl>
    <w:p>
      <w:pPr>
        <w:spacing w:after="20"/>
      </w:pPr>
    </w:p>
    <w:p>
      <w:r>
        <w:t>评价原则：过程性评价与结果性评价结合；代码是否通过只是基础，还要评价解释能力、复杂度意识、边界测试和迁移能力。对学术诚信应明确要求，允许讨论思路，但提交代码必须能够独立解释。</w:t>
      </w:r>
    </w:p>
    <w:p>
      <w:pPr>
        <w:pStyle w:val="Heading1"/>
      </w:pPr>
      <w:r>
        <w:t>八、课程综合任务建议</w:t>
      </w:r>
    </w:p>
    <w:p>
      <w:r>
        <w:t>综合任务可采用“专题算法包”或“限时题解集”形式。学生从一个主题中选择3—5道递进题，提交问题抽象、朴素解法、优化过程、正确性说明、复杂度、代码、测试数据和复盘。鼓励将同一算法用于不同平台题目，以证明迁移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选题示例1：滑动窗口专题——定长窗口、变长窗口、计数窗口与最优区间。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选题示例2：树与图遍历专题——递归、BFS、连通块、拓扑排序。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选题示例3：动态规划专题——线性DP、背包、序列DP与状态压缩入门。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展示要求：8分钟讲解+现场问答；必须解释至少一个错误方案或性能瓶颈。</w:t>
      </w:r>
    </w:p>
    <w:p>
      <w:pPr>
        <w:pStyle w:val="Heading1"/>
      </w:pPr>
      <w:r>
        <w:t>九、教学质量保障与实施条件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课前：教师完成题目难度、前置知识、边界用例与多语言代码验证；准备主解法和备选解法。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课中：控制讲授与练习比例，原则上学生动手时间不少于每次课的三分之一；实时收集通过率和错误类型。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课后：依据提交数据调整下一次课的热身题和补救内容；对高频错误形成班级错误清单。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环境：统一编程语言版本、在线判题账号和代码模板；课堂配备可投屏IDE与稳定网络，并准备离线题面和测试数据。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PingFang SC" w:hAnsi="PingFang SC" w:eastAsia="PingFang SC" w:cs="PingFang SC"/>
          <w:sz w:val="22"/>
        </w:rPr>
        <w:t>阶段复盘：第4、8、12、16次课进行能力盘点，比较正确率、平均用时、独立完成率和复杂度说明质量。</w:t>
      </w:r>
    </w:p>
    <w:p>
      <w:pPr>
        <w:pStyle w:val="Heading1"/>
      </w:pPr>
      <w:r>
        <w:t>十、预期学习成果</w:t>
      </w:r>
    </w:p>
    <w:p>
      <w:r>
        <w:t>完成48学时及配套训练后，学生应能够：面对常见算法问题，在合理时间内识别主要模式；独立实现并调试典型算法；对解法进行正确性和复杂度说明；完成从课堂例题到竞赛/平台变式题的迁移；形成可持续的算法训练方法。建议以“中等题独立完成率、首次通过率、平均解题时间、错题复发率、口头解释质量”作为课程成效的核心观测指标。</w:t>
      </w:r>
    </w:p>
    <w:p>
      <w:pPr>
        <w:pStyle w:val="Heading1"/>
      </w:pPr>
      <w:r>
        <w:t>附录：单题复盘模板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/>
                <w:color w:val="1F4D78"/>
                <w:sz w:val="18"/>
              </w:rPr>
              <w:t>记录要求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题目与来源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题目名称、平台、编号或链接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识别信号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数据规模、关键词、结构特征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核心思路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为何选择该数据结构/算法范式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关键不变量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循环、窗口、递归或DP过程中始终成立的条件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复杂度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时间复杂度、空间复杂度及主要来源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失败记录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错误用例、错误原因、修复方式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迁移方向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PingFang SC" w:hAnsi="PingFang SC" w:eastAsia="PingFang SC" w:cs="PingFang SC"/>
                <w:b w:val="0"/>
                <w:sz w:val="18"/>
              </w:rPr>
              <w:t>可改变哪些条件形成新题；对应哪些同类题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 w:cs="PingFang SC"/>
        <w:color w:val="667085"/>
        <w:sz w:val="18"/>
      </w:rPr>
      <w:t>课程教学实施方案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 w:cs="PingFang SC"/>
        <w:color w:val="667085"/>
        <w:sz w:val="18"/>
      </w:rPr>
      <w:t>2026年秋 · 算法设计与分析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2026年秋算法设计与分析课程教学实施方案</dc:title>
  <dc:subject>算法设计与分析课程教学方法、教学内容与48学时安排</dc:subject>
  <dc:creator>课程组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