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PostgreSQL Database Overview</w:t>
      </w:r>
    </w:p>
    <w:p>
      <w:pPr>
        <w:pStyle w:val="Heading2"/>
      </w:pPr>
      <w:r>
        <w:t>Table of Contents</w:t>
      </w:r>
    </w:p>
    <w:p>
      <w:pPr>
        <w:pStyle w:val="ListBullet"/>
      </w:pPr>
      <w:r>
        <w:t>[Executive Summary](#executive-summary)</w:t>
      </w:r>
    </w:p>
    <w:p>
      <w:pPr>
        <w:pStyle w:val="ListBullet"/>
      </w:pPr>
      <w:r>
        <w:t>[Schema Overview](#schema-overview)</w:t>
      </w:r>
    </w:p>
    <w:p>
      <w:pPr>
        <w:pStyle w:val="ListBullet"/>
      </w:pPr>
      <w:r>
        <w:t>[public Schema](#public-schema)</w:t>
      </w:r>
    </w:p>
    <w:p>
      <w:pPr>
        <w:pStyle w:val="ListBullet"/>
      </w:pPr>
      <w:r>
        <w:t>[idx_config Schema](#idx_config-schema)</w:t>
      </w:r>
    </w:p>
    <w:p>
      <w:pPr>
        <w:pStyle w:val="ListBullet"/>
      </w:pPr>
      <w:r>
        <w:t>[Key Tables](#key-tables)</w:t>
      </w:r>
    </w:p>
    <w:p>
      <w:pPr>
        <w:pStyle w:val="ListBullet"/>
      </w:pPr>
      <w:r>
        <w:t>[Data Sources](#data-sources)</w:t>
      </w:r>
    </w:p>
    <w:p>
      <w:pPr>
        <w:pStyle w:val="ListBullet"/>
      </w:pPr>
      <w:r>
        <w:t>[Listings Core](#listings-core)</w:t>
      </w:r>
    </w:p>
    <w:p>
      <w:pPr>
        <w:pStyle w:val="ListBullet"/>
      </w:pPr>
      <w:r>
        <w:t>[Listing Attributes &amp; Descriptions](#listing-attributes--descriptions)</w:t>
      </w:r>
    </w:p>
    <w:p>
      <w:pPr>
        <w:pStyle w:val="ListBullet"/>
      </w:pPr>
      <w:r>
        <w:t>[Property Classification](#property-classification)</w:t>
      </w:r>
    </w:p>
    <w:p>
      <w:pPr>
        <w:pStyle w:val="ListBullet"/>
      </w:pPr>
      <w:r>
        <w:t>[Geographic &amp; School Data](#geographic--school-data)</w:t>
      </w:r>
    </w:p>
    <w:p>
      <w:pPr>
        <w:pStyle w:val="ListBullet"/>
      </w:pPr>
      <w:r>
        <w:t>[Brokers, Offices &amp; Participants](#brokers-offices--participants)</w:t>
      </w:r>
    </w:p>
    <w:p>
      <w:pPr>
        <w:pStyle w:val="ListBullet"/>
      </w:pPr>
      <w:r>
        <w:t>[Listing Relationships](#listing-relationships)</w:t>
      </w:r>
    </w:p>
    <w:p>
      <w:pPr>
        <w:pStyle w:val="ListBullet"/>
      </w:pPr>
      <w:r>
        <w:t>[Data Architecture Highlights](#data-architecture-highlights)</w:t>
      </w:r>
    </w:p>
    <w:p>
      <w:pPr>
        <w:pStyle w:val="ListBullet"/>
      </w:pPr>
      <w:r>
        <w:t>[Relationship Model](#relationship-model)</w:t>
      </w:r>
    </w:p>
    <w:p>
      <w:pPr>
        <w:spacing w:before="120"/>
      </w:pPr>
    </w:p>
    <w:p>
      <w:pPr>
        <w:pStyle w:val="Heading2"/>
      </w:pPr>
      <w:r>
        <w:t>Executive Summary</w:t>
      </w:r>
    </w:p>
    <w:p>
      <w:r>
        <w:t xml:space="preserve">This PostgreSQL database powers a </w:t>
      </w:r>
      <w:r>
        <w:rPr>
          <w:b/>
        </w:rPr>
        <w:t>real-estate listing and IDX (Internet Data Exchange) platform</w:t>
      </w:r>
      <w:r>
        <w:t>. Its primary function is to ingest, normalize, store, and serve MLS (Multiple Listing Service) listing data from multiple data sources (e.g. ListHub, RMLS, CVRMLS) into a unified data model that supports property search, agent/office association, compliance display rules, and downstream consumer-facing products.</w:t>
      </w:r>
    </w:p>
    <w:p>
      <w:r>
        <w:t xml:space="preserve">The database spans </w:t>
      </w:r>
      <w:r>
        <w:rPr>
          <w:b/>
        </w:rPr>
        <w:t>two schemas</w:t>
      </w:r>
      <w:r>
        <w:t xml:space="preserve"> — </w:t>
      </w:r>
      <w:r>
        <w:rPr>
          <w:rFonts w:ascii="Consolas" w:hAnsi="Consolas"/>
          <w:color w:val="6A0DAD"/>
          <w:sz w:val="18"/>
        </w:rPr>
        <w:t>public</w:t>
      </w:r>
      <w:r>
        <w:t xml:space="preserve"> (161 tables/views) and </w:t>
      </w:r>
      <w:r>
        <w:rPr>
          <w:rFonts w:ascii="Consolas" w:hAnsi="Consolas"/>
          <w:color w:val="6A0DAD"/>
          <w:sz w:val="18"/>
        </w:rPr>
        <w:t>idx_config</w:t>
      </w:r>
      <w:r>
        <w:t xml:space="preserve"> (4 tables) — containing approximately 14,250 columns, 4 foreign-key constraints, and 124 sequences. The </w:t>
      </w:r>
      <w:r>
        <w:rPr>
          <w:rFonts w:ascii="Consolas" w:hAnsi="Consolas"/>
          <w:color w:val="6A0DAD"/>
          <w:sz w:val="18"/>
        </w:rPr>
        <w:t>public</w:t>
      </w:r>
      <w:r>
        <w:t xml:space="preserve"> schema holds the full application data model, while </w:t>
      </w:r>
      <w:r>
        <w:rPr>
          <w:rFonts w:ascii="Consolas" w:hAnsi="Consolas"/>
          <w:color w:val="6A0DAD"/>
          <w:sz w:val="18"/>
        </w:rPr>
        <w:t>idx_config</w:t>
      </w:r>
      <w:r>
        <w:t xml:space="preserve"> holds small configuration lookup tables used during data ingestion. Of the 161 tables in </w:t>
      </w:r>
      <w:r>
        <w:rPr>
          <w:rFonts w:ascii="Consolas" w:hAnsi="Consolas"/>
          <w:color w:val="6A0DAD"/>
          <w:sz w:val="18"/>
        </w:rPr>
        <w:t>public</w:t>
      </w:r>
      <w:r>
        <w:t>, roughly 85 are core listing-related tables; the remainder support ETL operations, geographic lookups, compliance, and legacy/temporary workloads.</w:t>
      </w:r>
    </w:p>
    <w:p>
      <w:pPr>
        <w:spacing w:before="120"/>
      </w:pPr>
    </w:p>
    <w:p>
      <w:pPr>
        <w:pStyle w:val="Heading2"/>
      </w:pPr>
      <w:r>
        <w:t>Schema Overview</w:t>
      </w:r>
    </w:p>
    <w:p>
      <w:pPr>
        <w:pStyle w:val="Heading3"/>
      </w:pPr>
      <w:r>
        <w:t>public Schema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public</w:t>
      </w:r>
      <w:r>
        <w:t xml:space="preserve"> schema is the primary application schema, organized around a central </w:t>
      </w:r>
      <w:r>
        <w:rPr>
          <w:b/>
        </w:rPr>
        <w:t>listing</w:t>
      </w:r>
      <w:r>
        <w:t xml:space="preserve"> entity with satellite tables for addresses, attributes, descriptions, marketing data, schools, and property classification. Supporting entities include </w:t>
      </w:r>
      <w:r>
        <w:rPr>
          <w:b/>
        </w:rPr>
        <w:t>data sources</w:t>
      </w:r>
      <w:r>
        <w:t xml:space="preserve"> (</w:t>
      </w:r>
      <w:r>
        <w:rPr>
          <w:rFonts w:ascii="Consolas" w:hAnsi="Consolas"/>
          <w:color w:val="6A0DAD"/>
          <w:sz w:val="18"/>
        </w:rPr>
        <w:t>source</w:t>
      </w:r>
      <w:r>
        <w:t xml:space="preserve">), </w:t>
      </w:r>
      <w:r>
        <w:rPr>
          <w:b/>
        </w:rPr>
        <w:t>brokers and offices</w:t>
      </w:r>
      <w:r>
        <w:t xml:space="preserve"> (</w:t>
      </w:r>
      <w:r>
        <w:rPr>
          <w:rFonts w:ascii="Consolas" w:hAnsi="Consolas"/>
          <w:color w:val="6A0DAD"/>
          <w:sz w:val="18"/>
        </w:rPr>
        <w:t>real_estate_office</w:t>
      </w:r>
      <w:r>
        <w:t xml:space="preserve">, </w:t>
      </w:r>
      <w:r>
        <w:rPr>
          <w:rFonts w:ascii="Consolas" w:hAnsi="Consolas"/>
          <w:color w:val="6A0DAD"/>
          <w:sz w:val="18"/>
        </w:rPr>
        <w:t>real_estate_participant</w:t>
      </w:r>
      <w:r>
        <w:t xml:space="preserve">), </w:t>
      </w:r>
      <w:r>
        <w:rPr>
          <w:b/>
        </w:rPr>
        <w:t>geographic areas</w:t>
      </w:r>
      <w:r>
        <w:t xml:space="preserve"> (</w:t>
      </w:r>
      <w:r>
        <w:rPr>
          <w:rFonts w:ascii="Consolas" w:hAnsi="Consolas"/>
          <w:color w:val="6A0DAD"/>
          <w:sz w:val="18"/>
        </w:rPr>
        <w:t>area</w:t>
      </w:r>
      <w:r>
        <w:t xml:space="preserve">, </w:t>
      </w:r>
      <w:r>
        <w:rPr>
          <w:rFonts w:ascii="Consolas" w:hAnsi="Consolas"/>
          <w:color w:val="6A0DAD"/>
          <w:sz w:val="18"/>
        </w:rPr>
        <w:t>source_area</w:t>
      </w:r>
      <w:r>
        <w:t xml:space="preserve">, </w:t>
      </w:r>
      <w:r>
        <w:rPr>
          <w:rFonts w:ascii="Consolas" w:hAnsi="Consolas"/>
          <w:color w:val="6A0DAD"/>
          <w:sz w:val="18"/>
        </w:rPr>
        <w:t>geocoding_lookup</w:t>
      </w:r>
      <w:r>
        <w:t xml:space="preserve">), and </w:t>
      </w:r>
      <w:r>
        <w:rPr>
          <w:b/>
        </w:rPr>
        <w:t>compliance</w:t>
      </w:r>
      <w:r>
        <w:t xml:space="preserve"> (</w:t>
      </w:r>
      <w:r>
        <w:rPr>
          <w:rFonts w:ascii="Consolas" w:hAnsi="Consolas"/>
          <w:color w:val="6A0DAD"/>
          <w:sz w:val="18"/>
        </w:rPr>
        <w:t>dnc_registry</w:t>
      </w:r>
      <w:r>
        <w:t xml:space="preserve">, </w:t>
      </w:r>
      <w:r>
        <w:rPr>
          <w:rFonts w:ascii="Consolas" w:hAnsi="Consolas"/>
          <w:color w:val="6A0DAD"/>
          <w:sz w:val="18"/>
        </w:rPr>
        <w:t>idx_display_rule</w:t>
      </w:r>
      <w:r>
        <w:t>).</w:t>
      </w:r>
    </w:p>
    <w:p>
      <w:r>
        <w:t xml:space="preserve">Tables follow a consistent naming convention: most listing-related tables share a </w:t>
      </w:r>
      <w:r>
        <w:rPr>
          <w:rFonts w:ascii="Consolas" w:hAnsi="Consolas"/>
          <w:color w:val="6A0DAD"/>
          <w:sz w:val="18"/>
        </w:rPr>
        <w:t>listing_</w:t>
      </w:r>
      <w:r>
        <w:t xml:space="preserve"> prefix and join back to the core </w:t>
      </w:r>
      <w:r>
        <w:rPr>
          <w:rFonts w:ascii="Consolas" w:hAnsi="Consolas"/>
          <w:color w:val="6A0DAD"/>
          <w:sz w:val="18"/>
        </w:rPr>
        <w:t>listing</w:t>
      </w:r>
      <w:r>
        <w:t xml:space="preserve"> table via a </w:t>
      </w:r>
      <w:r>
        <w:rPr>
          <w:rFonts w:ascii="Consolas" w:hAnsi="Consolas"/>
          <w:color w:val="6A0DAD"/>
          <w:sz w:val="18"/>
        </w:rPr>
        <w:t>listing_id</w:t>
      </w:r>
      <w:r>
        <w:t xml:space="preserve"> column, though these relationships are enforced by application code rather than database-level foreign keys. Several tables follow a partition-like naming pattern — </w:t>
      </w:r>
      <w:r>
        <w:rPr>
          <w:rFonts w:ascii="Consolas" w:hAnsi="Consolas"/>
          <w:color w:val="6A0DAD"/>
          <w:sz w:val="18"/>
        </w:rPr>
        <w:t>listing_p_active</w:t>
      </w:r>
      <w:r>
        <w:t xml:space="preserve">, </w:t>
      </w:r>
      <w:r>
        <w:rPr>
          <w:rFonts w:ascii="Consolas" w:hAnsi="Consolas"/>
          <w:color w:val="6A0DAD"/>
          <w:sz w:val="18"/>
        </w:rPr>
        <w:t>listing_p_inactive</w:t>
      </w:r>
      <w:r>
        <w:t xml:space="preserve">, </w:t>
      </w:r>
      <w:r>
        <w:rPr>
          <w:rFonts w:ascii="Consolas" w:hAnsi="Consolas"/>
          <w:color w:val="6A0DAD"/>
          <w:sz w:val="18"/>
        </w:rPr>
        <w:t>listing_p_sold</w:t>
      </w:r>
      <w:r>
        <w:t xml:space="preserve"> — indicating range-partitioning by listing status, confirmed by the </w:t>
      </w:r>
      <w:r>
        <w:rPr>
          <w:rFonts w:ascii="Consolas" w:hAnsi="Consolas"/>
          <w:color w:val="6A0DAD"/>
          <w:sz w:val="18"/>
        </w:rPr>
        <w:t>listing</w:t>
      </w:r>
      <w:r>
        <w:t xml:space="preserve"> table's own </w:t>
      </w:r>
      <w:r>
        <w:rPr>
          <w:rFonts w:ascii="Consolas" w:hAnsi="Consolas"/>
          <w:color w:val="6A0DAD"/>
          <w:sz w:val="18"/>
        </w:rPr>
        <w:t>pg_description</w:t>
      </w:r>
      <w:r>
        <w:t xml:space="preserve"> comment. Lookup/reference tables such as </w:t>
      </w:r>
      <w:r>
        <w:rPr>
          <w:rFonts w:ascii="Consolas" w:hAnsi="Consolas"/>
          <w:color w:val="6A0DAD"/>
          <w:sz w:val="18"/>
        </w:rPr>
        <w:t>listing_status</w:t>
      </w:r>
      <w:r>
        <w:t xml:space="preserve">, </w:t>
      </w:r>
      <w:r>
        <w:rPr>
          <w:rFonts w:ascii="Consolas" w:hAnsi="Consolas"/>
          <w:color w:val="6A0DAD"/>
          <w:sz w:val="18"/>
        </w:rPr>
        <w:t>listing_category</w:t>
      </w:r>
      <w:r>
        <w:t xml:space="preserve">, </w:t>
      </w:r>
      <w:r>
        <w:rPr>
          <w:rFonts w:ascii="Consolas" w:hAnsi="Consolas"/>
          <w:color w:val="6A0DAD"/>
          <w:sz w:val="18"/>
        </w:rPr>
        <w:t>listing_property_type</w:t>
      </w:r>
      <w:r>
        <w:t xml:space="preserve">, and </w:t>
      </w:r>
      <w:r>
        <w:rPr>
          <w:rFonts w:ascii="Consolas" w:hAnsi="Consolas"/>
          <w:color w:val="6A0DAD"/>
          <w:sz w:val="18"/>
        </w:rPr>
        <w:t>listing_property_sub_type</w:t>
      </w:r>
      <w:r>
        <w:t xml:space="preserve"> provide the standardized code lists that classify listings for search and display.</w:t>
      </w:r>
    </w:p>
    <w:p>
      <w:r>
        <w:t>The ETL pipeline is served by a dedicated set of tables (</w:t>
      </w:r>
      <w:r>
        <w:rPr>
          <w:rFonts w:ascii="Consolas" w:hAnsi="Consolas"/>
          <w:color w:val="6A0DAD"/>
          <w:sz w:val="18"/>
        </w:rPr>
        <w:t>etl_listing_batch</w:t>
      </w:r>
      <w:r>
        <w:t xml:space="preserve">, </w:t>
      </w:r>
      <w:r>
        <w:rPr>
          <w:rFonts w:ascii="Consolas" w:hAnsi="Consolas"/>
          <w:color w:val="6A0DAD"/>
          <w:sz w:val="18"/>
        </w:rPr>
        <w:t>etl_listing_batch_raw</w:t>
      </w:r>
      <w:r>
        <w:t xml:space="preserve">, </w:t>
      </w:r>
      <w:r>
        <w:rPr>
          <w:rFonts w:ascii="Consolas" w:hAnsi="Consolas"/>
          <w:color w:val="6A0DAD"/>
          <w:sz w:val="18"/>
        </w:rPr>
        <w:t>etl_listing_batch_event</w:t>
      </w:r>
      <w:r>
        <w:t xml:space="preserve">, and others) that track ingestion runs, raw payloads, processing events, and error states. A </w:t>
      </w:r>
      <w:r>
        <w:rPr>
          <w:rFonts w:ascii="Consolas" w:hAnsi="Consolas"/>
          <w:color w:val="6A0DAD"/>
          <w:sz w:val="18"/>
        </w:rPr>
        <w:t>listing_change</w:t>
      </w:r>
      <w:r>
        <w:t xml:space="preserve"> table captures listing mutations eligible for inclusion in bonded listing alerts. Compliance is handled through </w:t>
      </w:r>
      <w:r>
        <w:rPr>
          <w:rFonts w:ascii="Consolas" w:hAnsi="Consolas"/>
          <w:color w:val="6A0DAD"/>
          <w:sz w:val="18"/>
        </w:rPr>
        <w:t>dnc_registry</w:t>
      </w:r>
      <w:r>
        <w:t xml:space="preserve"> (Do-Not-Call phone number registry with per-jurisdiction flags) and </w:t>
      </w:r>
      <w:r>
        <w:rPr>
          <w:rFonts w:ascii="Consolas" w:hAnsi="Consolas"/>
          <w:color w:val="6A0DAD"/>
          <w:sz w:val="18"/>
        </w:rPr>
        <w:t>idx_display_rule</w:t>
      </w:r>
      <w:r>
        <w:t xml:space="preserve"> (IDX compliance display rules governing how listing data can be shown to consumers). Geographic support comes from </w:t>
      </w:r>
      <w:r>
        <w:rPr>
          <w:rFonts w:ascii="Consolas" w:hAnsi="Consolas"/>
          <w:color w:val="6A0DAD"/>
          <w:sz w:val="18"/>
        </w:rPr>
        <w:t>area</w:t>
      </w:r>
      <w:r>
        <w:t xml:space="preserve">, </w:t>
      </w:r>
      <w:r>
        <w:rPr>
          <w:rFonts w:ascii="Consolas" w:hAnsi="Consolas"/>
          <w:color w:val="6A0DAD"/>
          <w:sz w:val="18"/>
        </w:rPr>
        <w:t>source_area</w:t>
      </w:r>
      <w:r>
        <w:t xml:space="preserve">, </w:t>
      </w:r>
      <w:r>
        <w:rPr>
          <w:rFonts w:ascii="Consolas" w:hAnsi="Consolas"/>
          <w:color w:val="6A0DAD"/>
          <w:sz w:val="18"/>
        </w:rPr>
        <w:t>geocoding_lookup</w:t>
      </w:r>
      <w:r>
        <w:t>, and related tables that store area hierarchies, autocomplete configurations, and cached geocoding provider responses.</w:t>
      </w:r>
    </w:p>
    <w:p>
      <w:r>
        <w:t xml:space="preserve">The schema also contains a substantial number of </w:t>
      </w:r>
      <w:r>
        <w:rPr>
          <w:b/>
        </w:rPr>
        <w:t>non-core tables</w:t>
      </w:r>
      <w:r>
        <w:t xml:space="preserve"> (~50) used for ETL staging (</w:t>
      </w:r>
      <w:r>
        <w:rPr>
          <w:rFonts w:ascii="Consolas" w:hAnsi="Consolas"/>
          <w:color w:val="6A0DAD"/>
          <w:sz w:val="18"/>
        </w:rPr>
        <w:t>etl_*</w:t>
      </w:r>
      <w:r>
        <w:t>), temporary/test workloads (</w:t>
      </w:r>
      <w:r>
        <w:rPr>
          <w:rFonts w:ascii="Consolas" w:hAnsi="Consolas"/>
          <w:color w:val="6A0DAD"/>
          <w:sz w:val="18"/>
        </w:rPr>
        <w:t>temp_*</w:t>
      </w:r>
      <w:r>
        <w:t xml:space="preserve">, </w:t>
      </w:r>
      <w:r>
        <w:rPr>
          <w:rFonts w:ascii="Consolas" w:hAnsi="Consolas"/>
          <w:color w:val="6A0DAD"/>
          <w:sz w:val="18"/>
        </w:rPr>
        <w:t>test_*</w:t>
      </w:r>
      <w:r>
        <w:t>), legacy migration (</w:t>
      </w:r>
      <w:r>
        <w:rPr>
          <w:rFonts w:ascii="Consolas" w:hAnsi="Consolas"/>
          <w:color w:val="6A0DAD"/>
          <w:sz w:val="18"/>
        </w:rPr>
        <w:t>ctmp_*</w:t>
      </w:r>
      <w:r>
        <w:t xml:space="preserve">, </w:t>
      </w:r>
      <w:r>
        <w:rPr>
          <w:rFonts w:ascii="Consolas" w:hAnsi="Consolas"/>
          <w:color w:val="6A0DAD"/>
          <w:sz w:val="18"/>
        </w:rPr>
        <w:t>ctmp2_*</w:t>
      </w:r>
      <w:r>
        <w:t>), backup snapshots (</w:t>
      </w:r>
      <w:r>
        <w:rPr>
          <w:rFonts w:ascii="Consolas" w:hAnsi="Consolas"/>
          <w:color w:val="6A0DAD"/>
          <w:sz w:val="18"/>
        </w:rPr>
        <w:t>*_backup</w:t>
      </w:r>
      <w:r>
        <w:t xml:space="preserve">, </w:t>
      </w:r>
      <w:r>
        <w:rPr>
          <w:rFonts w:ascii="Consolas" w:hAnsi="Consolas"/>
          <w:color w:val="6A0DAD"/>
          <w:sz w:val="18"/>
        </w:rPr>
        <w:t>*_bck</w:t>
      </w:r>
      <w:r>
        <w:t>), and PostgreSQL benchmarking (</w:t>
      </w:r>
      <w:r>
        <w:rPr>
          <w:rFonts w:ascii="Consolas" w:hAnsi="Consolas"/>
          <w:color w:val="6A0DAD"/>
          <w:sz w:val="18"/>
        </w:rPr>
        <w:t>pgbench_*</w:t>
      </w:r>
      <w:r>
        <w:t>). These are documented but grouped separately from the active data model.</w:t>
      </w:r>
    </w:p>
    <w:p>
      <w:pPr>
        <w:pStyle w:val="Heading3"/>
      </w:pPr>
      <w:r>
        <w:t>idx_config Schema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idx_config</w:t>
      </w:r>
      <w:r>
        <w:t xml:space="preserve"> schema holds </w:t>
      </w:r>
      <w:r>
        <w:rPr>
          <w:b/>
        </w:rPr>
        <w:t>4 small lookup/configuration tables</w:t>
      </w:r>
      <w:r>
        <w:t xml:space="preserve"> used to validate and normalize incoming MLS listing data during ingestion. Its tables define:</w:t>
      </w:r>
    </w:p>
    <w:p>
      <w:pPr>
        <w:pStyle w:val="ListBullet"/>
      </w:pPr>
      <w:r>
        <w:t>Regular expressions for validating MLS numbers per data source (</w:t>
      </w:r>
      <w:r>
        <w:rPr>
          <w:rFonts w:ascii="Consolas" w:hAnsi="Consolas"/>
          <w:color w:val="6A0DAD"/>
          <w:sz w:val="18"/>
        </w:rPr>
        <w:t>listing_mls_number_regex</w:t>
      </w:r>
      <w:r>
        <w:t>).</w:t>
      </w:r>
    </w:p>
    <w:p>
      <w:pPr>
        <w:pStyle w:val="ListBullet"/>
      </w:pPr>
      <w:r>
        <w:t>Standardized property type and sub-type mappings from source-specific codes to internal classification flags (</w:t>
      </w:r>
      <w:r>
        <w:rPr>
          <w:rFonts w:ascii="Consolas" w:hAnsi="Consolas"/>
          <w:color w:val="6A0DAD"/>
          <w:sz w:val="18"/>
        </w:rPr>
        <w:t>listing_property_type</w:t>
      </w:r>
      <w:r>
        <w:t>).</w:t>
      </w:r>
    </w:p>
    <w:p>
      <w:pPr>
        <w:pStyle w:val="ListBullet"/>
      </w:pPr>
      <w:r>
        <w:t>School type code mappings between MLS-native and internal values (</w:t>
      </w:r>
      <w:r>
        <w:rPr>
          <w:rFonts w:ascii="Consolas" w:hAnsi="Consolas"/>
          <w:color w:val="6A0DAD"/>
          <w:sz w:val="18"/>
        </w:rPr>
        <w:t>listing_school_type</w:t>
      </w:r>
      <w:r>
        <w:t xml:space="preserve">, </w:t>
      </w:r>
      <w:r>
        <w:rPr>
          <w:rFonts w:ascii="Consolas" w:hAnsi="Consolas"/>
          <w:color w:val="6A0DAD"/>
          <w:sz w:val="18"/>
        </w:rPr>
        <w:t>ylopo_school_type</w:t>
      </w:r>
      <w:r>
        <w:t>).</w:t>
      </w:r>
    </w:p>
    <w:p>
      <w:r>
        <w:t xml:space="preserve">Unlike the </w:t>
      </w:r>
      <w:r>
        <w:rPr>
          <w:rFonts w:ascii="Consolas" w:hAnsi="Consolas"/>
          <w:color w:val="6A0DAD"/>
          <w:sz w:val="18"/>
        </w:rPr>
        <w:t>public</w:t>
      </w:r>
      <w:r>
        <w:t xml:space="preserve"> schema, </w:t>
      </w:r>
      <w:r>
        <w:rPr>
          <w:rFonts w:ascii="Consolas" w:hAnsi="Consolas"/>
          <w:color w:val="6A0DAD"/>
          <w:sz w:val="18"/>
        </w:rPr>
        <w:t>idx_config</w:t>
      </w:r>
      <w:r>
        <w:t xml:space="preserve"> does enforce referential integrity: </w:t>
      </w:r>
      <w:r>
        <w:rPr>
          <w:rFonts w:ascii="Consolas" w:hAnsi="Consolas"/>
          <w:color w:val="6A0DAD"/>
          <w:sz w:val="18"/>
        </w:rPr>
        <w:t>listing_property_type</w:t>
      </w:r>
      <w:r>
        <w:t xml:space="preserve"> has two cross-schema foreign keys referencing </w:t>
      </w:r>
      <w:r>
        <w:rPr>
          <w:rFonts w:ascii="Consolas" w:hAnsi="Consolas"/>
          <w:color w:val="6A0DAD"/>
          <w:sz w:val="18"/>
        </w:rPr>
        <w:t>public.listing_property_type(id)</w:t>
      </w:r>
      <w:r>
        <w:t xml:space="preserve"> and </w:t>
      </w:r>
      <w:r>
        <w:rPr>
          <w:rFonts w:ascii="Consolas" w:hAnsi="Consolas"/>
          <w:color w:val="6A0DAD"/>
          <w:sz w:val="18"/>
        </w:rPr>
        <w:t>public.listing_property_sub_type(id)</w:t>
      </w:r>
      <w:r>
        <w:t>, tying ingestion-time property classification back to the canonical lookup tables.</w:t>
      </w:r>
    </w:p>
    <w:p>
      <w:pPr>
        <w:spacing w:before="120"/>
      </w:pPr>
    </w:p>
    <w:p>
      <w:pPr>
        <w:pStyle w:val="Heading2"/>
      </w:pPr>
      <w:r>
        <w:t>Key Tables</w:t>
      </w:r>
    </w:p>
    <w:p>
      <w:pPr>
        <w:pStyle w:val="Heading3"/>
      </w:pPr>
      <w:r>
        <w:t>Data Sources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7181"/>
        <w:gridCol w:w="7181"/>
        <w:gridCol w:w="7181"/>
      </w:tblGrid>
      <w:tr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public.source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51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An MLS/IDX data source and its per-source ingestion, geocoding, photo-prefetch, and compliance-display configuration (e.g. ListHub, RMLS, CVRMLS). Central reference for all source-specific behavior.</w:t>
            </w:r>
          </w:p>
        </w:tc>
      </w:tr>
    </w:tbl>
    <w:p/>
    <w:p>
      <w:pPr>
        <w:pStyle w:val="Heading3"/>
      </w:pPr>
      <w:r>
        <w:t>Listings Core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7181"/>
        <w:gridCol w:w="7181"/>
        <w:gridCol w:w="7181"/>
      </w:tblGrid>
      <w:tr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71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Core real-estate listing table: one row per MLS listing per source. Range-partitioned by </w:t>
            </w:r>
            <w:r>
              <w:rPr>
                <w:rFonts w:ascii="Consolas" w:hAnsi="Consolas"/>
                <w:color w:val="6A0DAD"/>
                <w:sz w:val="18"/>
              </w:rPr>
              <w:t>source_status</w:t>
            </w:r>
            <w:r>
              <w:rPr>
                <w:sz w:val="18"/>
              </w:rPr>
              <w:t xml:space="preserve"> into child tables </w:t>
            </w:r>
            <w:r>
              <w:rPr>
                <w:rFonts w:ascii="Consolas" w:hAnsi="Consolas"/>
                <w:color w:val="6A0DAD"/>
                <w:sz w:val="18"/>
              </w:rPr>
              <w:t>listing_p_active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0DAD"/>
                <w:sz w:val="18"/>
              </w:rPr>
              <w:t>listing_p_inactive</w:t>
            </w:r>
            <w:r>
              <w:rPr>
                <w:sz w:val="18"/>
              </w:rPr>
              <w:t xml:space="preserve">, and </w:t>
            </w:r>
            <w:r>
              <w:rPr>
                <w:rFonts w:ascii="Consolas" w:hAnsi="Consolas"/>
                <w:color w:val="6A0DAD"/>
                <w:sz w:val="18"/>
              </w:rPr>
              <w:t>listing_p_sold</w:t>
            </w:r>
            <w:r>
              <w:rPr>
                <w:sz w:val="18"/>
              </w:rPr>
              <w:t>. The central entity of the database.</w:t>
            </w:r>
          </w:p>
        </w:tc>
      </w:tr>
      <w:tr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public.listing_status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Lookup table of standardized listing statuses (active, pending, sold, etc.), referenced by </w:t>
            </w:r>
            <w:r>
              <w:rPr>
                <w:rFonts w:ascii="Consolas" w:hAnsi="Consolas"/>
                <w:color w:val="6A0DAD"/>
                <w:sz w:val="18"/>
              </w:rPr>
              <w:t>listing.listing_status_id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public.listing_category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Lookup table of listing categories, referenced by </w:t>
            </w:r>
            <w:r>
              <w:rPr>
                <w:rFonts w:ascii="Consolas" w:hAnsi="Consolas"/>
                <w:color w:val="6A0DAD"/>
                <w:sz w:val="18"/>
              </w:rPr>
              <w:t>listing.listing_category_id</w:t>
            </w:r>
            <w:r>
              <w:rPr>
                <w:sz w:val="18"/>
              </w:rPr>
              <w:t>.</w:t>
            </w:r>
          </w:p>
        </w:tc>
      </w:tr>
    </w:tbl>
    <w:p/>
    <w:p>
      <w:pPr>
        <w:pStyle w:val="Heading3"/>
      </w:pPr>
      <w:r>
        <w:t>Listing Attributes &amp; Descriptions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7181"/>
        <w:gridCol w:w="7181"/>
        <w:gridCol w:w="7181"/>
      </w:tblGrid>
      <w:tr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public.listing_attribute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1,596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Wide attribute table storing one column per standardized MLS attribute field, one row per listing. Contains the bulk of property detail data (bedrooms, bathrooms, square footage, features, etc.).</w:t>
            </w:r>
          </w:p>
        </w:tc>
      </w:tr>
      <w:tr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public.listing_attribute_custom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1,584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Wide attribute table for source-specific (non-standardized) MLS fields, one row per listing. Structure mirrors </w:t>
            </w:r>
            <w:r>
              <w:rPr>
                <w:rFonts w:ascii="Consolas" w:hAnsi="Consolas"/>
                <w:color w:val="6A0DAD"/>
                <w:sz w:val="18"/>
              </w:rPr>
              <w:t>listing_attribute</w:t>
            </w:r>
            <w:r>
              <w:rPr>
                <w:sz w:val="18"/>
              </w:rPr>
              <w:t xml:space="preserve"> but holds custom/vendor-specific fields.</w:t>
            </w:r>
          </w:p>
        </w:tc>
      </w:tr>
      <w:tr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public.listing_description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 description/remarks text, one row per listing. Stores the free-text property descriptions displayed to consumers.</w:t>
            </w:r>
          </w:p>
        </w:tc>
      </w:tr>
      <w:tr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public.listing_marketing_info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Marketing-specific listing metadata such as virtual tour URLs, branding, and display preferences.</w:t>
            </w:r>
          </w:p>
        </w:tc>
      </w:tr>
    </w:tbl>
    <w:p/>
    <w:p>
      <w:pPr>
        <w:pStyle w:val="Heading3"/>
      </w:pPr>
      <w:r>
        <w:t>Property Classification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7181"/>
        <w:gridCol w:w="7181"/>
        <w:gridCol w:w="7181"/>
      </w:tblGrid>
      <w:tr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public.listing_property_type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Canonical lookup table of property types (residential, commercial, land, etc.). Referenced by listings and by </w:t>
            </w:r>
            <w:r>
              <w:rPr>
                <w:rFonts w:ascii="Consolas" w:hAnsi="Consolas"/>
                <w:color w:val="6A0DAD"/>
                <w:sz w:val="18"/>
              </w:rPr>
              <w:t>idx_config.listing_property_type</w:t>
            </w:r>
            <w:r>
              <w:rPr>
                <w:sz w:val="18"/>
              </w:rPr>
              <w:t xml:space="preserve"> for ingestion-time mapping.</w:t>
            </w:r>
          </w:p>
        </w:tc>
      </w:tr>
      <w:tr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public.listing_property_sub_type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Canonical lookup table of property sub-types (single family, condo, townhouse, etc.). Referenced by listings and by </w:t>
            </w:r>
            <w:r>
              <w:rPr>
                <w:rFonts w:ascii="Consolas" w:hAnsi="Consolas"/>
                <w:color w:val="6A0DAD"/>
                <w:sz w:val="18"/>
              </w:rPr>
              <w:t>idx_config</w:t>
            </w:r>
            <w:r>
              <w:rPr>
                <w:sz w:val="18"/>
              </w:rPr>
              <w:t xml:space="preserve"> for ingestion mapping.</w:t>
            </w:r>
          </w:p>
        </w:tc>
      </w:tr>
      <w:tr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public.listing_property_type_search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Search-optimized property type reference combining type, sub-type, and boolean classification flags (is_condo, is_land, is_rental, etc.) used to power faceted search.</w:t>
            </w:r>
          </w:p>
        </w:tc>
      </w:tr>
      <w:tr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idx_config.listing_property_type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Per-source property type/sub-type mapping table with boolean classification flags. Maps each source's native property type codes to the canonical </w:t>
            </w:r>
            <w:r>
              <w:rPr>
                <w:rFonts w:ascii="Consolas" w:hAnsi="Consolas"/>
                <w:color w:val="6A0DAD"/>
                <w:sz w:val="18"/>
              </w:rPr>
              <w:t>public.listing_property_type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6A0DAD"/>
                <w:sz w:val="18"/>
              </w:rPr>
              <w:t>public.listing_property_sub_type</w:t>
            </w:r>
            <w:r>
              <w:rPr>
                <w:sz w:val="18"/>
              </w:rPr>
              <w:t xml:space="preserve"> lookups via enforced foreign keys.</w:t>
            </w:r>
          </w:p>
        </w:tc>
      </w:tr>
    </w:tbl>
    <w:p/>
    <w:p>
      <w:pPr>
        <w:pStyle w:val="Heading3"/>
      </w:pPr>
      <w:r>
        <w:t>Geographic &amp; School Data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7181"/>
        <w:gridCol w:w="7181"/>
        <w:gridCol w:w="7181"/>
      </w:tblGrid>
      <w:tr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public.listing_address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Structured address components for each listing (street, city, state, ZIP, county, coordinates).</w:t>
            </w:r>
          </w:p>
        </w:tc>
      </w:tr>
      <w:tr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public.listing_address_standard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76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Extended/standardized address representation with additional geocoding, FIPS, and USPS-normalized fields.</w:t>
            </w:r>
          </w:p>
        </w:tc>
      </w:tr>
      <w:tr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public.listing_school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Schools associated with a listing's location, typically linked by district or proximity.</w:t>
            </w:r>
          </w:p>
        </w:tc>
      </w:tr>
      <w:tr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public.listing_school_district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School district assignments for listings, used for school-based property search.</w:t>
            </w:r>
          </w:p>
        </w:tc>
      </w:tr>
    </w:tbl>
    <w:p/>
    <w:p>
      <w:pPr>
        <w:pStyle w:val="Heading3"/>
      </w:pPr>
      <w:r>
        <w:t>Brokers, Offices &amp; Participants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7181"/>
        <w:gridCol w:w="7181"/>
        <w:gridCol w:w="7181"/>
      </w:tblGrid>
      <w:tr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public.real_estate_office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Real-estate brokerage offices imported per data source. Stores office name, address, contact details, and source-specific identifiers.</w:t>
            </w:r>
          </w:p>
        </w:tc>
      </w:tr>
      <w:tr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public.real_estate_participant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MLS agents and brokers (participants) imported per data source, linked to listings via </w:t>
            </w:r>
            <w:r>
              <w:rPr>
                <w:rFonts w:ascii="Consolas" w:hAnsi="Consolas"/>
                <w:color w:val="6A0DAD"/>
                <w:sz w:val="18"/>
              </w:rPr>
              <w:t>listing_participant_rel</w:t>
            </w:r>
            <w:r>
              <w:rPr>
                <w:sz w:val="18"/>
              </w:rPr>
              <w:t>. Roughly one row per participant per source.</w:t>
            </w:r>
          </w:p>
        </w:tc>
      </w:tr>
    </w:tbl>
    <w:p/>
    <w:p>
      <w:pPr>
        <w:pStyle w:val="Heading3"/>
      </w:pPr>
      <w:r>
        <w:t>Listing Relationships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7181"/>
        <w:gridCol w:w="7181"/>
        <w:gridCol w:w="7181"/>
      </w:tblGrid>
      <w:tr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7181"/>
            <w:shd w:fill="1a1a2e"/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public.listing_participant_rel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7181"/>
          </w:tcPr>
          <w:p>
            <w:r>
              <w:rPr>
                <w:sz w:val="18"/>
              </w:rPr>
            </w:r>
            <w:r>
              <w:rPr>
                <w:sz w:val="18"/>
              </w:rPr>
              <w:t>Junction table associating listings with participants (agents/brokers) and their roles (listing agent, buyer agent, co-listing agent, etc.).</w:t>
            </w:r>
          </w:p>
        </w:tc>
      </w:tr>
      <w:tr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public.listing_real_estate_office_rel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7181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Junction table associating listings with brokerage offices and their roles (listing office, selling office, etc.).</w:t>
            </w:r>
          </w:p>
        </w:tc>
      </w:tr>
    </w:tbl>
    <w:p/>
    <w:p>
      <w:pPr>
        <w:spacing w:before="120"/>
      </w:pPr>
    </w:p>
    <w:p>
      <w:pPr>
        <w:pStyle w:val="Heading2"/>
      </w:pPr>
      <w:r>
        <w:t>Data Architecture Highlights</w:t>
      </w:r>
    </w:p>
    <w:p>
      <w:pPr>
        <w:pStyle w:val="Heading3"/>
      </w:pPr>
      <w:r>
        <w:t>Partitioning Strategy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listing</w:t>
      </w:r>
      <w:r>
        <w:t xml:space="preserve"> table is range-partitioned by </w:t>
      </w:r>
      <w:r>
        <w:rPr>
          <w:rFonts w:ascii="Consolas" w:hAnsi="Consolas"/>
          <w:color w:val="6A0DAD"/>
          <w:sz w:val="18"/>
        </w:rPr>
        <w:t>source_status</w:t>
      </w:r>
      <w:r>
        <w:t xml:space="preserve"> into three child tables:</w:t>
      </w:r>
    </w:p>
    <w:p>
      <w:pPr>
        <w:pStyle w:val="ListBullet"/>
      </w:pPr>
      <w:r>
        <w:rPr>
          <w:b/>
        </w:rPr>
        <w:t>`listing_p_active`</w:t>
      </w:r>
      <w:r>
        <w:t xml:space="preserve"> — currently active/on-market listings</w:t>
      </w:r>
    </w:p>
    <w:p>
      <w:pPr>
        <w:pStyle w:val="ListBullet"/>
      </w:pPr>
      <w:r>
        <w:rPr>
          <w:b/>
        </w:rPr>
        <w:t>`listing_p_inactive`</w:t>
      </w:r>
      <w:r>
        <w:t xml:space="preserve"> — withdrawn, expired, or off-market listings</w:t>
      </w:r>
    </w:p>
    <w:p>
      <w:pPr>
        <w:pStyle w:val="ListBullet"/>
      </w:pPr>
      <w:r>
        <w:rPr>
          <w:b/>
        </w:rPr>
        <w:t>`listing_p_sold`</w:t>
      </w:r>
      <w:r>
        <w:t xml:space="preserve"> — closed/sold listings</w:t>
      </w:r>
    </w:p>
    <w:p>
      <w:r>
        <w:t>This partitioning enables efficient queries that target only active inventory (the most common access pattern) without scanning the full historical dataset.</w:t>
      </w:r>
    </w:p>
    <w:p>
      <w:pPr>
        <w:pStyle w:val="Heading3"/>
      </w:pPr>
      <w:r>
        <w:t>Wide Attribute Tables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listing_attribute</w:t>
      </w:r>
      <w:r>
        <w:t xml:space="preserve"> (1,596 columns) and </w:t>
      </w:r>
      <w:r>
        <w:rPr>
          <w:rFonts w:ascii="Consolas" w:hAnsi="Consolas"/>
          <w:color w:val="6A0DAD"/>
          <w:sz w:val="18"/>
        </w:rPr>
        <w:t>listing_attribute_custom</w:t>
      </w:r>
      <w:r>
        <w:t xml:space="preserve"> (1,584 columns) tables use a </w:t>
      </w:r>
      <w:r>
        <w:rPr>
          <w:b/>
        </w:rPr>
        <w:t>one-column-per-field</w:t>
      </w:r>
      <w:r>
        <w:t xml:space="preserve"> design rather than an EAV (entity-attribute-value) model. This is a deliberate trade-off: it makes queries against known attributes fast and type-safe, at the cost of very wide rows and schema changes when new MLS fields are introduced.</w:t>
      </w:r>
    </w:p>
    <w:p>
      <w:pPr>
        <w:pStyle w:val="Heading3"/>
      </w:pPr>
      <w:r>
        <w:t>Convention-Based Referential Integrity</w:t>
      </w:r>
    </w:p>
    <w:p>
      <w:r>
        <w:t xml:space="preserve">Only </w:t>
      </w:r>
      <w:r>
        <w:rPr>
          <w:b/>
        </w:rPr>
        <w:t>4 foreign-key constraints</w:t>
      </w:r>
      <w:r>
        <w:t xml:space="preserve"> exist across both schemas (2 in </w:t>
      </w:r>
      <w:r>
        <w:rPr>
          <w:rFonts w:ascii="Consolas" w:hAnsi="Consolas"/>
          <w:color w:val="6A0DAD"/>
          <w:sz w:val="18"/>
        </w:rPr>
        <w:t>public</w:t>
      </w:r>
      <w:r>
        <w:t xml:space="preserve">, 2 cross-schema in </w:t>
      </w:r>
      <w:r>
        <w:rPr>
          <w:rFonts w:ascii="Consolas" w:hAnsi="Consolas"/>
          <w:color w:val="6A0DAD"/>
          <w:sz w:val="18"/>
        </w:rPr>
        <w:t>idx_config</w:t>
      </w:r>
      <w:r>
        <w:t xml:space="preserve">). The vast majority of relationships — such as </w:t>
      </w:r>
      <w:r>
        <w:rPr>
          <w:rFonts w:ascii="Consolas" w:hAnsi="Consolas"/>
          <w:color w:val="6A0DAD"/>
          <w:sz w:val="18"/>
        </w:rPr>
        <w:t>listing.source_id</w:t>
      </w:r>
      <w:r>
        <w:t xml:space="preserve"> referencing </w:t>
      </w:r>
      <w:r>
        <w:rPr>
          <w:rFonts w:ascii="Consolas" w:hAnsi="Consolas"/>
          <w:color w:val="6A0DAD"/>
          <w:sz w:val="18"/>
        </w:rPr>
        <w:t>source.id</w:t>
      </w:r>
      <w:r>
        <w:t xml:space="preserve">, or </w:t>
      </w:r>
      <w:r>
        <w:rPr>
          <w:rFonts w:ascii="Consolas" w:hAnsi="Consolas"/>
          <w:color w:val="6A0DAD"/>
          <w:sz w:val="18"/>
        </w:rPr>
        <w:t>listing.listing_status_id</w:t>
      </w:r>
      <w:r>
        <w:t xml:space="preserve"> referencing </w:t>
      </w:r>
      <w:r>
        <w:rPr>
          <w:rFonts w:ascii="Consolas" w:hAnsi="Consolas"/>
          <w:color w:val="6A0DAD"/>
          <w:sz w:val="18"/>
        </w:rPr>
        <w:t>listing_status.id</w:t>
      </w:r>
      <w:r>
        <w:t xml:space="preserve"> — are enforced by </w:t>
      </w:r>
      <w:r>
        <w:rPr>
          <w:b/>
        </w:rPr>
        <w:t>application code and naming convention only</w:t>
      </w:r>
      <w:r>
        <w:t>. This means:</w:t>
      </w:r>
    </w:p>
    <w:p>
      <w:pPr>
        <w:pStyle w:val="ListBullet"/>
      </w:pPr>
      <w:r>
        <w:t xml:space="preserve">Column names like </w:t>
      </w:r>
      <w:r>
        <w:rPr>
          <w:rFonts w:ascii="Consolas" w:hAnsi="Consolas"/>
          <w:color w:val="6A0DAD"/>
          <w:sz w:val="18"/>
        </w:rPr>
        <w:t>*_id</w:t>
      </w:r>
      <w:r>
        <w:t xml:space="preserve"> reliably indicate a relationship to the table matching the prefix (e.g. </w:t>
      </w:r>
      <w:r>
        <w:rPr>
          <w:rFonts w:ascii="Consolas" w:hAnsi="Consolas"/>
          <w:color w:val="6A0DAD"/>
          <w:sz w:val="18"/>
        </w:rPr>
        <w:t>listing_status_id</w:t>
      </w:r>
      <w:r>
        <w:t xml:space="preserve"> → </w:t>
      </w:r>
      <w:r>
        <w:rPr>
          <w:rFonts w:ascii="Consolas" w:hAnsi="Consolas"/>
          <w:color w:val="6A0DAD"/>
          <w:sz w:val="18"/>
        </w:rPr>
        <w:t>listing_status.id</w:t>
      </w:r>
      <w:r>
        <w:t>).</w:t>
      </w:r>
    </w:p>
    <w:p>
      <w:pPr>
        <w:pStyle w:val="ListBullet"/>
      </w:pPr>
      <w:r>
        <w:t xml:space="preserve">The database will </w:t>
      </w:r>
      <w:r>
        <w:rPr>
          <w:b/>
        </w:rPr>
        <w:t>not</w:t>
      </w:r>
      <w:r>
        <w:t xml:space="preserve"> reject orphaned references or cascade deletes for most relationships.</w:t>
      </w:r>
    </w:p>
    <w:p>
      <w:pPr>
        <w:pStyle w:val="ListBullet"/>
      </w:pPr>
      <w:r>
        <w:t>Data integrity depends on the application layer and ETL pipeline, not database constraints.</w:t>
      </w:r>
    </w:p>
    <w:p>
      <w:pPr>
        <w:pStyle w:val="Heading3"/>
      </w:pPr>
      <w:r>
        <w:t>Multi-Source Data Model</w:t>
      </w:r>
    </w:p>
    <w:p>
      <w:r>
        <w:t xml:space="preserve">Every core entity is scoped to a </w:t>
      </w:r>
      <w:r>
        <w:rPr>
          <w:b/>
        </w:rPr>
        <w:t>data source</w:t>
      </w:r>
      <w:r>
        <w:t xml:space="preserve"> (</w:t>
      </w:r>
      <w:r>
        <w:rPr>
          <w:rFonts w:ascii="Consolas" w:hAnsi="Consolas"/>
          <w:color w:val="6A0DAD"/>
          <w:sz w:val="18"/>
        </w:rPr>
        <w:t>source_id</w:t>
      </w:r>
      <w:r>
        <w:t xml:space="preserve">). A single physical property may appear as multiple rows in </w:t>
      </w:r>
      <w:r>
        <w:rPr>
          <w:rFonts w:ascii="Consolas" w:hAnsi="Consolas"/>
          <w:color w:val="6A0DAD"/>
          <w:sz w:val="18"/>
        </w:rPr>
        <w:t>listing</w:t>
      </w:r>
      <w:r>
        <w:t xml:space="preserve"> — one per MLS source that carries it. Similarly, </w:t>
      </w:r>
      <w:r>
        <w:rPr>
          <w:rFonts w:ascii="Consolas" w:hAnsi="Consolas"/>
          <w:color w:val="6A0DAD"/>
          <w:sz w:val="18"/>
        </w:rPr>
        <w:t>real_estate_participant</w:t>
      </w:r>
      <w:r>
        <w:t xml:space="preserve"> and </w:t>
      </w:r>
      <w:r>
        <w:rPr>
          <w:rFonts w:ascii="Consolas" w:hAnsi="Consolas"/>
          <w:color w:val="6A0DAD"/>
          <w:sz w:val="18"/>
        </w:rPr>
        <w:t>real_estate_office</w:t>
      </w:r>
      <w:r>
        <w:t xml:space="preserve"> are per-source, so the same agent may exist as multiple rows if they operate across MLS boards. This design supports federated ingestion from dozens of independent MLS systems without requiring cross-source deduplication at the database level.</w:t>
      </w:r>
    </w:p>
    <w:p>
      <w:pPr>
        <w:spacing w:before="120"/>
      </w:pPr>
    </w:p>
    <w:p>
      <w:pPr>
        <w:pStyle w:val="Heading2"/>
      </w:pPr>
      <w:r>
        <w:t>Relationship Model</w:t>
      </w:r>
    </w:p>
    <w:p>
      <w:r>
        <w:t xml:space="preserve">The diagram below summarizes the primary relationships among the key tables. </w:t>
      </w:r>
      <w:r>
        <w:rPr>
          <w:b/>
        </w:rPr>
        <w:t>Solid lines</w:t>
      </w:r>
      <w:r>
        <w:t xml:space="preserve"> represent enforced foreign-key constraints; </w:t>
      </w:r>
      <w:r>
        <w:rPr>
          <w:b/>
        </w:rPr>
        <w:t>dashed lines</w:t>
      </w:r>
      <w:r>
        <w:t xml:space="preserve"> represent relationships that are documented in column naming or comments but not enforced by the database.</w:t>
      </w:r>
    </w:p>
    <w:p>
      <w:r>
        <w:rPr>
          <w:rFonts w:ascii="Consolas" w:hAnsi="Consolas"/>
          <w:color w:val="333333"/>
          <w:sz w:val="15"/>
        </w:rPr>
        <w:t>source (51 cols)</w:t>
        <w:br/>
        <w:t xml:space="preserve">  :</w:t>
        <w:br/>
        <w:t xml:space="preserve">  :..source_id...&gt; listing (71 cols)</w:t>
        <w:br/>
        <w:t xml:space="preserve">                     |</w:t>
        <w:br/>
        <w:t xml:space="preserve">                     |--listing_id--&gt; listing_address (34 cols)</w:t>
        <w:br/>
        <w:t xml:space="preserve">                     |--listing_id--&gt; listing_address_standard (76 cols)</w:t>
        <w:br/>
        <w:t xml:space="preserve">                     |--listing_id--&gt; listing_attribute (1,596 cols)</w:t>
        <w:br/>
        <w:t xml:space="preserve">                     |--listing_id--&gt; listing_attribute_custom (1,584 cols)</w:t>
        <w:br/>
        <w:t xml:space="preserve">                     |--listing_id--&gt; listing_description (9 cols)</w:t>
        <w:br/>
        <w:t xml:space="preserve">                     |--listing_id--&gt; listing_marketing_info (15 cols)</w:t>
        <w:br/>
        <w:t xml:space="preserve">                     |--listing_id--&gt; listing_school (18 cols)</w:t>
        <w:br/>
        <w:t xml:space="preserve">                     |--listing_id--&gt; listing_school_district (11 cols)</w:t>
        <w:br/>
        <w:t xml:space="preserve">                     |--listing_id--&gt; listing_participant_rel (10 cols)</w:t>
        <w:br/>
        <w:t xml:space="preserve">                     |                   :..participant_id..&gt; real_estate_participant</w:t>
        <w:br/>
        <w:t xml:space="preserve">                     |--listing_id--&gt; listing_real_estate_office_rel (9 cols)</w:t>
        <w:br/>
        <w:t xml:space="preserve">                     |                   :..office_id..&gt; real_estate_office</w:t>
        <w:br/>
        <w:t xml:space="preserve">                     :</w:t>
        <w:br/>
        <w:t xml:space="preserve">                     :..listing_status_id..&gt; listing_status (12 cols)</w:t>
        <w:br/>
        <w:t xml:space="preserve">                     :..listing_category_id.&gt; listing_category (5 cols)</w:t>
        <w:br/>
        <w:t xml:space="preserve">                     :..property_type_id...&gt; listing_property_type (6 cols)</w:t>
        <w:br/>
        <w:t xml:space="preserve">                     :..property_sub_type_id&gt; listing_property_sub_type (6 cols)</w:t>
        <w:br/>
        <w:br/>
        <w:t>idx_config.listing_property_type (25 cols)</w:t>
        <w:br/>
        <w:t xml:space="preserve">  |---property_type_id----&gt; public.listing_property_type [FK]</w:t>
        <w:br/>
        <w:t xml:space="preserve">  |---property_sub_type_id-&gt; public.listing_property_sub_type [FK]</w:t>
        <w:br/>
        <w:br/>
        <w:t>Legend:  |--  = naming-convention relationship (unenforced)</w:t>
        <w:br/>
        <w:t xml:space="preserve">         :..  = naming-convention relationship (unenforced)</w:t>
        <w:br/>
        <w:t xml:space="preserve">         ---&gt; [FK] = enforced foreign-key constraint</w:t>
      </w:r>
    </w:p>
    <w:p>
      <w:pPr>
        <w:spacing w:before="120"/>
      </w:pPr>
    </w:p>
    <w:p>
      <w:r>
        <w:rPr>
          <w:i/>
        </w:rPr>
        <w:t>Document generated from `information_schema` and `pg_catalog` metadata exports. Descriptions without a database comment were inferred from naming conventions. See the full reference documentation (`public-schema.md`, `idx_config-schema.md`) for complete column, index, and constraint details.</w:t>
      </w:r>
    </w:p>
    <w:sectPr w:rsidR="00FC693F" w:rsidRPr="0006063C" w:rsidSect="00034616">
      <w:pgSz w:w="23811" w:h="16838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A1A2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