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MLS Database</w:t>
      </w:r>
    </w:p>
    <w:p>
      <w:pPr>
        <w:jc w:val="center"/>
      </w:pPr>
      <w:r>
        <w:rPr>
          <w:color w:val="2D5AA0"/>
          <w:sz w:val="44"/>
        </w:rPr>
        <w:t>Architecture &amp; Schema Documentation</w:t>
      </w:r>
    </w:p>
    <w:p>
      <w:pPr>
        <w:jc w:val="center"/>
      </w:pPr>
      <w:r>
        <w:rPr>
          <w:color w:val="CCCCCC"/>
          <w:sz w:val="20"/>
        </w:rPr>
        <w:t>____________________________________________________________</w:t>
      </w:r>
    </w:p>
    <w:p/>
    <w:p>
      <w:pPr>
        <w:jc w:val="center"/>
      </w:pPr>
      <w:r>
        <w:rPr>
          <w:color w:val="444466"/>
          <w:sz w:val="28"/>
        </w:rPr>
        <w:t>High-Level Technical Overview</w:t>
        <w:br/>
        <w:t>for Stakeholders &amp; Developers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Author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color w:val="555555"/>
                <w:sz w:val="20"/>
              </w:rPr>
              <w:t>IDX Team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Version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color w:val="555555"/>
                <w:sz w:val="20"/>
              </w:rPr>
              <w:t>1.0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Date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color w:val="555555"/>
                <w:sz w:val="20"/>
              </w:rPr>
              <w:t>September 2026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Classification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color w:val="555555"/>
                <w:sz w:val="20"/>
              </w:rPr>
              <w:t>Internal — Technical Reference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  <w:sz w:val="20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 xml:space="preserve">The MLS (Multiple Listing Service) database is a PostgreSQL RDS instance that serves as the </w:t>
      </w:r>
      <w:r>
        <w:rPr>
          <w:b/>
        </w:rPr>
        <w:t>central data hub</w:t>
      </w:r>
      <w:r>
        <w:t xml:space="preserve"> for ingesting, transforming, and serving real estate listing data from multiple MLS sources. The database implements a multi-stage ETL pipeline architecture across 5 schemas and 36+ tables.</w:t>
      </w:r>
    </w:p>
    <w:p>
      <w:r>
        <w:t>The system ingests data from ~34 MLS sources, processes field-level metadata for over 6 million field definitions, maps 355,000+ source-to-target column transformations, and maintains nearly 3 million real estate agent records alongside listing data from across the country.</w:t>
      </w:r>
    </w:p>
    <w:p>
      <w:pPr>
        <w:pStyle w:val="Heading3"/>
      </w:pPr>
      <w:r>
        <w:t>Key Metrics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6"/>
            <w:shd w:fill="1a1a2e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Engine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Amazon RDS</w:t>
            </w:r>
          </w:p>
        </w:tc>
      </w:tr>
      <w:tr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Schemas</w:t>
            </w:r>
          </w:p>
        </w:tc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5 (</w:t>
            </w:r>
            <w:r>
              <w:rPr>
                <w:rFonts w:ascii="Consolas" w:hAnsi="Consolas"/>
                <w:color w:val="6A0DAD"/>
                <w:sz w:val="18"/>
              </w:rPr>
              <w:t>dev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0DAD"/>
                <w:sz w:val="18"/>
              </w:rPr>
              <w:t>etl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0DAD"/>
                <w:sz w:val="18"/>
              </w:rPr>
              <w:t>idx_config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0DAD"/>
                <w:sz w:val="18"/>
              </w:rPr>
              <w:t>public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A0DAD"/>
                <w:sz w:val="18"/>
              </w:rPr>
              <w:t>idx_stage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Tables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36 (named) + hundreds of pre-staging tables (</w:t>
            </w:r>
            <w:r>
              <w:rPr>
                <w:rFonts w:ascii="Consolas" w:hAnsi="Consolas"/>
                <w:color w:val="6A0DAD"/>
                <w:sz w:val="18"/>
              </w:rPr>
              <w:t>idx_stage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Sequences</w:t>
            </w:r>
          </w:p>
        </w:tc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Foreign Key Constraints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Table/Column Comments</w:t>
            </w:r>
          </w:p>
        </w:tc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MLS Sources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~34</w:t>
            </w:r>
          </w:p>
        </w:tc>
      </w:tr>
      <w:tr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Records</w:t>
            </w:r>
          </w:p>
        </w:tc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~2.9M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Office Records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~1.1M</w:t>
            </w:r>
          </w:p>
        </w:tc>
      </w:tr>
      <w:tr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Field Metadata Records</w:t>
            </w:r>
          </w:p>
        </w:tc>
        <w:tc>
          <w:tcPr>
            <w:tcW w:type="dxa" w:w="4536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~3.7M (production) + ~6M (staging)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ETL Mappings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</w:r>
            <w:r>
              <w:rPr>
                <w:sz w:val="18"/>
              </w:rPr>
              <w:t>~355K</w:t>
            </w:r>
          </w:p>
        </w:tc>
      </w:tr>
    </w:tbl>
    <w:p/>
    <w:p>
      <w:pPr>
        <w:pStyle w:val="Heading2"/>
      </w:pPr>
      <w:r>
        <w:t>2. Architecture Overview</w:t>
      </w:r>
    </w:p>
    <w:p>
      <w:r>
        <w:t xml:space="preserve">The database follows a </w:t>
      </w:r>
      <w:r>
        <w:rPr>
          <w:b/>
        </w:rPr>
        <w:t>multi-stage ETL pipeline</w:t>
      </w:r>
      <w:r>
        <w:t xml:space="preserve"> pattern with clear separation of concerns across its 5 schemas:</w:t>
      </w:r>
    </w:p>
    <w:p>
      <w:pPr>
        <w:spacing w:before="120" w:after="120"/>
      </w:pPr>
      <w:r>
        <w:rPr>
          <w:rFonts w:ascii="Consolas" w:hAnsi="Consolas"/>
          <w:color w:val="333333"/>
          <w:sz w:val="15"/>
        </w:rPr>
        <w:t>MLS Sources (RETS/Web API)</w:t>
        <w:br/>
        <w:t xml:space="preserve">        │</w:t>
        <w:br/>
        <w:t xml:space="preserve">        ▼</w:t>
        <w:br/>
        <w:t>┌─────────────────────┐</w:t>
        <w:br/>
        <w:t>│   dev.source        │  ← Source Registration &amp; Authentication</w:t>
        <w:br/>
        <w:t>│   dev.*_metadata    │  ← Metadata Discovery (Resources, Classes, Fields)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┌──────────────────────────────────────────────────────┐</w:t>
        <w:br/>
        <w:t>│   idx_stage.*                                        │  ← Pre-Staging</w:t>
        <w:br/>
        <w:t>│   ps_{source_type}_{resource_name}_{source_id}       │     (all text columns)</w:t>
        <w:br/>
        <w:t>│   ps_rets_{resource_name}_{source_id}                │     (one table per source/resource)</w:t>
        <w:br/>
        <w:t>└────────────────────────┬─────────────────────────────┘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  etl.mappings      │  ← Column Mapping &amp; Business Transformations</w:t>
        <w:br/>
        <w:t>│   etl.mapping_joins │  ← JOIN Condition Definitions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  public.listing    │  ← Normalized Listing Data</w:t>
        <w:br/>
        <w:t>│   public.*          │  ← Agents, Offices, Photos, Open Houses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  idx_config.*      │  ← Property Type Classification &amp; Display Rules</w:t>
        <w:br/>
        <w:t>└─────────────────────┘</w:t>
      </w:r>
    </w:p>
    <w:p>
      <w:pPr>
        <w:pStyle w:val="Heading3"/>
      </w:pPr>
      <w:r>
        <w:t>Pipeline Stages</w:t>
      </w:r>
    </w:p>
    <w:p>
      <w:r>
        <w:t xml:space="preserve">1. </w:t>
      </w:r>
      <w:r>
        <w:rPr>
          <w:b/>
        </w:rPr>
        <w:t>Source Registration</w:t>
      </w:r>
      <w:r>
        <w:t xml:space="preserve"> — MLS data providers are registered in </w:t>
      </w:r>
      <w:r>
        <w:rPr>
          <w:rFonts w:ascii="Consolas" w:hAnsi="Consolas"/>
          <w:color w:val="6A0DAD"/>
          <w:sz w:val="18"/>
        </w:rPr>
        <w:t>dev.source</w:t>
      </w:r>
      <w:r>
        <w:t xml:space="preserve"> with authentication credentials and connection details. Each source gets a unique </w:t>
      </w:r>
      <w:r>
        <w:rPr>
          <w:rFonts w:ascii="Consolas" w:hAnsi="Consolas"/>
          <w:color w:val="6A0DAD"/>
          <w:sz w:val="18"/>
        </w:rPr>
        <w:t>source_id</w:t>
      </w:r>
      <w:r>
        <w:t xml:space="preserve"> that propagates through all downstream tables.</w:t>
      </w:r>
    </w:p>
    <w:p>
      <w:r>
        <w:t xml:space="preserve">2. </w:t>
      </w:r>
      <w:r>
        <w:rPr>
          <w:b/>
        </w:rPr>
        <w:t>Metadata Discovery</w:t>
      </w:r>
      <w:r>
        <w:t xml:space="preserve"> — The system downloads resource, class, and field definitions from each MLS source. Raw metadata is staged in </w:t>
      </w:r>
      <w:r>
        <w:rPr>
          <w:rFonts w:ascii="Consolas" w:hAnsi="Consolas"/>
          <w:color w:val="6A0DAD"/>
          <w:sz w:val="18"/>
        </w:rPr>
        <w:t>dev.stage_*_metadata</w:t>
      </w:r>
      <w:r>
        <w:t xml:space="preserve"> tables before being promoted to production </w:t>
      </w:r>
      <w:r>
        <w:rPr>
          <w:rFonts w:ascii="Consolas" w:hAnsi="Consolas"/>
          <w:color w:val="6A0DAD"/>
          <w:sz w:val="18"/>
        </w:rPr>
        <w:t>dev.*_metadata</w:t>
      </w:r>
      <w:r>
        <w:t xml:space="preserve"> tables after validation.</w:t>
      </w:r>
    </w:p>
    <w:p>
      <w:r>
        <w:t xml:space="preserve">3. </w:t>
      </w:r>
      <w:r>
        <w:rPr>
          <w:b/>
        </w:rPr>
        <w:t>Pre-Staging</w:t>
      </w:r>
      <w:r>
        <w:t xml:space="preserve"> — Raw data is downloaded from MLS sources into </w:t>
      </w:r>
      <w:r>
        <w:rPr>
          <w:rFonts w:ascii="Consolas" w:hAnsi="Consolas"/>
          <w:color w:val="6A0DAD"/>
          <w:sz w:val="18"/>
        </w:rPr>
        <w:t>idx_stage</w:t>
      </w:r>
      <w:r>
        <w:t xml:space="preserve"> pre-staging tables. Each source/resource combination gets its own table following the naming convention </w:t>
      </w:r>
      <w:r>
        <w:rPr>
          <w:rFonts w:ascii="Consolas" w:hAnsi="Consolas"/>
          <w:color w:val="6A0DAD"/>
          <w:sz w:val="18"/>
        </w:rPr>
        <w:t>ps_{source_type}_{resource_name}_{source_id}</w:t>
      </w:r>
      <w:r>
        <w:t xml:space="preserve"> (for APIs) or </w:t>
      </w:r>
      <w:r>
        <w:rPr>
          <w:rFonts w:ascii="Consolas" w:hAnsi="Consolas"/>
          <w:color w:val="6A0DAD"/>
          <w:sz w:val="18"/>
        </w:rPr>
        <w:t>ps_rets_{resource_name}_{source_id}</w:t>
      </w:r>
      <w:r>
        <w:t xml:space="preserve"> (for RETS). All columns use the </w:t>
      </w:r>
      <w:r>
        <w:rPr>
          <w:rFonts w:ascii="Consolas" w:hAnsi="Consolas"/>
          <w:color w:val="6A0DAD"/>
          <w:sz w:val="18"/>
        </w:rPr>
        <w:t>text</w:t>
      </w:r>
      <w:r>
        <w:t xml:space="preserve"> data type to prevent type-casting failures during download — transformation happens later.</w:t>
      </w:r>
    </w:p>
    <w:p>
      <w:r>
        <w:t xml:space="preserve">4. </w:t>
      </w:r>
      <w:r>
        <w:rPr>
          <w:b/>
        </w:rPr>
        <w:t>Transformation</w:t>
      </w:r>
      <w:r>
        <w:t xml:space="preserve"> — The </w:t>
      </w:r>
      <w:r>
        <w:rPr>
          <w:rFonts w:ascii="Consolas" w:hAnsi="Consolas"/>
          <w:color w:val="6A0DAD"/>
          <w:sz w:val="18"/>
        </w:rPr>
        <w:t>etl.mappings</w:t>
      </w:r>
      <w:r>
        <w:t xml:space="preserve"> table defines 355K+ source-to-target column mappings with optional SQL business transformations. </w:t>
      </w:r>
      <w:r>
        <w:rPr>
          <w:rFonts w:ascii="Consolas" w:hAnsi="Consolas"/>
          <w:color w:val="6A0DAD"/>
          <w:sz w:val="18"/>
        </w:rPr>
        <w:t>etl.mapping_joins</w:t>
      </w:r>
      <w:r>
        <w:t xml:space="preserve"> provides JOIN conditions for multi-table source queries.</w:t>
      </w:r>
    </w:p>
    <w:p>
      <w:r>
        <w:t xml:space="preserve">5. </w:t>
      </w:r>
      <w:r>
        <w:rPr>
          <w:b/>
        </w:rPr>
        <w:t>Loading</w:t>
      </w:r>
      <w:r>
        <w:t xml:space="preserve"> — Transformed data is loaded into the normalized </w:t>
      </w:r>
      <w:r>
        <w:rPr>
          <w:rFonts w:ascii="Consolas" w:hAnsi="Consolas"/>
          <w:color w:val="6A0DAD"/>
          <w:sz w:val="18"/>
        </w:rPr>
        <w:t>public</w:t>
      </w:r>
      <w:r>
        <w:t xml:space="preserve"> schema tables (</w:t>
      </w:r>
      <w:r>
        <w:rPr>
          <w:rFonts w:ascii="Consolas" w:hAnsi="Consolas"/>
          <w:color w:val="6A0DAD"/>
          <w:sz w:val="18"/>
        </w:rPr>
        <w:t>listing</w:t>
      </w:r>
      <w:r>
        <w:t xml:space="preserve">, </w:t>
      </w:r>
      <w:r>
        <w:rPr>
          <w:rFonts w:ascii="Consolas" w:hAnsi="Consolas"/>
          <w:color w:val="6A0DAD"/>
          <w:sz w:val="18"/>
        </w:rPr>
        <w:t>listing_photo</w:t>
      </w:r>
      <w:r>
        <w:t xml:space="preserve">, </w:t>
      </w:r>
      <w:r>
        <w:rPr>
          <w:rFonts w:ascii="Consolas" w:hAnsi="Consolas"/>
          <w:color w:val="6A0DAD"/>
          <w:sz w:val="18"/>
        </w:rPr>
        <w:t>listing_openhouse</w:t>
      </w:r>
      <w:r>
        <w:t xml:space="preserve">, </w:t>
      </w:r>
      <w:r>
        <w:rPr>
          <w:rFonts w:ascii="Consolas" w:hAnsi="Consolas"/>
          <w:color w:val="6A0DAD"/>
          <w:sz w:val="18"/>
        </w:rPr>
        <w:t>real_estate_participant</w:t>
      </w:r>
      <w:r>
        <w:t xml:space="preserve">, </w:t>
      </w:r>
      <w:r>
        <w:rPr>
          <w:rFonts w:ascii="Consolas" w:hAnsi="Consolas"/>
          <w:color w:val="6A0DAD"/>
          <w:sz w:val="18"/>
        </w:rPr>
        <w:t>real_estate_office</w:t>
      </w:r>
      <w:r>
        <w:t>, etc.).</w:t>
      </w:r>
    </w:p>
    <w:p>
      <w:r>
        <w:t xml:space="preserve">6. </w:t>
      </w:r>
      <w:r>
        <w:rPr>
          <w:b/>
        </w:rPr>
        <w:t>Configuration</w:t>
      </w:r>
      <w:r>
        <w:t xml:space="preserve"> — The </w:t>
      </w:r>
      <w:r>
        <w:rPr>
          <w:rFonts w:ascii="Consolas" w:hAnsi="Consolas"/>
          <w:color w:val="6A0DAD"/>
          <w:sz w:val="18"/>
        </w:rPr>
        <w:t>idx_config</w:t>
      </w:r>
      <w:r>
        <w:t xml:space="preserve"> schema provides property type classification rules, school type normalization, and MLS number formatting regex patterns that are applied during and after the ETL process.</w:t>
      </w:r>
    </w:p>
    <w:p>
      <w:pPr>
        <w:pStyle w:val="Heading2"/>
      </w:pPr>
      <w:r>
        <w:t>3. Schema Inventory</w:t>
      </w:r>
    </w:p>
    <w:p>
      <w:pPr>
        <w:pStyle w:val="Heading3"/>
      </w:pPr>
      <w:r>
        <w:t>3.1 dev Schema — Metadata Catalog (11 tables)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dev</w:t>
      </w:r>
      <w:r>
        <w:t xml:space="preserve"> schema is the </w:t>
      </w:r>
      <w:r>
        <w:rPr>
          <w:b/>
        </w:rPr>
        <w:t>metadata backbone</w:t>
      </w:r>
      <w:r>
        <w:t xml:space="preserve"> of the ETL pipeline. It catalogs every MLS source, resource, class, and field definition used by the system.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Est. Rows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MLS source registry with auth config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~34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resource_metadata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API resources per source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~4,556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class_metadata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Data classes per resource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~18,854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field_metadata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Field definitions per class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~3,774,159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stage_resource_metadata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Staging for resource discovery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~16,125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stage_class_metadata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Staging for class discovery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~65,080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stage_field_metadata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Staging for field discovery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~6,013,635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resource_prefix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URL prefixes per resource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~9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etl_batches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execution tracking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~80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enum_status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enumeration lookup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to_do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ETL task queue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~1,780</w:t>
            </w:r>
          </w:p>
        </w:tc>
      </w:tr>
    </w:tbl>
    <w:p/>
    <w:p>
      <w:r>
        <w:rPr>
          <w:b/>
        </w:rPr>
        <w:t>Key Design Pattern:</w:t>
      </w:r>
      <w:r>
        <w:t xml:space="preserve"> Stage-Promote — raw metadata flows from </w:t>
      </w:r>
      <w:r>
        <w:rPr>
          <w:rFonts w:ascii="Consolas" w:hAnsi="Consolas"/>
          <w:color w:val="6A0DAD"/>
          <w:sz w:val="18"/>
        </w:rPr>
        <w:t>stage_*</w:t>
      </w:r>
      <w:r>
        <w:t xml:space="preserve"> tables to production tables after validation. Staging tables retain ~3x more rows than production, preserving historical discovery data.</w:t>
      </w:r>
    </w:p>
    <w:p>
      <w:pPr>
        <w:pStyle w:val="Heading3"/>
      </w:pPr>
      <w:r>
        <w:t>3.2 etl Schema — Transformation Engine (6 tables)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etl</w:t>
      </w:r>
      <w:r>
        <w:t xml:space="preserve"> schema defines </w:t>
      </w:r>
      <w:r>
        <w:rPr>
          <w:b/>
        </w:rPr>
        <w:t>how</w:t>
      </w:r>
      <w:r>
        <w:t xml:space="preserve"> MLS source data is transformed into the normalized model.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Est. Rows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Source-to-target column mappings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~355,283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mapping_joins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SQL JOIN conditions for mappings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~7,617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source_info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Per-source IDX configuration (JSON)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~117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slack_alerts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SQL-based operational alerts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mappings_backup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Full mapping backup (no PK)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mappings_backup_29_jan_2024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Point-in-time backup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Key Design Pattern:</w:t>
      </w:r>
      <w:r>
        <w:t xml:space="preserve"> Mapping Versioning — </w:t>
      </w:r>
      <w:r>
        <w:rPr>
          <w:rFonts w:ascii="Consolas" w:hAnsi="Consolas"/>
          <w:color w:val="6A0DAD"/>
          <w:sz w:val="18"/>
        </w:rPr>
        <w:t>mappings.previous_id</w:t>
      </w:r>
      <w:r>
        <w:t xml:space="preserve"> creates a linked-list version chain, preserving the evolution of column mappings over time.</w:t>
      </w:r>
    </w:p>
    <w:p>
      <w:pPr>
        <w:pStyle w:val="Heading3"/>
      </w:pPr>
      <w:r>
        <w:t>3.3 idx_config Schema — Configuration Rules (3 tables)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idx_config</w:t>
      </w:r>
      <w:r>
        <w:t xml:space="preserve"> schema stores </w:t>
      </w:r>
      <w:r>
        <w:rPr>
          <w:b/>
        </w:rPr>
        <w:t>classification and normalization rules</w:t>
      </w:r>
      <w:r>
        <w:t xml:space="preserve"> applied during IDX data processing.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Est. Rows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Property type → boolean classification matrix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listing_school_type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MLS → Ylopo school type normalization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~101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listing_mls_number_regex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MLS number formatting regex per source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Key Design Pattern:</w:t>
      </w:r>
      <w:r>
        <w:t xml:space="preserve"> Boolean Classification Matrix — 17 boolean flags (</w:t>
      </w:r>
      <w:r>
        <w:rPr>
          <w:rFonts w:ascii="Consolas" w:hAnsi="Consolas"/>
          <w:color w:val="6A0DAD"/>
          <w:sz w:val="18"/>
        </w:rPr>
        <w:t>is_condo</w:t>
      </w:r>
      <w:r>
        <w:t xml:space="preserve">, </w:t>
      </w:r>
      <w:r>
        <w:rPr>
          <w:rFonts w:ascii="Consolas" w:hAnsi="Consolas"/>
          <w:color w:val="6A0DAD"/>
          <w:sz w:val="18"/>
        </w:rPr>
        <w:t>is_land</w:t>
      </w:r>
      <w:r>
        <w:t xml:space="preserve">, </w:t>
      </w:r>
      <w:r>
        <w:rPr>
          <w:rFonts w:ascii="Consolas" w:hAnsi="Consolas"/>
          <w:color w:val="6A0DAD"/>
          <w:sz w:val="18"/>
        </w:rPr>
        <w:t>is_townhouse</w:t>
      </w:r>
      <w:r>
        <w:t>, etc.) allow any property type to be classified under multiple categories simultaneously, optimizing search queries.</w:t>
      </w:r>
    </w:p>
    <w:p>
      <w:pPr>
        <w:pStyle w:val="Heading3"/>
      </w:pPr>
      <w:r>
        <w:t>3.4 public Schema — Normalized Listing Data (16 tables)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public</w:t>
      </w:r>
      <w:r>
        <w:t xml:space="preserve"> schema is the </w:t>
      </w:r>
      <w:r>
        <w:rPr>
          <w:b/>
        </w:rPr>
        <w:t>end-product</w:t>
      </w:r>
      <w:r>
        <w:t xml:space="preserve"> of the ETL pipeline — normalized, queryable listing data.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Est. Rows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Core listing data (67 columns)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listing_category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 category reference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listing_status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 status with Ylopo normalization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Property type reference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listing_property_sub_type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Property sub-type reference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listing_property_type_search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 search flags per listing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listing_openhouse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Open house events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listing_photo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Photo media records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listing_participant_rel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 ↔ agent junction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real_estate_participant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records with full-text search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~2,941,961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real_estate_office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Office records with full-text search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~1,145,602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mls_board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MLS board reference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idx_listing_etl_action_pool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ETL action queue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~10,504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processed_files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File processing tracker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sales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sales summary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~12</w:t>
            </w:r>
          </w:p>
        </w:tc>
      </w:tr>
    </w:tbl>
    <w:p/>
    <w:p>
      <w:r>
        <w:rPr>
          <w:b/>
        </w:rPr>
        <w:t>Key Design Pattern:</w:t>
      </w:r>
      <w:r>
        <w:t xml:space="preserve"> Multi-Source Isolation — every table carries </w:t>
      </w:r>
      <w:r>
        <w:rPr>
          <w:rFonts w:ascii="Consolas" w:hAnsi="Consolas"/>
          <w:color w:val="6A0DAD"/>
          <w:sz w:val="18"/>
        </w:rPr>
        <w:t>source_id</w:t>
      </w:r>
      <w:r>
        <w:t xml:space="preserve"> and </w:t>
      </w:r>
      <w:r>
        <w:rPr>
          <w:rFonts w:ascii="Consolas" w:hAnsi="Consolas"/>
          <w:color w:val="6A0DAD"/>
          <w:sz w:val="18"/>
        </w:rPr>
        <w:t>batch_id</w:t>
      </w:r>
      <w:r>
        <w:t>, enabling per-MLS-source data isolation within shared tables.</w:t>
      </w:r>
    </w:p>
    <w:p>
      <w:pPr>
        <w:pStyle w:val="Heading3"/>
      </w:pPr>
      <w:r>
        <w:t>3.5 idx_stage Schema — Pre-Staging Raw Data (hundreds of tables)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idx_stage</w:t>
      </w:r>
      <w:r>
        <w:t xml:space="preserve"> schema is the </w:t>
      </w:r>
      <w:r>
        <w:rPr>
          <w:b/>
        </w:rPr>
        <w:t>first landing zone</w:t>
      </w:r>
      <w:r>
        <w:t xml:space="preserve"> for MLS data. It contains hundreds of pre-staging tables — one per source/resource combination — that hold raw data exactly as downloaded from MLS sources.</w:t>
      </w:r>
    </w:p>
    <w:p>
      <w:r>
        <w:rPr>
          <w:b/>
        </w:rPr>
        <w:t>Naming Convention:</w:t>
      </w:r>
    </w:p>
    <w:p>
      <w:pPr>
        <w:pStyle w:val="ListBullet"/>
      </w:pPr>
      <w:r>
        <w:t xml:space="preserve">API sources: </w:t>
      </w:r>
      <w:r>
        <w:rPr>
          <w:rFonts w:ascii="Consolas" w:hAnsi="Consolas"/>
          <w:color w:val="6A0DAD"/>
          <w:sz w:val="18"/>
        </w:rPr>
        <w:t>ps_{source_type}_{resource_name}_{source_id}</w:t>
      </w:r>
      <w:r>
        <w:t xml:space="preserve"> (e.g., </w:t>
      </w:r>
      <w:r>
        <w:rPr>
          <w:rFonts w:ascii="Consolas" w:hAnsi="Consolas"/>
          <w:color w:val="6A0DAD"/>
          <w:sz w:val="18"/>
        </w:rPr>
        <w:t>ps_api_property_205</w:t>
      </w:r>
      <w:r>
        <w:t>)</w:t>
      </w:r>
    </w:p>
    <w:p>
      <w:pPr>
        <w:pStyle w:val="ListBullet"/>
      </w:pPr>
      <w:r>
        <w:t xml:space="preserve">RETS sources: </w:t>
      </w:r>
      <w:r>
        <w:rPr>
          <w:rFonts w:ascii="Consolas" w:hAnsi="Consolas"/>
          <w:color w:val="6A0DAD"/>
          <w:sz w:val="18"/>
        </w:rPr>
        <w:t>ps_rets_{resource_name}_{source_id}</w:t>
      </w:r>
      <w:r>
        <w:t xml:space="preserve"> (e.g., </w:t>
      </w:r>
      <w:r>
        <w:rPr>
          <w:rFonts w:ascii="Consolas" w:hAnsi="Consolas"/>
          <w:color w:val="6A0DAD"/>
          <w:sz w:val="18"/>
        </w:rPr>
        <w:t>ps_rets_property_101</w:t>
      </w:r>
      <w:r>
        <w:t>)</w:t>
      </w:r>
    </w:p>
    <w:p>
      <w:r>
        <w:rPr>
          <w:b/>
        </w:rPr>
        <w:t>Key Design Decisions:</w:t>
      </w:r>
    </w:p>
    <w:p>
      <w:pPr>
        <w:pStyle w:val="ListBullet"/>
      </w:pPr>
      <w:r>
        <w:rPr>
          <w:b/>
        </w:rPr>
        <w:t>All columns are `text`</w:t>
      </w:r>
      <w:r>
        <w:t xml:space="preserve"> — No type casting during download; raw data is preserved with source fidelity</w:t>
      </w:r>
    </w:p>
    <w:p>
      <w:pPr>
        <w:pStyle w:val="ListBullet"/>
      </w:pPr>
      <w:r>
        <w:rPr>
          <w:b/>
        </w:rPr>
        <w:t>One table per source/resource</w:t>
      </w:r>
      <w:r>
        <w:t xml:space="preserve"> — Provides isolation between sources, supports independent column sets, and enables parallel loading</w:t>
      </w:r>
    </w:p>
    <w:p>
      <w:pPr>
        <w:pStyle w:val="ListBullet"/>
      </w:pPr>
      <w:r>
        <w:rPr>
          <w:b/>
        </w:rPr>
        <w:t>Convention-based naming</w:t>
      </w:r>
      <w:r>
        <w:t xml:space="preserve"> — Source type, resource, and source ID are encoded in the table name itself</w:t>
      </w:r>
    </w:p>
    <w:p>
      <w:r>
        <w:rPr>
          <w:b/>
        </w:rPr>
        <w:t>Data Flow:</w:t>
      </w:r>
    </w:p>
    <w:p>
      <w:r>
        <w:t xml:space="preserve">1. ETL scheduler creates download tasks in </w:t>
      </w:r>
      <w:r>
        <w:rPr>
          <w:rFonts w:ascii="Consolas" w:hAnsi="Consolas"/>
          <w:color w:val="6A0DAD"/>
          <w:sz w:val="18"/>
        </w:rPr>
        <w:t>dev.to_do</w:t>
      </w:r>
    </w:p>
    <w:p>
      <w:r>
        <w:t>2. Raw data is downloaded from MLS via RETS or Web API</w:t>
      </w:r>
    </w:p>
    <w:p>
      <w:r>
        <w:t xml:space="preserve">3. Records land in the corresponding </w:t>
      </w:r>
      <w:r>
        <w:rPr>
          <w:rFonts w:ascii="Consolas" w:hAnsi="Consolas"/>
          <w:color w:val="6A0DAD"/>
          <w:sz w:val="18"/>
        </w:rPr>
        <w:t>ps_*</w:t>
      </w:r>
      <w:r>
        <w:t xml:space="preserve"> table as text</w:t>
      </w:r>
    </w:p>
    <w:p>
      <w:r>
        <w:t xml:space="preserve">4. </w:t>
      </w:r>
      <w:r>
        <w:rPr>
          <w:rFonts w:ascii="Consolas" w:hAnsi="Consolas"/>
          <w:color w:val="6A0DAD"/>
          <w:sz w:val="18"/>
        </w:rPr>
        <w:t>etl.mappings</w:t>
      </w:r>
      <w:r>
        <w:t xml:space="preserve"> defines how each column transforms into </w:t>
      </w:r>
      <w:r>
        <w:rPr>
          <w:rFonts w:ascii="Consolas" w:hAnsi="Consolas"/>
          <w:color w:val="6A0DAD"/>
          <w:sz w:val="18"/>
        </w:rPr>
        <w:t>public.*</w:t>
      </w:r>
      <w:r>
        <w:t xml:space="preserve"> typed columns</w:t>
      </w:r>
    </w:p>
    <w:p>
      <w:r>
        <w:t xml:space="preserve">5. Transformed data moves to </w:t>
      </w:r>
      <w:r>
        <w:rPr>
          <w:rFonts w:ascii="Consolas" w:hAnsi="Consolas"/>
          <w:color w:val="6A0DAD"/>
          <w:sz w:val="18"/>
        </w:rPr>
        <w:t>public.listing</w:t>
      </w:r>
      <w:r>
        <w:t xml:space="preserve">, </w:t>
      </w:r>
      <w:r>
        <w:rPr>
          <w:rFonts w:ascii="Consolas" w:hAnsi="Consolas"/>
          <w:color w:val="6A0DAD"/>
          <w:sz w:val="18"/>
        </w:rPr>
        <w:t>real_estate_participant</w:t>
      </w:r>
      <w:r>
        <w:t>, etc.</w:t>
      </w:r>
    </w:p>
    <w:p>
      <w:r>
        <w:t xml:space="preserve">The 47MB metadata file size reflects the large number of tables, each with potentially hundreds of text columns matching the MLS field definitions from </w:t>
      </w:r>
      <w:r>
        <w:rPr>
          <w:rFonts w:ascii="Consolas" w:hAnsi="Consolas"/>
          <w:color w:val="6A0DAD"/>
          <w:sz w:val="18"/>
        </w:rPr>
        <w:t>dev.field_metadata</w:t>
      </w:r>
      <w:r>
        <w:t>.</w:t>
      </w:r>
    </w:p>
    <w:p>
      <w:pPr>
        <w:pStyle w:val="Heading2"/>
      </w:pPr>
      <w:r>
        <w:t>4. Data Model &amp; Relationships</w:t>
      </w:r>
    </w:p>
    <w:p>
      <w:pPr>
        <w:pStyle w:val="Heading3"/>
      </w:pPr>
      <w:r>
        <w:t>4.1 Relationship Map</w:t>
      </w:r>
    </w:p>
    <w:p>
      <w:pPr>
        <w:spacing w:before="120" w:after="120"/>
      </w:pPr>
      <w:r>
        <w:rPr>
          <w:rFonts w:ascii="Consolas" w:hAnsi="Consolas"/>
          <w:color w:val="333333"/>
          <w:sz w:val="15"/>
        </w:rPr>
        <w:t>erDiagram</w:t>
        <w:br/>
        <w:t xml:space="preserve">    dev_source ||--o{ dev_resource_metadata : "source_id"</w:t>
        <w:br/>
        <w:t xml:space="preserve">    dev_source ||--o{ dev_class_metadata : "source_id"</w:t>
        <w:br/>
        <w:t xml:space="preserve">    dev_source ||--o{ dev_field_metadata : "source_id"</w:t>
        <w:br/>
        <w:t xml:space="preserve">    dev_source ||--o{ etl_mappings : "source_id"</w:t>
        <w:br/>
        <w:t xml:space="preserve">    </w:t>
        <w:br/>
        <w:t xml:space="preserve">    listing ||--o{ listing_openhouse : "listing_id"</w:t>
        <w:br/>
        <w:t xml:space="preserve">    listing ||--o{ listing_photo : "listing_id"</w:t>
        <w:br/>
        <w:t xml:space="preserve">    listing ||--o{ listing_participant_rel : "listing_id"</w:t>
        <w:br/>
        <w:t xml:space="preserve">    listing ||--o| listing_property_type_search : "listing_id"</w:t>
        <w:br/>
        <w:t xml:space="preserve">    listing }o--|| listing_category : "listing_category_id"</w:t>
        <w:br/>
        <w:t xml:space="preserve">    listing }o--|| listing_status : "listing_status_id"</w:t>
        <w:br/>
        <w:t xml:space="preserve">    listing }o--|| listing_property_type : "property_type_id"</w:t>
        <w:br/>
        <w:t xml:space="preserve">    listing }o--|| listing_property_sub_type : "property_sub_type_id"</w:t>
        <w:br/>
        <w:t xml:space="preserve">    listing }o--|| mls_board : "mls_board_id"</w:t>
        <w:br/>
        <w:t xml:space="preserve">    listing_participant_rel }o--|| real_estate_participant : "participant_id"</w:t>
      </w:r>
    </w:p>
    <w:p>
      <w:pPr>
        <w:ind w:left="567"/>
      </w:pPr>
      <w:r>
        <w:rPr>
          <w:i/>
          <w:color w:val="555577"/>
          <w:sz w:val="19"/>
        </w:rPr>
        <w:t>All relationships are **convention-based** — no foreign key constraints are defined in the database. Referential integrity is maintained by the ETL pipeline logic.</w:t>
      </w:r>
    </w:p>
    <w:p>
      <w:pPr>
        <w:pStyle w:val="Heading3"/>
      </w:pPr>
      <w:r>
        <w:t>4.2 Cross-Schema Data Flow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Source Schema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Target Schema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  <w:r>
              <w:rPr>
                <w:rFonts w:ascii="Consolas" w:hAnsi="Consolas"/>
                <w:color w:val="6A0DAD"/>
                <w:sz w:val="18"/>
              </w:rPr>
              <w:t xml:space="preserve"> → </w:t>
            </w:r>
            <w:r>
              <w:rPr>
                <w:sz w:val="18"/>
              </w:rPr>
              <w:t>idx_stage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source_id</w:t>
            </w:r>
            <w:r>
              <w:rPr>
                <w:rFonts w:ascii="Consolas" w:hAnsi="Consolas"/>
                <w:color w:val="6A0DAD"/>
                <w:sz w:val="18"/>
              </w:rPr>
              <w:t xml:space="preserve"> and </w:t>
            </w:r>
            <w:r>
              <w:rPr>
                <w:sz w:val="18"/>
              </w:rPr>
              <w:t>resource_name</w:t>
            </w:r>
            <w:r>
              <w:rPr>
                <w:rFonts w:ascii="Consolas" w:hAnsi="Consolas"/>
                <w:color w:val="6A0DAD"/>
                <w:sz w:val="18"/>
              </w:rPr>
              <w:t xml:space="preserve"> determine the </w:t>
            </w:r>
            <w:r>
              <w:rPr>
                <w:sz w:val="18"/>
              </w:rPr>
              <w:t>ps_*` table 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idx_stage</w:t>
            </w:r>
            <w:r>
              <w:rPr>
                <w:rFonts w:ascii="Consolas" w:hAnsi="Consolas"/>
                <w:color w:val="6A0DAD"/>
                <w:sz w:val="18"/>
              </w:rPr>
              <w:t xml:space="preserve"> → </w:t>
            </w:r>
            <w:r>
              <w:rPr>
                <w:sz w:val="18"/>
              </w:rPr>
              <w:t>public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etl.mappings.source_table</w:t>
            </w:r>
            <w:r>
              <w:rPr>
                <w:rFonts w:ascii="Consolas" w:hAnsi="Consolas"/>
                <w:color w:val="6A0DAD"/>
                <w:sz w:val="18"/>
              </w:rPr>
              <w:t xml:space="preserve"> references </w:t>
            </w:r>
            <w:r>
              <w:rPr>
                <w:sz w:val="18"/>
              </w:rPr>
              <w:t>ps_</w:t>
            </w:r>
            <w:r>
              <w:rPr>
                <w:i/>
                <w:sz w:val="18"/>
              </w:rPr>
              <w:t>` tables; transformations produce `public.</w:t>
            </w:r>
            <w:r>
              <w:rPr>
                <w:sz w:val="18"/>
              </w:rPr>
              <w:t>` rows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idx_config</w:t>
            </w:r>
            <w:r>
              <w:rPr>
                <w:rFonts w:ascii="Consolas" w:hAnsi="Consolas"/>
                <w:color w:val="6A0DAD"/>
                <w:sz w:val="18"/>
              </w:rPr>
              <w:t xml:space="preserve"> → </w:t>
            </w:r>
            <w:r>
              <w:rPr>
                <w:sz w:val="18"/>
              </w:rPr>
              <w:t>public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Property type rules applied to `listing_property_type_search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  <w:r>
              <w:rPr>
                <w:rFonts w:ascii="Consolas" w:hAnsi="Consolas"/>
                <w:color w:val="6A0DAD"/>
                <w:sz w:val="18"/>
              </w:rPr>
              <w:t xml:space="preserve"> → </w:t>
            </w:r>
            <w:r>
              <w:rPr>
                <w:sz w:val="18"/>
              </w:rPr>
              <w:t>etl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source_id` links metadata to transformation rules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Technical Deep-Dives</w:t>
      </w:r>
    </w:p>
    <w:p>
      <w:pPr>
        <w:pStyle w:val="Heading3"/>
      </w:pPr>
      <w:r>
        <w:t>5.1 Convention-Based Referential Integrity</w:t>
      </w:r>
    </w:p>
    <w:p>
      <w:r>
        <w:t xml:space="preserve">The database has </w:t>
      </w:r>
      <w:r>
        <w:rPr>
          <w:b/>
        </w:rPr>
        <w:t>zero foreign key constraints</w:t>
      </w:r>
      <w:r>
        <w:t>. This is a deliberate design choice for ETL workloads:</w:t>
      </w:r>
    </w:p>
    <w:p>
      <w:pPr>
        <w:pStyle w:val="ListBullet"/>
      </w:pPr>
      <w:r>
        <w:rPr>
          <w:b/>
        </w:rPr>
        <w:t>Bulk load performance</w:t>
      </w:r>
      <w:r>
        <w:t xml:space="preserve"> — FK checks on every INSERT/UPDATE add significant overhead during batch loading</w:t>
      </w:r>
    </w:p>
    <w:p>
      <w:pPr>
        <w:pStyle w:val="ListBullet"/>
      </w:pPr>
      <w:r>
        <w:rPr>
          <w:b/>
        </w:rPr>
        <w:t>Source ordering</w:t>
      </w:r>
      <w:r>
        <w:t xml:space="preserve"> — MLS data arrives in unpredictable order; FKs would require loading reference data first</w:t>
      </w:r>
    </w:p>
    <w:p>
      <w:pPr>
        <w:pStyle w:val="ListBullet"/>
      </w:pPr>
      <w:r>
        <w:rPr>
          <w:b/>
        </w:rPr>
        <w:t>Flexibility</w:t>
      </w:r>
      <w:r>
        <w:t xml:space="preserve"> — Sources may reference statuses or property types not yet in the reference tables</w:t>
      </w:r>
    </w:p>
    <w:p>
      <w:r>
        <w:t>The trade-off is that data integrity depends entirely on the ETL pipeline logic. Orphaned references are possible if the pipeline has bugs or if reference data is deleted without cascading.</w:t>
      </w:r>
    </w:p>
    <w:p>
      <w:pPr>
        <w:pStyle w:val="Heading3"/>
      </w:pPr>
      <w:r>
        <w:t>5.2 Missing Primary Keys</w:t>
      </w:r>
    </w:p>
    <w:p>
      <w:r>
        <w:t>Five tables lack primary key constraints: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Logical Key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source_id</w:t>
            </w:r>
            <w:r>
              <w:rPr>
                <w:rFonts w:ascii="Consolas" w:hAnsi="Consolas"/>
                <w:color w:val="6A0DAD"/>
                <w:sz w:val="18"/>
              </w:rPr>
              <w:t xml:space="preserve"> + </w:t>
            </w:r>
            <w:r>
              <w:rPr>
                <w:sz w:val="18"/>
              </w:rPr>
              <w:t>source_listing_id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listings possible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listing_status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id` (nullable)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No uniqueness guarantee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listing_openhouse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id` (has sequence)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No uniqueness guarantee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listing_photo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id` (exists, not constrained)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No uniqueness guarantee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mls_board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id` (nullable)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No uniqueness guarantee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6A0DAD"/>
          <w:sz w:val="18"/>
        </w:rPr>
        <w:t>listing</w:t>
      </w:r>
      <w:r>
        <w:t xml:space="preserve"> table is the most significant case — it has 25 indexes but no PK. The composite index on </w:t>
      </w:r>
      <w:r>
        <w:rPr>
          <w:rFonts w:ascii="Consolas" w:hAnsi="Consolas"/>
          <w:color w:val="6A0DAD"/>
          <w:sz w:val="18"/>
        </w:rPr>
        <w:t>(source_id, source_listing_id)</w:t>
      </w:r>
      <w:r>
        <w:t xml:space="preserve"> serves as the logical key but is not unique.</w:t>
      </w:r>
    </w:p>
    <w:p>
      <w:pPr>
        <w:pStyle w:val="Heading3"/>
      </w:pPr>
      <w:r>
        <w:t>5.3 Dual Timestamp Pattern</w:t>
      </w:r>
    </w:p>
    <w:p>
      <w:r>
        <w:t>Tables consistently implement two pairs of timestamps:</w:t>
      </w:r>
    </w:p>
    <w:p>
      <w:pPr>
        <w:pStyle w:val="ListBullet"/>
      </w:pPr>
      <w:r>
        <w:rPr>
          <w:rFonts w:ascii="Consolas" w:hAnsi="Consolas"/>
          <w:color w:val="6A0DAD"/>
          <w:sz w:val="18"/>
        </w:rPr>
        <w:t>source_creation_date</w:t>
      </w:r>
      <w:r>
        <w:t xml:space="preserve"> / </w:t>
      </w:r>
      <w:r>
        <w:rPr>
          <w:rFonts w:ascii="Consolas" w:hAnsi="Consolas"/>
          <w:color w:val="6A0DAD"/>
          <w:sz w:val="18"/>
        </w:rPr>
        <w:t>source_last_update_date</w:t>
      </w:r>
      <w:r>
        <w:t xml:space="preserve"> — timestamps from the MLS source</w:t>
      </w:r>
    </w:p>
    <w:p>
      <w:pPr>
        <w:pStyle w:val="ListBullet"/>
      </w:pPr>
      <w:r>
        <w:rPr>
          <w:rFonts w:ascii="Consolas" w:hAnsi="Consolas"/>
          <w:color w:val="6A0DAD"/>
          <w:sz w:val="18"/>
        </w:rPr>
        <w:t>y_creation_date</w:t>
      </w:r>
      <w:r>
        <w:t xml:space="preserve"> / </w:t>
      </w:r>
      <w:r>
        <w:rPr>
          <w:rFonts w:ascii="Consolas" w:hAnsi="Consolas"/>
          <w:color w:val="6A0DAD"/>
          <w:sz w:val="18"/>
        </w:rPr>
        <w:t>y_last_update_date</w:t>
      </w:r>
      <w:r>
        <w:t xml:space="preserve"> — internal timestamps set by the Ylopo ETL</w:t>
      </w:r>
    </w:p>
    <w:p>
      <w:r>
        <w:t>This separation is critical for:</w:t>
      </w:r>
    </w:p>
    <w:p>
      <w:pPr>
        <w:pStyle w:val="ListBullet"/>
      </w:pPr>
      <w:r>
        <w:rPr>
          <w:b/>
        </w:rPr>
        <w:t>Incremental sync</w:t>
      </w:r>
      <w:r>
        <w:t xml:space="preserve"> — </w:t>
      </w:r>
      <w:r>
        <w:rPr>
          <w:rFonts w:ascii="Consolas" w:hAnsi="Consolas"/>
          <w:color w:val="6A0DAD"/>
          <w:sz w:val="18"/>
        </w:rPr>
        <w:t>source_last_update_date</w:t>
      </w:r>
      <w:r>
        <w:t xml:space="preserve"> drives what data to pull from the MLS</w:t>
      </w:r>
    </w:p>
    <w:p>
      <w:pPr>
        <w:pStyle w:val="ListBullet"/>
      </w:pPr>
      <w:r>
        <w:rPr>
          <w:b/>
        </w:rPr>
        <w:t>Audit trail</w:t>
      </w:r>
      <w:r>
        <w:t xml:space="preserve"> — </w:t>
      </w:r>
      <w:r>
        <w:rPr>
          <w:rFonts w:ascii="Consolas" w:hAnsi="Consolas"/>
          <w:color w:val="6A0DAD"/>
          <w:sz w:val="18"/>
        </w:rPr>
        <w:t>y_*</w:t>
      </w:r>
      <w:r>
        <w:t xml:space="preserve"> timestamps show when the system processed the data</w:t>
      </w:r>
    </w:p>
    <w:p>
      <w:pPr>
        <w:pStyle w:val="ListBullet"/>
      </w:pPr>
      <w:r>
        <w:rPr>
          <w:b/>
        </w:rPr>
        <w:t>Conflict resolution</w:t>
      </w:r>
      <w:r>
        <w:t xml:space="preserve"> — comparing source vs. internal timestamps reveals processing delays</w:t>
      </w:r>
    </w:p>
    <w:p>
      <w:pPr>
        <w:pStyle w:val="Heading3"/>
      </w:pPr>
      <w:r>
        <w:t>5.4 IDX Compliance Model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listing</w:t>
      </w:r>
      <w:r>
        <w:t xml:space="preserve"> table implements IDX (Internet Data Exchange) display rules through:</w:t>
      </w:r>
    </w:p>
    <w:p>
      <w:pPr>
        <w:pStyle w:val="ListBullet"/>
      </w:pPr>
      <w:r>
        <w:rPr>
          <w:b/>
        </w:rPr>
        <w:t>Disclosure flags:</w:t>
      </w:r>
      <w:r>
        <w:t xml:space="preserve"> </w:t>
      </w:r>
      <w:r>
        <w:rPr>
          <w:rFonts w:ascii="Consolas" w:hAnsi="Consolas"/>
          <w:color w:val="6A0DAD"/>
          <w:sz w:val="18"/>
        </w:rPr>
        <w:t>disclose_address</w:t>
      </w:r>
      <w:r>
        <w:t xml:space="preserve">, </w:t>
      </w:r>
      <w:r>
        <w:rPr>
          <w:rFonts w:ascii="Consolas" w:hAnsi="Consolas"/>
          <w:color w:val="6A0DAD"/>
          <w:sz w:val="18"/>
        </w:rPr>
        <w:t>disclose_map</w:t>
      </w:r>
      <w:r>
        <w:t xml:space="preserve">, </w:t>
      </w:r>
      <w:r>
        <w:rPr>
          <w:rFonts w:ascii="Consolas" w:hAnsi="Consolas"/>
          <w:color w:val="6A0DAD"/>
          <w:sz w:val="18"/>
        </w:rPr>
        <w:t>disclose_price</w:t>
      </w:r>
      <w:r>
        <w:t xml:space="preserve">, </w:t>
      </w:r>
      <w:r>
        <w:rPr>
          <w:rFonts w:ascii="Consolas" w:hAnsi="Consolas"/>
          <w:color w:val="6A0DAD"/>
          <w:sz w:val="18"/>
        </w:rPr>
        <w:t>disclose_days_on_market</w:t>
      </w:r>
    </w:p>
    <w:p>
      <w:pPr>
        <w:pStyle w:val="ListBullet"/>
      </w:pPr>
      <w:r>
        <w:rPr>
          <w:b/>
        </w:rPr>
        <w:t>Security classes:</w:t>
      </w:r>
      <w:r>
        <w:t xml:space="preserve"> </w:t>
      </w:r>
      <w:r>
        <w:rPr>
          <w:rFonts w:ascii="Consolas" w:hAnsi="Consolas"/>
          <w:color w:val="6A0DAD"/>
          <w:sz w:val="18"/>
        </w:rPr>
        <w:t>*_isgsecurityclass</w:t>
      </w:r>
      <w:r>
        <w:t xml:space="preserve"> columns that tag sensitive fields with IDX security levels</w:t>
      </w:r>
    </w:p>
    <w:p>
      <w:pPr>
        <w:pStyle w:val="ListBullet"/>
      </w:pPr>
      <w:r>
        <w:rPr>
          <w:b/>
        </w:rPr>
        <w:t>Contact info:</w:t>
      </w:r>
      <w:r>
        <w:t xml:space="preserve"> </w:t>
      </w:r>
      <w:r>
        <w:rPr>
          <w:rFonts w:ascii="Consolas" w:hAnsi="Consolas"/>
          <w:color w:val="6A0DAD"/>
          <w:sz w:val="18"/>
        </w:rPr>
        <w:t>idx_contact_info</w:t>
      </w:r>
      <w:r>
        <w:t xml:space="preserve"> and </w:t>
      </w:r>
      <w:r>
        <w:rPr>
          <w:rFonts w:ascii="Consolas" w:hAnsi="Consolas"/>
          <w:color w:val="6A0DAD"/>
          <w:sz w:val="18"/>
        </w:rPr>
        <w:t>idx_contact_info_office</w:t>
      </w:r>
      <w:r>
        <w:t xml:space="preserve"> for required attribution</w:t>
      </w:r>
    </w:p>
    <w:p>
      <w:r>
        <w:t>These columns enforce MLS-mandated rules about what listing data can be displayed publicly.</w:t>
      </w:r>
    </w:p>
    <w:p>
      <w:pPr>
        <w:pStyle w:val="Heading3"/>
      </w:pPr>
      <w:r>
        <w:t>5.5 Full-Text Search</w:t>
      </w:r>
    </w:p>
    <w:p>
      <w:r>
        <w:t>Two tables use PostgreSQL GIN indexes for full-text search:</w:t>
      </w:r>
    </w:p>
    <w:p>
      <w:pPr>
        <w:pStyle w:val="ListBullet"/>
      </w:pPr>
      <w:r>
        <w:rPr>
          <w:rFonts w:ascii="Consolas" w:hAnsi="Consolas"/>
          <w:color w:val="6A0DAD"/>
          <w:sz w:val="18"/>
        </w:rPr>
        <w:t>real_estate_participant</w:t>
      </w:r>
      <w:r>
        <w:t xml:space="preserve"> — GIN on </w:t>
      </w:r>
      <w:r>
        <w:rPr>
          <w:rFonts w:ascii="Consolas" w:hAnsi="Consolas"/>
          <w:color w:val="6A0DAD"/>
          <w:sz w:val="18"/>
        </w:rPr>
        <w:t>to_tsvector('simple', first_name || ' ' || last_name)</w:t>
      </w:r>
    </w:p>
    <w:p>
      <w:pPr>
        <w:pStyle w:val="ListBullet"/>
      </w:pPr>
      <w:r>
        <w:rPr>
          <w:rFonts w:ascii="Consolas" w:hAnsi="Consolas"/>
          <w:color w:val="6A0DAD"/>
          <w:sz w:val="18"/>
        </w:rPr>
        <w:t>real_estate_office</w:t>
      </w:r>
      <w:r>
        <w:t xml:space="preserve"> — GIN on </w:t>
      </w:r>
      <w:r>
        <w:rPr>
          <w:rFonts w:ascii="Consolas" w:hAnsi="Consolas"/>
          <w:color w:val="6A0DAD"/>
          <w:sz w:val="18"/>
        </w:rPr>
        <w:t>to_tsvector('simple', office_name)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'simple'</w:t>
      </w:r>
      <w:r>
        <w:t xml:space="preserve"> text search configuration provides accent-insensitive, stemming-free matching suitable for proper names.</w:t>
      </w:r>
    </w:p>
    <w:p>
      <w:pPr>
        <w:pStyle w:val="Heading2"/>
      </w:pPr>
      <w:r>
        <w:t>6. Operational Considerations</w:t>
      </w:r>
    </w:p>
    <w:p>
      <w:pPr>
        <w:pStyle w:val="Heading3"/>
      </w:pPr>
      <w:r>
        <w:t>6.1 Scale Indicators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Estimated Rows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Growth Driver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stage_field_metadata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6,013,635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New MLS sources + field discovery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field_metadata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3,774,159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Promoted field definitions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real_estate_participant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2,941,961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records across all sources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real_estate_office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1,145,602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Office records across all sources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355,283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mapping definitions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stage_class_metadata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65,080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discovery staging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class_metadata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18,854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Promoted class definitions</w:t>
            </w:r>
          </w:p>
        </w:tc>
      </w:tr>
    </w:tbl>
    <w:p/>
    <w:p>
      <w:pPr>
        <w:pStyle w:val="Heading3"/>
      </w:pPr>
      <w:r>
        <w:t>6.2 Index Strategy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public.listing</w:t>
      </w:r>
      <w:r>
        <w:t xml:space="preserve"> table has </w:t>
      </w:r>
      <w:r>
        <w:rPr>
          <w:b/>
        </w:rPr>
        <w:t>25 indexes</w:t>
      </w:r>
      <w:r>
        <w:t xml:space="preserve"> covering search, temporal, and lookup patterns. Key index categories:</w:t>
      </w:r>
    </w:p>
    <w:p>
      <w:pPr>
        <w:pStyle w:val="ListBullet"/>
      </w:pPr>
      <w:r>
        <w:rPr>
          <w:b/>
        </w:rPr>
        <w:t>Search filters:</w:t>
      </w:r>
      <w:r>
        <w:t xml:space="preserve"> price, bedrooms, bathrooms, living_area_sq_ft, year_built, lot_size</w:t>
      </w:r>
    </w:p>
    <w:p>
      <w:pPr>
        <w:pStyle w:val="ListBullet"/>
      </w:pPr>
      <w:r>
        <w:rPr>
          <w:b/>
        </w:rPr>
        <w:t>Lookup keys:</w:t>
      </w:r>
      <w:r>
        <w:t xml:space="preserve"> source_id, source_listing_id, mls_number, property_type_id</w:t>
      </w:r>
    </w:p>
    <w:p>
      <w:pPr>
        <w:pStyle w:val="ListBullet"/>
      </w:pPr>
      <w:r>
        <w:rPr>
          <w:b/>
        </w:rPr>
        <w:t>Temporal:</w:t>
      </w:r>
      <w:r>
        <w:t xml:space="preserve"> modification_timestamp, source_creation_date, source_last_update_date</w:t>
      </w:r>
    </w:p>
    <w:p>
      <w:pPr>
        <w:pStyle w:val="ListBullet"/>
      </w:pPr>
      <w:r>
        <w:rPr>
          <w:b/>
        </w:rPr>
        <w:t>Special:</w:t>
      </w:r>
      <w:r>
        <w:t xml:space="preserve"> </w:t>
      </w:r>
      <w:r>
        <w:rPr>
          <w:rFonts w:ascii="Consolas" w:hAnsi="Consolas"/>
          <w:color w:val="6A0DAD"/>
          <w:sz w:val="18"/>
        </w:rPr>
        <w:t>listing_p_mls_number_upper_idx</w:t>
      </w:r>
      <w:r>
        <w:t xml:space="preserve"> (expression index for case-insensitive MLS# lookup)</w:t>
      </w:r>
    </w:p>
    <w:p>
      <w:pPr>
        <w:pStyle w:val="Heading3"/>
      </w:pPr>
      <w:r>
        <w:t>6.3 Monitoring</w:t>
      </w:r>
    </w:p>
    <w:p>
      <w:r>
        <w:t xml:space="preserve">The </w:t>
      </w:r>
      <w:r>
        <w:rPr>
          <w:rFonts w:ascii="Consolas" w:hAnsi="Consolas"/>
          <w:color w:val="6A0DAD"/>
          <w:sz w:val="18"/>
        </w:rPr>
        <w:t>etl.slack_alerts</w:t>
      </w:r>
      <w:r>
        <w:t xml:space="preserve"> table provides SQL-based operational monitoring:</w:t>
      </w:r>
    </w:p>
    <w:p>
      <w:pPr>
        <w:pStyle w:val="ListBullet"/>
      </w:pPr>
      <w:r>
        <w:t>Each alert defines a SQL query that evaluates a condition</w:t>
      </w:r>
    </w:p>
    <w:p>
      <w:pPr>
        <w:pStyle w:val="ListBullet"/>
      </w:pPr>
      <w:r>
        <w:t xml:space="preserve">A </w:t>
      </w:r>
      <w:r>
        <w:rPr>
          <w:rFonts w:ascii="Consolas" w:hAnsi="Consolas"/>
          <w:color w:val="6A0DAD"/>
          <w:sz w:val="18"/>
        </w:rPr>
        <w:t>threshold_runs</w:t>
      </w:r>
      <w:r>
        <w:t xml:space="preserve"> setting (default: 4) prevents alert fatigue</w:t>
      </w:r>
    </w:p>
    <w:p>
      <w:pPr>
        <w:pStyle w:val="ListBullet"/>
      </w:pPr>
      <w:r>
        <w:t>Alerts post to configured Slack channels</w:t>
      </w:r>
    </w:p>
    <w:p>
      <w:pPr>
        <w:pStyle w:val="Heading3"/>
      </w:pPr>
      <w:r>
        <w:t>6.4 Orphaned Sequences</w:t>
      </w:r>
    </w:p>
    <w:p>
      <w:r>
        <w:t>Three public-schema sequences have no table ownership: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Last Value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Likely Origin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listing_attribute_cus_id_seq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2,297,384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Dropped </w:t>
            </w:r>
            <w:r>
              <w:rPr>
                <w:rFonts w:ascii="Consolas" w:hAnsi="Consolas"/>
                <w:color w:val="6A0DAD"/>
                <w:sz w:val="18"/>
              </w:rPr>
              <w:t>listing_attribute_cus</w:t>
            </w:r>
            <w:r>
              <w:rPr>
                <w:sz w:val="18"/>
              </w:rPr>
              <w:t xml:space="preserve"> table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listing_attribute_id_seq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1,959,907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Dropped </w:t>
            </w:r>
            <w:r>
              <w:rPr>
                <w:rFonts w:ascii="Consolas" w:hAnsi="Consolas"/>
                <w:color w:val="6A0DAD"/>
                <w:sz w:val="18"/>
              </w:rPr>
              <w:t>listing_attribute</w:t>
            </w:r>
            <w:r>
              <w:rPr>
                <w:sz w:val="18"/>
              </w:rPr>
              <w:t xml:space="preserve"> table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listing_participant_rel_id_seq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115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Dropped/recreated rel table</w:t>
            </w:r>
          </w:p>
        </w:tc>
      </w:tr>
    </w:tbl>
    <w:p/>
    <w:p>
      <w:r>
        <w:t>These suggest tables that were removed during schema evolution but whose sequences were not cleaned up.</w:t>
      </w:r>
    </w:p>
    <w:p>
      <w:pPr>
        <w:pStyle w:val="Heading2"/>
      </w:pPr>
      <w:r>
        <w:t>7. Security Considerations</w:t>
      </w:r>
    </w:p>
    <w:p>
      <w:pPr>
        <w:pStyle w:val="ListBullet"/>
      </w:pPr>
      <w:r>
        <w:rPr>
          <w:b/>
        </w:rPr>
        <w:t>Credentials in database:</w:t>
      </w:r>
      <w:r>
        <w:t xml:space="preserve"> </w:t>
      </w:r>
      <w:r>
        <w:rPr>
          <w:rFonts w:ascii="Consolas" w:hAnsi="Consolas"/>
          <w:color w:val="6A0DAD"/>
          <w:sz w:val="18"/>
        </w:rPr>
        <w:t>dev.to_do</w:t>
      </w:r>
      <w:r>
        <w:t xml:space="preserve"> stores MLS login URLs, usernames, and passwords in plain text. These should be migrated to a secrets manager.</w:t>
      </w:r>
    </w:p>
    <w:p>
      <w:pPr>
        <w:pStyle w:val="ListBullet"/>
      </w:pPr>
      <w:r>
        <w:rPr>
          <w:b/>
        </w:rPr>
        <w:t>No row-level security:</w:t>
      </w:r>
      <w:r>
        <w:t xml:space="preserve"> All data is accessible to any database user with schema access.</w:t>
      </w:r>
    </w:p>
    <w:p>
      <w:pPr>
        <w:pStyle w:val="ListBullet"/>
      </w:pPr>
      <w:r>
        <w:rPr>
          <w:b/>
        </w:rPr>
        <w:t>No encryption at column level:</w:t>
      </w:r>
      <w:r>
        <w:t xml:space="preserve"> PII (agent emails, phone numbers, names) is stored in plain text.</w:t>
      </w:r>
    </w:p>
    <w:p>
      <w:pPr>
        <w:pStyle w:val="ListBullet"/>
      </w:pPr>
      <w:r>
        <w:rPr>
          <w:b/>
        </w:rPr>
        <w:t>IDX compliance fields</w:t>
      </w:r>
      <w:r>
        <w:t xml:space="preserve"> are present but enforcement depends on application-layer logic.</w:t>
      </w:r>
    </w:p>
    <w:p>
      <w:pPr>
        <w:pStyle w:val="Heading2"/>
      </w:pPr>
      <w:r>
        <w:t>8. Comparison with HomelistingDB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MLS Database</w:t>
            </w:r>
          </w:p>
        </w:tc>
        <w:tc>
          <w:tcPr>
            <w:tcW w:type="dxa" w:w="3024"/>
            <w:shd w:fill="1a1a2e"/>
          </w:tcPr>
          <w:p>
            <w:r>
              <w:rPr>
                <w:b/>
                <w:color w:val="FFFFFF"/>
                <w:sz w:val="18"/>
              </w:rPr>
              <w:t>HomelistingDB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Purpose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ETL pipeline &amp; data ingestion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Downstream serving &amp; search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 (public, idx_config)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Tables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36 + hundreds (idx_stage)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165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FK Constraints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Table Comments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 Table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67 columns, no PK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1,596 columns (wide), partitioned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Records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~2.9M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Architecture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Multi-stage ETL pipeline</w:t>
            </w:r>
          </w:p>
        </w:tc>
        <w:tc>
          <w:tcPr>
            <w:tcW w:type="dxa" w:w="3024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Normalized + denormalized for search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Self-describing (dev schema)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</w:r>
            <w:r>
              <w:rPr>
                <w:sz w:val="18"/>
              </w:rPr>
              <w:t>Not self-describing</w:t>
            </w:r>
          </w:p>
        </w:tc>
      </w:tr>
    </w:tbl>
    <w:p/>
    <w:p>
      <w:r>
        <w:t xml:space="preserve">The MLS database feeds data </w:t>
      </w:r>
      <w:r>
        <w:rPr>
          <w:b/>
        </w:rPr>
        <w:t>upstream</w:t>
      </w:r>
      <w:r>
        <w:t xml:space="preserve"> into HomelistingDB — it is the ingestion and transformation layer, while HomelistingDB is the serving layer.</w:t>
      </w:r>
    </w:p>
    <w:p>
      <w:pPr>
        <w:pStyle w:val="Heading2"/>
      </w:pPr>
      <w:r>
        <w:t>9. Known Issues &amp; Recommendations</w:t>
      </w:r>
    </w:p>
    <w:p>
      <w:pPr>
        <w:pStyle w:val="Heading3"/>
      </w:pPr>
      <w:r>
        <w:t>Issues</w:t>
      </w:r>
    </w:p>
    <w:p>
      <w:r>
        <w:t xml:space="preserve">1. </w:t>
      </w:r>
      <w:r>
        <w:rPr>
          <w:b/>
        </w:rPr>
        <w:t>Zero foreign key constraints</w:t>
      </w:r>
      <w:r>
        <w:t xml:space="preserve"> — All referential integrity is convention-based</w:t>
      </w:r>
    </w:p>
    <w:p>
      <w:r>
        <w:t xml:space="preserve">2. </w:t>
      </w:r>
      <w:r>
        <w:rPr>
          <w:b/>
        </w:rPr>
        <w:t>Five tables without primary keys</w:t>
      </w:r>
      <w:r>
        <w:t xml:space="preserve"> — Including the central </w:t>
      </w:r>
      <w:r>
        <w:rPr>
          <w:rFonts w:ascii="Consolas" w:hAnsi="Consolas"/>
          <w:color w:val="6A0DAD"/>
          <w:sz w:val="18"/>
        </w:rPr>
        <w:t>listing</w:t>
      </w:r>
      <w:r>
        <w:t xml:space="preserve"> table</w:t>
      </w:r>
    </w:p>
    <w:p>
      <w:r>
        <w:t xml:space="preserve">3. </w:t>
      </w:r>
      <w:r>
        <w:rPr>
          <w:b/>
        </w:rPr>
        <w:t>Credentials stored in plain text</w:t>
      </w:r>
      <w:r>
        <w:t xml:space="preserve"> — </w:t>
      </w:r>
      <w:r>
        <w:rPr>
          <w:rFonts w:ascii="Consolas" w:hAnsi="Consolas"/>
          <w:color w:val="6A0DAD"/>
          <w:sz w:val="18"/>
        </w:rPr>
        <w:t>dev.to_do</w:t>
      </w:r>
      <w:r>
        <w:t xml:space="preserve"> has username/password columns</w:t>
      </w:r>
    </w:p>
    <w:p>
      <w:r>
        <w:t xml:space="preserve">4. </w:t>
      </w:r>
      <w:r>
        <w:rPr>
          <w:b/>
        </w:rPr>
        <w:t>Column name typo</w:t>
      </w:r>
      <w:r>
        <w:t xml:space="preserve"> — </w:t>
      </w:r>
      <w:r>
        <w:rPr>
          <w:rFonts w:ascii="Consolas" w:hAnsi="Consolas"/>
          <w:color w:val="6A0DAD"/>
          <w:sz w:val="18"/>
        </w:rPr>
        <w:t>etl.slack_alerts.slack_channal</w:t>
      </w:r>
      <w:r>
        <w:t xml:space="preserve"> should be </w:t>
      </w:r>
      <w:r>
        <w:rPr>
          <w:rFonts w:ascii="Consolas" w:hAnsi="Consolas"/>
          <w:color w:val="6A0DAD"/>
          <w:sz w:val="18"/>
        </w:rPr>
        <w:t>slack_channel</w:t>
      </w:r>
    </w:p>
    <w:p>
      <w:r>
        <w:t xml:space="preserve">5. </w:t>
      </w:r>
      <w:r>
        <w:rPr>
          <w:b/>
        </w:rPr>
        <w:t>Orphaned sequences</w:t>
      </w:r>
      <w:r>
        <w:t xml:space="preserve"> — 3 sequences in public schema have no owning table</w:t>
      </w:r>
    </w:p>
    <w:p>
      <w:r>
        <w:t xml:space="preserve">6. </w:t>
      </w:r>
      <w:r>
        <w:rPr>
          <w:b/>
        </w:rPr>
        <w:t>No table or column comments</w:t>
      </w:r>
      <w:r>
        <w:t xml:space="preserve"> — Zero </w:t>
      </w:r>
      <w:r>
        <w:rPr>
          <w:rFonts w:ascii="Consolas" w:hAnsi="Consolas"/>
          <w:color w:val="6A0DAD"/>
          <w:sz w:val="18"/>
        </w:rPr>
        <w:t>pg_description</w:t>
      </w:r>
      <w:r>
        <w:t xml:space="preserve"> entries across the entire database</w:t>
      </w:r>
    </w:p>
    <w:p>
      <w:r>
        <w:t xml:space="preserve">7. </w:t>
      </w:r>
      <w:r>
        <w:rPr>
          <w:b/>
        </w:rPr>
        <w:t>Backup tables without constraints</w:t>
      </w:r>
      <w:r>
        <w:t xml:space="preserve"> — </w:t>
      </w:r>
      <w:r>
        <w:rPr>
          <w:rFonts w:ascii="Consolas" w:hAnsi="Consolas"/>
          <w:color w:val="6A0DAD"/>
          <w:sz w:val="18"/>
        </w:rPr>
        <w:t>mappings_backup*</w:t>
      </w:r>
      <w:r>
        <w:t xml:space="preserve"> tables have no PKs or indexes</w:t>
      </w:r>
    </w:p>
    <w:p>
      <w:pPr>
        <w:pStyle w:val="Heading3"/>
      </w:pPr>
      <w:r>
        <w:t>Recommendations</w:t>
      </w:r>
    </w:p>
    <w:p>
      <w:r>
        <w:t xml:space="preserve">1. </w:t>
      </w:r>
      <w:r>
        <w:rPr>
          <w:b/>
        </w:rPr>
        <w:t>Add primary keys</w:t>
      </w:r>
      <w:r>
        <w:t xml:space="preserve"> to </w:t>
      </w:r>
      <w:r>
        <w:rPr>
          <w:rFonts w:ascii="Consolas" w:hAnsi="Consolas"/>
          <w:color w:val="6A0DAD"/>
          <w:sz w:val="18"/>
        </w:rPr>
        <w:t>listing</w:t>
      </w:r>
      <w:r>
        <w:t xml:space="preserve"> (composite on </w:t>
      </w:r>
      <w:r>
        <w:rPr>
          <w:rFonts w:ascii="Consolas" w:hAnsi="Consolas"/>
          <w:color w:val="6A0DAD"/>
          <w:sz w:val="18"/>
        </w:rPr>
        <w:t>source_id, source_listing_id</w:t>
      </w:r>
      <w:r>
        <w:t xml:space="preserve">), </w:t>
      </w:r>
      <w:r>
        <w:rPr>
          <w:rFonts w:ascii="Consolas" w:hAnsi="Consolas"/>
          <w:color w:val="6A0DAD"/>
          <w:sz w:val="18"/>
        </w:rPr>
        <w:t>listing_status</w:t>
      </w:r>
      <w:r>
        <w:t xml:space="preserve">, </w:t>
      </w:r>
      <w:r>
        <w:rPr>
          <w:rFonts w:ascii="Consolas" w:hAnsi="Consolas"/>
          <w:color w:val="6A0DAD"/>
          <w:sz w:val="18"/>
        </w:rPr>
        <w:t>listing_openhouse</w:t>
      </w:r>
      <w:r>
        <w:t xml:space="preserve">, </w:t>
      </w:r>
      <w:r>
        <w:rPr>
          <w:rFonts w:ascii="Consolas" w:hAnsi="Consolas"/>
          <w:color w:val="6A0DAD"/>
          <w:sz w:val="18"/>
        </w:rPr>
        <w:t>listing_photo</w:t>
      </w:r>
      <w:r>
        <w:t xml:space="preserve">, and </w:t>
      </w:r>
      <w:r>
        <w:rPr>
          <w:rFonts w:ascii="Consolas" w:hAnsi="Consolas"/>
          <w:color w:val="6A0DAD"/>
          <w:sz w:val="18"/>
        </w:rPr>
        <w:t>mls_board</w:t>
      </w:r>
    </w:p>
    <w:p>
      <w:r>
        <w:t xml:space="preserve">2. </w:t>
      </w:r>
      <w:r>
        <w:rPr>
          <w:b/>
        </w:rPr>
        <w:t>Migrate credentials</w:t>
      </w:r>
      <w:r>
        <w:t xml:space="preserve"> from </w:t>
      </w:r>
      <w:r>
        <w:rPr>
          <w:rFonts w:ascii="Consolas" w:hAnsi="Consolas"/>
          <w:color w:val="6A0DAD"/>
          <w:sz w:val="18"/>
        </w:rPr>
        <w:t>dev.to_do</w:t>
      </w:r>
      <w:r>
        <w:t xml:space="preserve"> to AWS Secrets Manager or Parameter Store</w:t>
      </w:r>
    </w:p>
    <w:p>
      <w:r>
        <w:t xml:space="preserve">3. </w:t>
      </w:r>
      <w:r>
        <w:rPr>
          <w:b/>
        </w:rPr>
        <w:t>Add table comments</w:t>
      </w:r>
      <w:r>
        <w:t xml:space="preserve"> via </w:t>
      </w:r>
      <w:r>
        <w:rPr>
          <w:rFonts w:ascii="Consolas" w:hAnsi="Consolas"/>
          <w:color w:val="6A0DAD"/>
          <w:sz w:val="18"/>
        </w:rPr>
        <w:t>COMMENT ON TABLE</w:t>
      </w:r>
      <w:r>
        <w:t xml:space="preserve"> to improve discoverability</w:t>
      </w:r>
    </w:p>
    <w:p>
      <w:r>
        <w:t xml:space="preserve">4. </w:t>
      </w:r>
      <w:r>
        <w:rPr>
          <w:b/>
        </w:rPr>
        <w:t>Fix the typo</w:t>
      </w:r>
      <w:r>
        <w:t xml:space="preserve"> — rename </w:t>
      </w:r>
      <w:r>
        <w:rPr>
          <w:rFonts w:ascii="Consolas" w:hAnsi="Consolas"/>
          <w:color w:val="6A0DAD"/>
          <w:sz w:val="18"/>
        </w:rPr>
        <w:t>slack_channal</w:t>
      </w:r>
      <w:r>
        <w:t xml:space="preserve"> to </w:t>
      </w:r>
      <w:r>
        <w:rPr>
          <w:rFonts w:ascii="Consolas" w:hAnsi="Consolas"/>
          <w:color w:val="6A0DAD"/>
          <w:sz w:val="18"/>
        </w:rPr>
        <w:t>slack_channel</w:t>
      </w:r>
    </w:p>
    <w:p>
      <w:r>
        <w:t xml:space="preserve">5. </w:t>
      </w:r>
      <w:r>
        <w:rPr>
          <w:b/>
        </w:rPr>
        <w:t>Clean up orphaned sequences</w:t>
      </w:r>
      <w:r>
        <w:t xml:space="preserve"> — drop </w:t>
      </w:r>
      <w:r>
        <w:rPr>
          <w:rFonts w:ascii="Consolas" w:hAnsi="Consolas"/>
          <w:color w:val="6A0DAD"/>
          <w:sz w:val="18"/>
        </w:rPr>
        <w:t>listing_attribute_*_seq</w:t>
      </w:r>
      <w:r>
        <w:t xml:space="preserve"> and </w:t>
      </w:r>
      <w:r>
        <w:rPr>
          <w:rFonts w:ascii="Consolas" w:hAnsi="Consolas"/>
          <w:color w:val="6A0DAD"/>
          <w:sz w:val="18"/>
        </w:rPr>
        <w:t>listing_participant_rel_id_seq</w:t>
      </w:r>
    </w:p>
    <w:p>
      <w:r>
        <w:t xml:space="preserve">6. </w:t>
      </w:r>
      <w:r>
        <w:rPr>
          <w:b/>
        </w:rPr>
        <w:t>Add indexes</w:t>
      </w:r>
      <w:r>
        <w:t xml:space="preserve"> to </w:t>
      </w:r>
      <w:r>
        <w:rPr>
          <w:rFonts w:ascii="Consolas" w:hAnsi="Consolas"/>
          <w:color w:val="6A0DAD"/>
          <w:sz w:val="18"/>
        </w:rPr>
        <w:t>dev.field_metadata</w:t>
      </w:r>
      <w:r>
        <w:t xml:space="preserve"> on </w:t>
      </w:r>
      <w:r>
        <w:rPr>
          <w:rFonts w:ascii="Consolas" w:hAnsi="Consolas"/>
          <w:color w:val="6A0DAD"/>
          <w:sz w:val="18"/>
        </w:rPr>
        <w:t>(source_id, resource_name, class_name)</w:t>
      </w:r>
      <w:r>
        <w:t xml:space="preserve"> for metadata lookups</w:t>
      </w:r>
    </w:p>
    <w:p>
      <w:r>
        <w:t xml:space="preserve">7. </w:t>
      </w:r>
      <w:r>
        <w:rPr>
          <w:b/>
        </w:rPr>
        <w:t>Consider FK constraints</w:t>
      </w:r>
      <w:r>
        <w:t xml:space="preserve"> on reference tables (</w:t>
      </w:r>
      <w:r>
        <w:rPr>
          <w:rFonts w:ascii="Consolas" w:hAnsi="Consolas"/>
          <w:color w:val="6A0DAD"/>
          <w:sz w:val="18"/>
        </w:rPr>
        <w:t>listing_category</w:t>
      </w:r>
      <w:r>
        <w:t xml:space="preserve">, </w:t>
      </w:r>
      <w:r>
        <w:rPr>
          <w:rFonts w:ascii="Consolas" w:hAnsi="Consolas"/>
          <w:color w:val="6A0DAD"/>
          <w:sz w:val="18"/>
        </w:rPr>
        <w:t>listing_property_type</w:t>
      </w:r>
      <w:r>
        <w:t xml:space="preserve">, etc.) with </w:t>
      </w:r>
      <w:r>
        <w:rPr>
          <w:rFonts w:ascii="Consolas" w:hAnsi="Consolas"/>
          <w:color w:val="6A0DAD"/>
          <w:sz w:val="18"/>
        </w:rPr>
        <w:t>NOT VALID</w:t>
      </w:r>
      <w:r>
        <w:t xml:space="preserve"> to avoid retroactive validation</w:t>
      </w:r>
    </w:p>
    <w:p>
      <w:pPr>
        <w:pStyle w:val="Heading2"/>
      </w:pPr>
      <w:r>
        <w:t>10. Appendix: Full Table Inventory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PK</w:t>
            </w:r>
          </w:p>
        </w:tc>
        <w:tc>
          <w:tcPr>
            <w:tcW w:type="dxa" w:w="1512"/>
            <w:shd w:fill="1a1a2e"/>
          </w:tcPr>
          <w:p>
            <w:r>
              <w:rPr>
                <w:b/>
                <w:color w:val="FFFFFF"/>
                <w:sz w:val="18"/>
              </w:rPr>
              <w:t>Indexes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resource_metadata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resource_prefix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class_metadata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field_metadata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stage_resource_metadata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stage_class_metadata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stage_field_metadata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etl_batches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enum_status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to_do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mapping_joins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source_info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slack_alerts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mappings_backup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etl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mappings_backup_29_jan_2024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idx_config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idx_config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listing_school_type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idx_config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listing_mls_number_regex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67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listing_category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listing_status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listing_property_sub_type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listing_property_type_search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listing_openhouse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listing_photo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listing_participant_rel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real_estate_participant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real_estate_office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mls_board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idx_listing_etl_action_pool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processed_files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file_name</w:t>
            </w:r>
          </w:p>
        </w:tc>
        <w:tc>
          <w:tcPr>
            <w:tcW w:type="dxa" w:w="1512"/>
            <w:shd w:fill="f0f4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sales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fldSimple w:instr=" PAGE \* MERGEFORMAT ">
      <w:r>
        <w:rPr>
          <w:sz w:val="16"/>
          <w:color w:val="999999"/>
        </w:rPr>
        <w:t>1</w:t>
      </w:r>
    </w:fldSimple>
    <w:r>
      <w:rPr>
        <w:color w:val="999999"/>
        <w:sz w:val="16"/>
      </w:rPr>
      <w:t xml:space="preserve"> of </w:t>
    </w:r>
    <w:fldSimple w:instr=" NUMPAGES \* MERGEFORMAT ">
      <w:r>
        <w:rPr>
          <w:sz w:val="16"/>
          <w:color w:val="99999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AAAAAA"/>
        <w:sz w:val="16"/>
      </w:rPr>
      <w:t>MLS Database — Architecture &amp; Schema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