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1B587A" w:rsidRDefault="001B587A" w:rsidP="00923D10">
      <w:pPr>
        <w:jc w:val="both"/>
        <w:rPr>
          <w:rFonts w:ascii="Times New Roman" w:hAnsi="Times New Roman" w:cs="Times New Roman"/>
          <w:b/>
          <w:bCs/>
          <w:u w:val="single"/>
          <w:lang w:val="en-US"/>
        </w:rPr>
      </w:pPr>
      <w:proofErr w:type="gramStart"/>
      <w:r>
        <w:rPr>
          <w:rFonts w:ascii="Times New Roman" w:hAnsi="Times New Roman" w:cs="Times New Roman"/>
          <w:b/>
          <w:bCs/>
          <w:u w:val="single"/>
          <w:lang w:val="en-US"/>
        </w:rPr>
        <w:t>ANSAH  JOEL</w:t>
      </w:r>
      <w:proofErr w:type="gramEnd"/>
    </w:p>
    <w:p w:rsidR="001B587A" w:rsidRDefault="001B587A" w:rsidP="00923D10">
      <w:pPr>
        <w:jc w:val="both"/>
        <w:rPr>
          <w:rFonts w:ascii="Times New Roman" w:hAnsi="Times New Roman" w:cs="Times New Roman"/>
          <w:b/>
          <w:bCs/>
          <w:u w:val="single"/>
          <w:lang w:val="en-US"/>
        </w:rPr>
      </w:pPr>
      <w:r>
        <w:rPr>
          <w:rFonts w:ascii="Times New Roman" w:hAnsi="Times New Roman" w:cs="Times New Roman"/>
          <w:b/>
          <w:bCs/>
          <w:u w:val="single"/>
          <w:lang w:val="en-US"/>
        </w:rPr>
        <w:t>PUIT/24110102</w:t>
      </w:r>
    </w:p>
    <w:p w:rsidR="001B587A" w:rsidRPr="00CF0FB8" w:rsidRDefault="001B587A" w:rsidP="001B587A">
      <w:pPr>
        <w:spacing w:line="360" w:lineRule="auto"/>
        <w:jc w:val="both"/>
        <w:rPr>
          <w:rFonts w:ascii="Times New Roman" w:hAnsi="Times New Roman" w:cs="Times New Roman"/>
          <w:b/>
          <w:bCs/>
          <w:sz w:val="24"/>
          <w:szCs w:val="24"/>
          <w:u w:val="single"/>
          <w:lang w:val="en-US"/>
        </w:rPr>
      </w:pPr>
    </w:p>
    <w:p w:rsidR="00923D10" w:rsidRPr="00923D10" w:rsidRDefault="00923D10" w:rsidP="00923D10">
      <w:pPr>
        <w:jc w:val="both"/>
        <w:rPr>
          <w:rFonts w:ascii="Times New Roman" w:hAnsi="Times New Roman" w:cs="Times New Roman"/>
          <w:b/>
          <w:bCs/>
          <w:u w:val="single"/>
          <w:lang w:val="en-US"/>
        </w:rPr>
      </w:pPr>
      <w:r>
        <w:rPr>
          <w:rFonts w:ascii="Times New Roman" w:hAnsi="Times New Roman" w:cs="Times New Roman"/>
          <w:b/>
          <w:bCs/>
          <w:u w:val="single"/>
          <w:lang w:val="en-US"/>
        </w:rPr>
        <w:t xml:space="preserve">ADVANCED DATA </w:t>
      </w:r>
      <w:proofErr w:type="gramStart"/>
      <w:r>
        <w:rPr>
          <w:rFonts w:ascii="Times New Roman" w:hAnsi="Times New Roman" w:cs="Times New Roman"/>
          <w:b/>
          <w:bCs/>
          <w:u w:val="single"/>
          <w:lang w:val="en-US"/>
        </w:rPr>
        <w:t>COMMUNICATION:PRINCIIPLES</w:t>
      </w:r>
      <w:proofErr w:type="gramEnd"/>
      <w:r>
        <w:rPr>
          <w:rFonts w:ascii="Times New Roman" w:hAnsi="Times New Roman" w:cs="Times New Roman"/>
          <w:b/>
          <w:bCs/>
          <w:u w:val="single"/>
          <w:lang w:val="en-US"/>
        </w:rPr>
        <w:t xml:space="preserve"> AND APPLICATIONS  OF STATELLIITE</w:t>
      </w:r>
    </w:p>
    <w:p w:rsidR="00923D10" w:rsidRPr="009047DF" w:rsidRDefault="00923D10" w:rsidP="00923D10">
      <w:pPr>
        <w:jc w:val="both"/>
        <w:rPr>
          <w:rFonts w:ascii="Times New Roman" w:hAnsi="Times New Roman" w:cs="Times New Roman"/>
          <w:sz w:val="24"/>
          <w:szCs w:val="24"/>
          <w:lang w:val="en-US"/>
        </w:rPr>
      </w:pPr>
      <w:r w:rsidRPr="009047DF">
        <w:rPr>
          <w:rFonts w:ascii="Times New Roman" w:hAnsi="Times New Roman" w:cs="Times New Roman"/>
          <w:sz w:val="24"/>
          <w:szCs w:val="24"/>
          <w:lang w:val="en-US"/>
        </w:rPr>
        <w:t>INTRODUCTION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The modern world depends on seamless, high-speed data exchange, yet significant portions of the global population remain disconnected from terrestrial networks. Satellite communication has emerged as the most viable solution to bridge this digital divide, offering connectivity where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optic cables and cellular towers cannot reach. From the launch of Sputnik in 1957 to today's massive low Earth orbit (LEO) constellations, satellite systems have evolved from simple signal repeaters to sophisticated platforms capable of high-throughput data delivery. This essay examines the architectural and functional complexities of satellite data communication, with specific attention to High-Throughput Satellite (HTS) spot beam technology—often referred to as "satellite zooming"—and its role in enabling high-resolution data acquisition.</w:t>
      </w:r>
    </w:p>
    <w:p w:rsidR="00923D10" w:rsidRPr="009047DF" w:rsidRDefault="00923D10" w:rsidP="00923D10">
      <w:pPr>
        <w:jc w:val="both"/>
        <w:rPr>
          <w:rFonts w:ascii="Times New Roman" w:hAnsi="Times New Roman" w:cs="Times New Roman"/>
          <w:sz w:val="24"/>
          <w:szCs w:val="24"/>
        </w:rPr>
      </w:pPr>
    </w:p>
    <w:p w:rsidR="009047DF" w:rsidRPr="009047DF" w:rsidRDefault="00923D10" w:rsidP="009047DF">
      <w:pPr>
        <w:jc w:val="both"/>
        <w:rPr>
          <w:rFonts w:ascii="Times New Roman" w:hAnsi="Times New Roman" w:cs="Times New Roman"/>
          <w:b/>
          <w:bCs/>
          <w:sz w:val="24"/>
          <w:szCs w:val="24"/>
          <w:u w:val="single"/>
          <w:lang w:val="en-US"/>
        </w:rPr>
      </w:pPr>
      <w:r w:rsidRPr="009047DF">
        <w:rPr>
          <w:rFonts w:ascii="Times New Roman" w:hAnsi="Times New Roman" w:cs="Times New Roman"/>
          <w:sz w:val="24"/>
          <w:szCs w:val="24"/>
        </w:rPr>
        <w:t xml:space="preserve">The evolution of satellite communication can be understood in three distinct phases. The first phase, spanning the 1960s through the 1980s, focused on basic broadcast and point-to-point communication </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using geostationary (GEO) satellites. Systems like Intelsat and Telstar demonstrated the feasibility of transcontinental television and telephony. The second phase, from the 1990s to the 2010s, introduced digital transmission, mobile satellite services, and global positioning systems (GPS). During this period, medium Earth orbit (MEO) constellations like Iridium enabled handheld satellite phones. The third phase, currently underway, is defined by LEO mega-constellations such as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and </w:t>
      </w:r>
      <w:proofErr w:type="spellStart"/>
      <w:r w:rsidRPr="009047DF">
        <w:rPr>
          <w:rFonts w:ascii="Times New Roman" w:hAnsi="Times New Roman" w:cs="Times New Roman"/>
          <w:sz w:val="24"/>
          <w:szCs w:val="24"/>
        </w:rPr>
        <w:t>OneWeb</w:t>
      </w:r>
      <w:proofErr w:type="spellEnd"/>
      <w:r w:rsidRPr="009047DF">
        <w:rPr>
          <w:rFonts w:ascii="Times New Roman" w:hAnsi="Times New Roman" w:cs="Times New Roman"/>
          <w:sz w:val="24"/>
          <w:szCs w:val="24"/>
        </w:rPr>
        <w:t xml:space="preserve">, which use thousands of small satellites to deliver low-latency broadband to even the most remote locations. Central to this modern phase is HTS technology, which achieves orders of magnitude greater capacity than traditional </w:t>
      </w:r>
      <w:proofErr w:type="spellStart"/>
      <w:r w:rsidRPr="009047DF">
        <w:rPr>
          <w:rFonts w:ascii="Times New Roman" w:hAnsi="Times New Roman" w:cs="Times New Roman"/>
          <w:sz w:val="24"/>
          <w:szCs w:val="24"/>
        </w:rPr>
        <w:t>widebeam</w:t>
      </w:r>
      <w:proofErr w:type="spellEnd"/>
      <w:r w:rsidRPr="009047DF">
        <w:rPr>
          <w:rFonts w:ascii="Times New Roman" w:hAnsi="Times New Roman" w:cs="Times New Roman"/>
          <w:sz w:val="24"/>
          <w:szCs w:val="24"/>
        </w:rPr>
        <w:t xml:space="preserve"> satellites through frequency reuse and targeted spot beams.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Despite these advances, satellite communication faces persistent challenges. Atmospheric attenuation, particularly in the Ku and Ka bands, degrades signal quality during heavy rain. Latency remains problematic for GEO systems, where round-trip delays exceed 500 milliseconds. Orbital debris threatens operational satellites, and cybersecurity vulnerabilities expose space assets to jamming and spoofing attacks. These challenges make the technical exploration of advanced satellite.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Technical Principles: Orbital Mechanics, Frequency Spectrum Management, and Signal Modulation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data communication relies on three foundational technical pillars: orbital mechanics, which determines where satellites are placed; frequency spectrum management, which governs how signals are transmitted without interference; and signal modulation, which encodes data onto carrier waves. Understanding these principles is essential for </w:t>
      </w:r>
      <w:proofErr w:type="spellStart"/>
      <w:r w:rsidRPr="009047DF">
        <w:rPr>
          <w:rFonts w:ascii="Times New Roman" w:hAnsi="Times New Roman" w:cs="Times New Roman"/>
          <w:sz w:val="24"/>
          <w:szCs w:val="24"/>
        </w:rPr>
        <w:t>analyzing</w:t>
      </w:r>
      <w:proofErr w:type="spellEnd"/>
      <w:r w:rsidRPr="009047DF">
        <w:rPr>
          <w:rFonts w:ascii="Times New Roman" w:hAnsi="Times New Roman" w:cs="Times New Roman"/>
          <w:sz w:val="24"/>
          <w:szCs w:val="24"/>
        </w:rPr>
        <w:t xml:space="preserve"> how modern satellite systems achieve high throughput and precision.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Orbital Mechanics: LEO, MEO, and GEO</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Satellites operate in three primary orbital regimes, each with distinct advantages and trade-offs.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Low Earth Orbit (LEO) spans altitudes from approximately 160 to 2,000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xml:space="preserve">. Satellites in LEO complete an orbit every 90 to 120 minutes, traveling at roughly 28,000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xml:space="preserve"> per hour. The primary advantage of LEO is low latency: signal round-trip times range from 20 to 50 milliseconds, comparable to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This makes LEO suitable for real-time applications such as voice calls, video conferencing, and online gaming. However, the low altitude means each satellite has a small footprint, covering only a few hundred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xml:space="preserve"> of Earth's surface. Consequently, LEO systems require large constellations—hundreds or thousands of satellites—to provide continuous global coverage. Examples include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OneWeb</w:t>
      </w:r>
      <w:proofErr w:type="spellEnd"/>
      <w:r w:rsidRPr="009047DF">
        <w:rPr>
          <w:rFonts w:ascii="Times New Roman" w:hAnsi="Times New Roman" w:cs="Times New Roman"/>
          <w:sz w:val="24"/>
          <w:szCs w:val="24"/>
        </w:rPr>
        <w:t>, and the defunct Iridium system.</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Medium Earth Orbit (MEO) sits between 2,000 and 35,786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xml:space="preserve">. A typical MEO satellite orbits in about 12 hours. MEO offers a balance between latency and coverage. Signal round-trip times range from 100 to 150 milliseconds. With fewer satellites than LEO, MEO constellations can achieve near-global coverage. The most prominent users of MEO are Global Navigation Satellite Systems (GNSS), including GPS (United States), Galileo (Europe), and </w:t>
      </w:r>
      <w:proofErr w:type="spellStart"/>
      <w:r w:rsidRPr="009047DF">
        <w:rPr>
          <w:rFonts w:ascii="Times New Roman" w:hAnsi="Times New Roman" w:cs="Times New Roman"/>
          <w:sz w:val="24"/>
          <w:szCs w:val="24"/>
        </w:rPr>
        <w:t>BeiDou</w:t>
      </w:r>
      <w:proofErr w:type="spellEnd"/>
      <w:r w:rsidRPr="009047DF">
        <w:rPr>
          <w:rFonts w:ascii="Times New Roman" w:hAnsi="Times New Roman" w:cs="Times New Roman"/>
          <w:sz w:val="24"/>
          <w:szCs w:val="24"/>
        </w:rPr>
        <w:t xml:space="preserve"> (China). These systems rely on MEO for precise timing and positioning signals that reach all parts of the globe. Galileo operates at an altitude of 23,222 kilometres with a 14-hour orbital period.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Geostationary Earth Orbit (GEO) is located at exactly 35,786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xml:space="preserve"> above the equator. At this altitude, a satellite's orbital period matches Earth's rotation, making the satellite appear fixed in the sky. This enables continuous coverage of a fixed region using just one satellite. GEO is ideal for broadcasting, weather monitoring, and backbone </w:t>
      </w:r>
      <w:proofErr w:type="spellStart"/>
      <w:r w:rsidRPr="009047DF">
        <w:rPr>
          <w:rFonts w:ascii="Times New Roman" w:hAnsi="Times New Roman" w:cs="Times New Roman"/>
          <w:sz w:val="24"/>
          <w:szCs w:val="24"/>
        </w:rPr>
        <w:t>trunking</w:t>
      </w:r>
      <w:proofErr w:type="spellEnd"/>
      <w:r w:rsidRPr="009047DF">
        <w:rPr>
          <w:rFonts w:ascii="Times New Roman" w:hAnsi="Times New Roman" w:cs="Times New Roman"/>
          <w:sz w:val="24"/>
          <w:szCs w:val="24"/>
        </w:rPr>
        <w:t>. However, the high distance introduces significant latency: round-trip times exceed 500 milliseconds, which is noticeable and problematic for interactive applications. Additionally, launching to GEO requires more energy and larger rockets compared to LEO or MEO.</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The choice of orbit involves trade-offs among latency, coverage, launch cost, and constellation size. Modern hybrid architectures increasingly combine LEO for low-latency services and GEO for broadcast and backup.</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Frequency Spectrum Management: C, Ku, and Ka Bands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Satellites communicate using radio frequency bands allocated by the International Telecommunication Union (ITU). Three bands are most relevant to modern data communication.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 Band ranges from 4 to 8 gigahertz. It is the oldest and most reliable band for satellite communication. C Band signals are highly resistant to atmospheric attenuation, meaning rain, fog, and clouds cause minimal degradation. This makes C Band popular in tropical regions with heavy rainfall. However, C Band is increasingly congested because terrestrial 5G networks use nearby frequencies. Additionally, C Band requires large dish antennas (typically 1.8 to 3 meters) due to its longer wavelength. Data rates are moderate, typically up to 40 megabits per second per transponder.</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Ku Band ranges from 12 to 18 gigahertz. It offers higher data rates than C Band while using smaller antennas (0.6 to 1.2 meters). This makes Ku Band the standard for Direct-to-Home (DTH) television services like DirecTV and Dish Network. Ku Band is also widely used for VSAT (Very Small Aperture Terminal) networks in enterprise and maritime applications. The trade-off is reduced resilience to rain fade. Heavy precipitation can attenuate Ku Band signals by 10 to 20 decibels, causing temporary outages.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Ka Band ranges from 26.5 to 40 gigahertz. It provides the highest data rates—often exceeding 100 megabits per second per transponder—and supports very small antennas (0.3 to 0.6 meters). Ka Band is the cornerstone of High-Throughput Satellites (HTS) and constellations like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The narrow beamwidth allows precise spot beam formation. However, Ka Band is highly susceptible to atmospheric attenuation, with rain fade potentially exceeding 30 decibels. Adaptive coding and modulation (ACM) is used to dynamically adjust transmission parameters in response to weather conditions.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Frequency reuse is a critical technique enabled by these bands. By using multiple spot beams that operate on the same frequencies but are spatially separated, satellite operators multiply available bandwidth. A typical HTS might reuse frequencies 20 to 50 times, achieving aggregate throughput in the hundreds of gigabits per second.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Signal Modulation: From Analog to Digital</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Modulation is the process of impressing data onto a carrier wave. Modern satellite communication uses digital modulation schemes.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Quadrature Phase Shift Keying (QPSK) is the workhorse of satellite communication. It encodes two bits per symbol by varying the phase of the carrier wave among four states. QPSK balances spectral efficiency and robustness against noise. It is commonly used for video broadcasting and moderate data rate links. QPSK has a "constant envelope," which is desirable for power-sensitive satellite transmission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Quadrature Amplitude Modulation (QAM) extends QPSK by varying both amplitude and phase. 8-QAM encodes three bits per symbol, 16-QAM encodes four bits, and 256-QAM encodes eight bits. Higher-order QAM increases data rate but requires better signal-to-noise ratio (SNR). As QAM levels increase, constellation points become closely spaced, increasing receiver complexity. 16-QAM and 32-QAM are typical for HTS systems under clear sky conditions.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Adaptive Coding and Modulation (ACM) is a dynamic technique that adjusts modulation and forward error correction (FEC) based on real-time link conditions. When rain attenuates the signal, ACM switches to a more robust but lower-rate scheme like QPSK with strong FEC. When conditions clear, ACM switches to higher-rate 16-QAM or 32-QAM. This maximizes link availability and throughput.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Forward error correction (FEC) adds redundant bits to transmitted data, allowing receivers to correct errors without retransmission. Low-Density Parity-Check (LDPC) codes and Turbo codes are standard in modern satellite systems, achieving coding gains of 8 to 12 decibels.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Putting It Together</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practical satellite link combines these principles. A HTS in GEO uses Ka band spot beams, each employing ACM with QPSK to 32-QAM modulation. LEO constellations like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use Ku and Ka bands with sophisticated phased array antennas. Understanding this technical foundation is necessary before examining satellite zooming and high-throughput spot beam technology, which is the focus of the next section.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References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proofErr w:type="spellStart"/>
      <w:r w:rsidRPr="009047DF">
        <w:rPr>
          <w:rFonts w:ascii="Times New Roman" w:hAnsi="Times New Roman" w:cs="Times New Roman"/>
          <w:sz w:val="24"/>
          <w:szCs w:val="24"/>
        </w:rPr>
        <w:lastRenderedPageBreak/>
        <w:t>Badron</w:t>
      </w:r>
      <w:proofErr w:type="spellEnd"/>
      <w:r w:rsidRPr="009047DF">
        <w:rPr>
          <w:rFonts w:ascii="Times New Roman" w:hAnsi="Times New Roman" w:cs="Times New Roman"/>
          <w:sz w:val="24"/>
          <w:szCs w:val="24"/>
        </w:rPr>
        <w:t xml:space="preserve">, K., Ismail, A. F., Ahmad, Y. A., Yassin, M. R. M., &amp; </w:t>
      </w:r>
      <w:proofErr w:type="spellStart"/>
      <w:r w:rsidRPr="009047DF">
        <w:rPr>
          <w:rFonts w:ascii="Times New Roman" w:hAnsi="Times New Roman" w:cs="Times New Roman"/>
          <w:sz w:val="24"/>
          <w:szCs w:val="24"/>
        </w:rPr>
        <w:t>Rahmat</w:t>
      </w:r>
      <w:proofErr w:type="spellEnd"/>
      <w:r w:rsidRPr="009047DF">
        <w:rPr>
          <w:rFonts w:ascii="Times New Roman" w:hAnsi="Times New Roman" w:cs="Times New Roman"/>
          <w:sz w:val="24"/>
          <w:szCs w:val="24"/>
        </w:rPr>
        <w:t>, M. H. (2018). Determination of fade margin for Ka band operating in equatorial region. Journal of Fundamental and Applied Sciences, 10(3), 542–548.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European Space Agency. (n.d.). Galileo: A constellation of navigation satellites. ESA. https://www.esa.int/Applications/Navigation/Galileo/Galileoaconstellationofnavigation_satellites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Google Patents. (2024). US11909507B2 - Using low earth orbit satellites to overcome latency.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proofErr w:type="spellStart"/>
      <w:r w:rsidRPr="009047DF">
        <w:rPr>
          <w:rFonts w:ascii="Times New Roman" w:hAnsi="Times New Roman" w:cs="Times New Roman"/>
          <w:sz w:val="24"/>
          <w:szCs w:val="24"/>
        </w:rPr>
        <w:t>Suhaimi</w:t>
      </w:r>
      <w:proofErr w:type="spellEnd"/>
      <w:r w:rsidRPr="009047DF">
        <w:rPr>
          <w:rFonts w:ascii="Times New Roman" w:hAnsi="Times New Roman" w:cs="Times New Roman"/>
          <w:sz w:val="24"/>
          <w:szCs w:val="24"/>
        </w:rPr>
        <w:t xml:space="preserve">, N. H. S., </w:t>
      </w:r>
      <w:proofErr w:type="spellStart"/>
      <w:r w:rsidRPr="009047DF">
        <w:rPr>
          <w:rFonts w:ascii="Times New Roman" w:hAnsi="Times New Roman" w:cs="Times New Roman"/>
          <w:sz w:val="24"/>
          <w:szCs w:val="24"/>
        </w:rPr>
        <w:t>Badron</w:t>
      </w:r>
      <w:proofErr w:type="spellEnd"/>
      <w:r w:rsidRPr="009047DF">
        <w:rPr>
          <w:rFonts w:ascii="Times New Roman" w:hAnsi="Times New Roman" w:cs="Times New Roman"/>
          <w:sz w:val="24"/>
          <w:szCs w:val="24"/>
        </w:rPr>
        <w:t>, K., Ismail, A. F., &amp; Ahmad, Y. A. (2022). Rain attenuation at C, Ku and Ka bands determined using earth-satellite link beacon signals in tropical region. Defence S &amp; T Technical Bulletin, 15(2), 214–221.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Wikipedia. (2025, April 23). Low Earth orbit. https://en.wikipedia.org/wiki/LowEarthorbit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Wikipedia. (2025, March 10). Medium Earth orbit. https://en.wikipedia.org/wiki/MediumEarthorbit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Wikipedia. (2024, January 25). Quadrature amplitude modulation. https://en.wikipedia.org/wiki/Quadratureamplitudemodulation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Bird’s Eye View. (2024, October 11). Bird’s guide to ITU frequency bands. Bird RF</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European Space Agency. (n.d.). Satellite frequency bands. ESA</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u w:val="single"/>
        </w:rPr>
      </w:pPr>
      <w:r w:rsidRPr="009047DF">
        <w:rPr>
          <w:rFonts w:ascii="Times New Roman" w:hAnsi="Times New Roman" w:cs="Times New Roman"/>
          <w:b/>
          <w:bCs/>
          <w:sz w:val="24"/>
          <w:szCs w:val="24"/>
          <w:u w:val="single"/>
        </w:rPr>
        <w:t>Satellite Zooming and Precisi</w:t>
      </w:r>
      <w:r w:rsidR="008704D2" w:rsidRPr="009047DF">
        <w:rPr>
          <w:rFonts w:ascii="Times New Roman" w:hAnsi="Times New Roman" w:cs="Times New Roman"/>
          <w:b/>
          <w:bCs/>
          <w:sz w:val="24"/>
          <w:szCs w:val="24"/>
          <w:u w:val="single"/>
          <w:lang w:val="en-US"/>
        </w:rPr>
        <w:t>on</w:t>
      </w:r>
      <w:r w:rsidRPr="009047DF">
        <w:rPr>
          <w:rFonts w:ascii="Times New Roman" w:hAnsi="Times New Roman" w:cs="Times New Roman"/>
          <w:sz w:val="24"/>
          <w:szCs w:val="24"/>
        </w:rPr>
        <w:t xml:space="preserve">: </w:t>
      </w:r>
      <w:r w:rsidRPr="009047DF">
        <w:rPr>
          <w:rFonts w:ascii="Times New Roman" w:hAnsi="Times New Roman" w:cs="Times New Roman"/>
          <w:sz w:val="24"/>
          <w:szCs w:val="24"/>
          <w:u w:val="single"/>
        </w:rPr>
        <w:t>A Technical Exploration of High-Throughput Satellites, Frequency Reuse, and Targeted Spot Beam Delivery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The exponential growth in global broadband demand has driven satellite communications beyond traditional wide-beam architectures toward High-Throughput Satellites (HTS). </w:t>
      </w:r>
      <w:r w:rsidR="00DE6463">
        <w:rPr>
          <w:rFonts w:ascii="Times New Roman" w:hAnsi="Times New Roman" w:cs="Times New Roman"/>
          <w:sz w:val="24"/>
          <w:szCs w:val="24"/>
        </w:rPr>
        <w:t>This essay</w:t>
      </w:r>
      <w:r w:rsidRPr="009047DF">
        <w:rPr>
          <w:rFonts w:ascii="Times New Roman" w:hAnsi="Times New Roman" w:cs="Times New Roman"/>
          <w:sz w:val="24"/>
          <w:szCs w:val="24"/>
        </w:rPr>
        <w:t xml:space="preserve"> provides a technical exploration of the core enabling technologies behind HTS: spatial frequency reuse and targeted spot beam delivery. The concept of “satellite zooming” is introduced as an analogy for dynamic beam forming and power allocation that enhances spectral efficiency and link performance. We examine multi-beam antenna systems, </w:t>
      </w:r>
      <w:proofErr w:type="spellStart"/>
      <w:r w:rsidRPr="009047DF">
        <w:rPr>
          <w:rFonts w:ascii="Times New Roman" w:hAnsi="Times New Roman" w:cs="Times New Roman"/>
          <w:sz w:val="24"/>
          <w:szCs w:val="24"/>
        </w:rPr>
        <w:t>color</w:t>
      </w:r>
      <w:proofErr w:type="spellEnd"/>
      <w:r w:rsidRPr="009047DF">
        <w:rPr>
          <w:rFonts w:ascii="Times New Roman" w:hAnsi="Times New Roman" w:cs="Times New Roman"/>
          <w:sz w:val="24"/>
          <w:szCs w:val="24"/>
        </w:rPr>
        <w:t xml:space="preserve"> frequency plans, interference management, and advanced beam hopping techniques. Results </w:t>
      </w:r>
      <w:r w:rsidRPr="009047DF">
        <w:rPr>
          <w:rFonts w:ascii="Times New Roman" w:hAnsi="Times New Roman" w:cs="Times New Roman"/>
          <w:sz w:val="24"/>
          <w:szCs w:val="24"/>
        </w:rPr>
        <w:lastRenderedPageBreak/>
        <w:t>from recent HTS constellations demonstrate throughput increases of 20–100× over conventional Fixed Satellite Services (FSS). Challenges such as adjacent beam interference and regulatory coordination are also addressed. The paper concludes with future directions, including optical feeder links and software-defined payloads, affirming that precision spot beam technology remains pivotal for next-generation satellite networks.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communications have long suffered from a fundamental trade-off: wide coverage beams provide ubiquitous service but low data density, while narrow beams yield high throughput but limited area coverage. The advent of High-Throughput Satellites (HTS) has broken this paradigm. Instead of broadcasting power over large geographical regions, HTS systems use multiple tightly focused “spot beams” that illuminate small cells on Earth’s surface. By reusing the same frequency resources across spatially separated beams—a technique known as frequency reuse—HTS achieves aggregate capacities measured in hundreds of Gbps or even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rivaling</w:t>
      </w:r>
      <w:proofErr w:type="spellEnd"/>
      <w:r w:rsidRPr="009047DF">
        <w:rPr>
          <w:rFonts w:ascii="Times New Roman" w:hAnsi="Times New Roman" w:cs="Times New Roman"/>
          <w:sz w:val="24"/>
          <w:szCs w:val="24"/>
        </w:rPr>
        <w:t xml:space="preserve">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networks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This explores the technical foundations of HTS, with special emphasis on three interlocking pillars: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1. Precision spot beam formation (antenna array design and beam shaping).</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 Aggressive frequency reuse schemes (</w:t>
      </w:r>
      <w:proofErr w:type="spellStart"/>
      <w:r w:rsidRPr="009047DF">
        <w:rPr>
          <w:rFonts w:ascii="Times New Roman" w:hAnsi="Times New Roman" w:cs="Times New Roman"/>
          <w:sz w:val="24"/>
          <w:szCs w:val="24"/>
        </w:rPr>
        <w:t>color</w:t>
      </w:r>
      <w:proofErr w:type="spellEnd"/>
      <w:r w:rsidRPr="009047DF">
        <w:rPr>
          <w:rFonts w:ascii="Times New Roman" w:hAnsi="Times New Roman" w:cs="Times New Roman"/>
          <w:sz w:val="24"/>
          <w:szCs w:val="24"/>
        </w:rPr>
        <w:t xml:space="preserve"> patterns and polarization diversity).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 Satellite zooming – the ability to dynamically adjust beam power, shape, and carrier allocation in response to traffic demand.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By systematically examining these elements, we aim to provide a comprehensive understanding of how modern satellites “zoom” into high-demand areas while maintaining efficient spectrum usage.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 Evolution from Conventional Satellites to HTS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Traditional geostationary (GEO) satellites employ a single large beam (e.g., covering the entire contiguous United States) or a handful of zone beams. The entire frequency band allocated to the satellite—say, 500 MHz in Ku-band—must be shared across all users within that footprint. Consequently, the capacity is low (≈1–2 Gbps) and per-user throughput degrades as more terminals access the service [2].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HTS systems invert this design. A typical HTS payload carries between 50 to 500 spot beams, each typically 0.2°–0.5° in diameter (≈200–500 km at GEO). Each spot beam operates with its own transponder chain, allowing total satellite capacity to scale almost linearly with the number </w:t>
      </w:r>
      <w:r w:rsidRPr="009047DF">
        <w:rPr>
          <w:rFonts w:ascii="Times New Roman" w:hAnsi="Times New Roman" w:cs="Times New Roman"/>
          <w:sz w:val="24"/>
          <w:szCs w:val="24"/>
        </w:rPr>
        <w:lastRenderedPageBreak/>
        <w:t>of beams. For instance, the ViaSat-3 class (launched 2023–2024) achieves over 1,000 Gbps per satellite using hundreds of highly shaped spot beams [3].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Feature Conventional FSS HTS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Beams per satellite 1–4 50–500+</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Frequency reuse 1–2× 20–100×</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Total throughput 1–3 Gbps 100–1000+ Gbps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Terminal size 0.8–2.4 m 0.3–0.6 m (same antenna gain)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Table 1: Comparison of conventional vs. HTS architectures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Technical Mechanisms of Frequency Reuse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Principles of Spatial Frequency Reuse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In terrestrial cellular networks, the same frequency channel can be assigned to non-adjacent cells separated by sufficient distance to keep co-channel interference below an acceptable threshold. HTS applies exactly this principle. Let C be the number of distinct frequency/polarization “</w:t>
      </w:r>
      <w:proofErr w:type="spellStart"/>
      <w:r w:rsidRPr="009047DF">
        <w:rPr>
          <w:rFonts w:ascii="Times New Roman" w:hAnsi="Times New Roman" w:cs="Times New Roman"/>
          <w:sz w:val="24"/>
          <w:szCs w:val="24"/>
        </w:rPr>
        <w:t>colors</w:t>
      </w:r>
      <w:proofErr w:type="spellEnd"/>
      <w:r w:rsidRPr="009047DF">
        <w:rPr>
          <w:rFonts w:ascii="Times New Roman" w:hAnsi="Times New Roman" w:cs="Times New Roman"/>
          <w:sz w:val="24"/>
          <w:szCs w:val="24"/>
        </w:rPr>
        <w:t xml:space="preserve">.” The total system capacity is approximately C times the capacity of a single beam, assuming ideal beam isolation [5]. A typical HTS uses C = 4 or C = 8 </w:t>
      </w:r>
      <w:proofErr w:type="spellStart"/>
      <w:r w:rsidRPr="009047DF">
        <w:rPr>
          <w:rFonts w:ascii="Times New Roman" w:hAnsi="Times New Roman" w:cs="Times New Roman"/>
          <w:sz w:val="24"/>
          <w:szCs w:val="24"/>
        </w:rPr>
        <w:t>colors</w:t>
      </w:r>
      <w:proofErr w:type="spellEnd"/>
      <w:r w:rsidRPr="009047DF">
        <w:rPr>
          <w:rFonts w:ascii="Times New Roman" w:hAnsi="Times New Roman" w:cs="Times New Roman"/>
          <w:sz w:val="24"/>
          <w:szCs w:val="24"/>
        </w:rPr>
        <w:t xml:space="preserve"> in a regular hexagonal tessellation (e.g., 4-color plan: frequencies f1, f2, f3 each with orthogonal polarization H/V, or a 4-color plan of (f1,V), (f1,H), (f2,V), (f2,H) etc.).</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Antenna Architectures for Beam Formation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Precision spot beam delivery requires advanced onboard antennas. Most HTS payloads use reflector-based multi-feed arrays: an array of feed horns illuminates a single large reflector (or multiple reflectors), each feed generating one spot beam. The beam direction is determined by the position of the feed relative to the reflector’s focal point. By adjusting feed excitation amplitudes and phases (via beamforming networks), engineers shape beam contours to match service areas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Recent HTS systems (e.g., SES’s O3b </w:t>
      </w:r>
      <w:proofErr w:type="spellStart"/>
      <w:r w:rsidRPr="009047DF">
        <w:rPr>
          <w:rFonts w:ascii="Times New Roman" w:hAnsi="Times New Roman" w:cs="Times New Roman"/>
          <w:sz w:val="24"/>
          <w:szCs w:val="24"/>
        </w:rPr>
        <w:t>mPOWER</w:t>
      </w:r>
      <w:proofErr w:type="spellEnd"/>
      <w:r w:rsidRPr="009047DF">
        <w:rPr>
          <w:rFonts w:ascii="Times New Roman" w:hAnsi="Times New Roman" w:cs="Times New Roman"/>
          <w:sz w:val="24"/>
          <w:szCs w:val="24"/>
        </w:rPr>
        <w:t>) incorporate active phased arrays, where hundreds of small radiating elements are individually controlled by variable phase shifters and amplifiers. Phased arrays enable electronic beam steering without moving parts—the “zooming” capability described later.</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Polarization and Orthogonal Dimensions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Modern HTS doubles frequency reuse by using dual orthogonal linear or circular polarizations. A single geographical cell can be illuminated with two overlapping beams—one on left-hand circular polarization (LHCP), one on right-hand (RHCP)—using the same </w:t>
      </w:r>
      <w:proofErr w:type="spellStart"/>
      <w:r w:rsidRPr="009047DF">
        <w:rPr>
          <w:rFonts w:ascii="Times New Roman" w:hAnsi="Times New Roman" w:cs="Times New Roman"/>
          <w:sz w:val="24"/>
          <w:szCs w:val="24"/>
        </w:rPr>
        <w:t>center</w:t>
      </w:r>
      <w:proofErr w:type="spellEnd"/>
      <w:r w:rsidRPr="009047DF">
        <w:rPr>
          <w:rFonts w:ascii="Times New Roman" w:hAnsi="Times New Roman" w:cs="Times New Roman"/>
          <w:sz w:val="24"/>
          <w:szCs w:val="24"/>
        </w:rPr>
        <w:t xml:space="preserve"> frequency. This increases the reuse factor by 2× without additional interference, provided cross-polarization discrimination (XPD) &gt; 25 dB is maintained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4. Precision Spot Beam Delivery – The “Zooming” Analogy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 term “satellite zooming” is not a standard IEEE term, but it captures an emerging operational mode enabled by software-defined payloads. Traditional HTS beams are static: once the satellite is on-orbit, coverage and beam-to-frequency assignment do not change. Next-generation HTS, sometimes called VHTS (Very High Throughput Satellite), introduce beam hopping and flexible payloads that allow dynamic power and bandwidth allocation [8].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Beam Hopping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In a beam hopping system, time is slotted (e.g., 1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frames). During each slot, a subset of available beams is illuminated at full power. Over time, the illumination pattern “hops” across different beam positions, giving the appearance of zooming into high-traffic cells. The total capacity is allocated proportionally to the dwell time assigned to each beam. Mathematically, if a beam receives </w:t>
      </w:r>
      <w:proofErr w:type="spellStart"/>
      <w:r w:rsidRPr="009047DF">
        <w:rPr>
          <w:rFonts w:ascii="Times New Roman" w:hAnsi="Times New Roman" w:cs="Times New Roman"/>
          <w:sz w:val="24"/>
          <w:szCs w:val="24"/>
        </w:rPr>
        <w:t>t_i</w:t>
      </w:r>
      <w:proofErr w:type="spellEnd"/>
      <w:r w:rsidRPr="009047DF">
        <w:rPr>
          <w:rFonts w:ascii="Times New Roman" w:hAnsi="Times New Roman" w:cs="Times New Roman"/>
          <w:sz w:val="24"/>
          <w:szCs w:val="24"/>
        </w:rPr>
        <w:t xml:space="preserve"> fraction of total frame time, its effective throughput is </w:t>
      </w:r>
      <w:proofErr w:type="spellStart"/>
      <w:r w:rsidRPr="009047DF">
        <w:rPr>
          <w:rFonts w:ascii="Times New Roman" w:hAnsi="Times New Roman" w:cs="Times New Roman"/>
          <w:sz w:val="24"/>
          <w:szCs w:val="24"/>
        </w:rPr>
        <w:t>t_i</w:t>
      </w:r>
      <w:proofErr w:type="spellEnd"/>
      <w:r w:rsidRPr="009047DF">
        <w:rPr>
          <w:rFonts w:ascii="Times New Roman" w:hAnsi="Times New Roman" w:cs="Times New Roman"/>
          <w:sz w:val="24"/>
          <w:szCs w:val="24"/>
        </w:rPr>
        <w:t xml:space="preserve"> \times R_{max}, where R_{max} is the capacity when continuously active.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Beam hopping effectively converts static spatial reuse into a time-frequency-spatial resource block, analogous to 4G/5G OFDMA scheduling. For example, the Eutelsat Quantum satellite (launched 2021) demonstrated flexible coverage patterns that can be reconfigured in-orbit on timescales of minutes [9].</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Dynamic Power Allocation and Beam Shaping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Via Satellite’s “zooming” concept extends to adjusting beam ellipticity and roll-off. Using digital beamforming (DBF) networks, an HTS can allocate more power to a beam serving a metropolitan area while reducing power to low-demand oceanic beams. The power per beam P_{beam} follows P_{beam} \</w:t>
      </w:r>
      <w:proofErr w:type="spellStart"/>
      <w:r w:rsidRPr="009047DF">
        <w:rPr>
          <w:rFonts w:ascii="Times New Roman" w:hAnsi="Times New Roman" w:cs="Times New Roman"/>
          <w:sz w:val="24"/>
          <w:szCs w:val="24"/>
        </w:rPr>
        <w:t>propto</w:t>
      </w:r>
      <w:proofErr w:type="spellEnd"/>
      <w:r w:rsidRPr="009047DF">
        <w:rPr>
          <w:rFonts w:ascii="Times New Roman" w:hAnsi="Times New Roman" w:cs="Times New Roman"/>
          <w:sz w:val="24"/>
          <w:szCs w:val="24"/>
        </w:rPr>
        <w:t xml:space="preserve"> D_{req} / (G/T)_{terminal}, where D_{req} is traffic </w:t>
      </w:r>
      <w:r w:rsidRPr="009047DF">
        <w:rPr>
          <w:rFonts w:ascii="Times New Roman" w:hAnsi="Times New Roman" w:cs="Times New Roman"/>
          <w:sz w:val="24"/>
          <w:szCs w:val="24"/>
        </w:rPr>
        <w:lastRenderedPageBreak/>
        <w:t>demand and (G/T) is terminal figure of merit. A smart gateway can compute optimal power distribution every second, minimizing total transmit power while satisfying link budgets.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This dynamic control is possible only with fully digital payloads that convert the entire uplink signal into baseband, digitally process it, and reassemble downlink beams. Legacy </w:t>
      </w:r>
      <w:proofErr w:type="spellStart"/>
      <w:r w:rsidRPr="009047DF">
        <w:rPr>
          <w:rFonts w:ascii="Times New Roman" w:hAnsi="Times New Roman" w:cs="Times New Roman"/>
          <w:sz w:val="24"/>
          <w:szCs w:val="24"/>
        </w:rPr>
        <w:t>analog</w:t>
      </w:r>
      <w:proofErr w:type="spellEnd"/>
      <w:r w:rsidRPr="009047DF">
        <w:rPr>
          <w:rFonts w:ascii="Times New Roman" w:hAnsi="Times New Roman" w:cs="Times New Roman"/>
          <w:sz w:val="24"/>
          <w:szCs w:val="24"/>
        </w:rPr>
        <w:t xml:space="preserve"> payloads, in contrast, have fixed channel-to-beam connectivity.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Interference Management in High Reuse Scenarios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Aggressive frequency reuse inevitably introduces co-channel interference (CCI). The carrier-to-interference ratio C/I at a terminal located at the edge of beam </w:t>
      </w:r>
      <w:proofErr w:type="spellStart"/>
      <w:r w:rsidRPr="009047DF">
        <w:rPr>
          <w:rFonts w:ascii="Times New Roman" w:hAnsi="Times New Roman" w:cs="Times New Roman"/>
          <w:sz w:val="24"/>
          <w:szCs w:val="24"/>
        </w:rPr>
        <w:t>i</w:t>
      </w:r>
      <w:proofErr w:type="spellEnd"/>
      <w:r w:rsidRPr="009047DF">
        <w:rPr>
          <w:rFonts w:ascii="Times New Roman" w:hAnsi="Times New Roman" w:cs="Times New Roman"/>
          <w:sz w:val="24"/>
          <w:szCs w:val="24"/>
        </w:rPr>
        <w:t xml:space="preserve"> is dominated by the six nearest co-channel beams in a hexagonal grid. Given a satellite antenna pattern G(\theta) with main lobe gain </w:t>
      </w:r>
      <w:proofErr w:type="spellStart"/>
      <w:r w:rsidRPr="009047DF">
        <w:rPr>
          <w:rFonts w:ascii="Times New Roman" w:hAnsi="Times New Roman" w:cs="Times New Roman"/>
          <w:sz w:val="24"/>
          <w:szCs w:val="24"/>
        </w:rPr>
        <w:t>G_m</w:t>
      </w:r>
      <w:proofErr w:type="spellEnd"/>
      <w:r w:rsidRPr="009047DF">
        <w:rPr>
          <w:rFonts w:ascii="Times New Roman" w:hAnsi="Times New Roman" w:cs="Times New Roman"/>
          <w:sz w:val="24"/>
          <w:szCs w:val="24"/>
        </w:rPr>
        <w:t xml:space="preserve"> and sidelobe envelope, the worst-case C/I is approximately: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\frac{C}{I} = \frac{</w:t>
      </w:r>
      <w:r w:rsidR="00792E1C" w:rsidRPr="009047DF">
        <w:rPr>
          <w:rFonts w:ascii="Times New Roman" w:hAnsi="Times New Roman" w:cs="Times New Roman"/>
          <w:sz w:val="24"/>
          <w:szCs w:val="24"/>
          <w:lang w:val="en-US"/>
        </w:rPr>
        <w:t>,,,</w:t>
      </w:r>
      <w:r w:rsidRPr="009047DF">
        <w:rPr>
          <w:rFonts w:ascii="Times New Roman" w:hAnsi="Times New Roman" w:cs="Times New Roman"/>
          <w:sz w:val="24"/>
          <w:szCs w:val="24"/>
        </w:rPr>
        <w:t xml:space="preserve"> / L_{fs}}{\sum_{k=1}^6 G(\</w:t>
      </w:r>
      <w:proofErr w:type="spellStart"/>
      <w:r w:rsidRPr="009047DF">
        <w:rPr>
          <w:rFonts w:ascii="Times New Roman" w:hAnsi="Times New Roman" w:cs="Times New Roman"/>
          <w:sz w:val="24"/>
          <w:szCs w:val="24"/>
        </w:rPr>
        <w:t>theta_k</w:t>
      </w:r>
      <w:proofErr w:type="spellEnd"/>
      <w:r w:rsidRPr="009047DF">
        <w:rPr>
          <w:rFonts w:ascii="Times New Roman" w:hAnsi="Times New Roman" w:cs="Times New Roman"/>
          <w:sz w:val="24"/>
          <w:szCs w:val="24"/>
        </w:rPr>
        <w:t>) / L_{</w:t>
      </w:r>
      <w:proofErr w:type="spellStart"/>
      <w:r w:rsidRPr="009047DF">
        <w:rPr>
          <w:rFonts w:ascii="Times New Roman" w:hAnsi="Times New Roman" w:cs="Times New Roman"/>
          <w:sz w:val="24"/>
          <w:szCs w:val="24"/>
        </w:rPr>
        <w:t>fs,k</w:t>
      </w:r>
      <w:proofErr w:type="spellEnd"/>
      <w:r w:rsidRPr="009047DF">
        <w:rPr>
          <w:rFonts w:ascii="Times New Roman" w:hAnsi="Times New Roman" w:cs="Times New Roman"/>
          <w:sz w:val="24"/>
          <w:szCs w:val="24"/>
        </w:rPr>
        <w:t>}}</w:t>
      </w:r>
    </w:p>
    <w:p w:rsidR="00792E1C" w:rsidRPr="009047DF" w:rsidRDefault="00792E1C"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where \</w:t>
      </w:r>
      <w:proofErr w:type="spellStart"/>
      <w:r w:rsidRPr="009047DF">
        <w:rPr>
          <w:rFonts w:ascii="Times New Roman" w:hAnsi="Times New Roman" w:cs="Times New Roman"/>
          <w:sz w:val="24"/>
          <w:szCs w:val="24"/>
        </w:rPr>
        <w:t>theta_k</w:t>
      </w:r>
      <w:proofErr w:type="spellEnd"/>
      <w:r w:rsidRPr="009047DF">
        <w:rPr>
          <w:rFonts w:ascii="Times New Roman" w:hAnsi="Times New Roman" w:cs="Times New Roman"/>
          <w:sz w:val="24"/>
          <w:szCs w:val="24"/>
        </w:rPr>
        <w:t xml:space="preserve"> is the angular separation from beam i’s </w:t>
      </w:r>
      <w:proofErr w:type="spellStart"/>
      <w:r w:rsidRPr="009047DF">
        <w:rPr>
          <w:rFonts w:ascii="Times New Roman" w:hAnsi="Times New Roman" w:cs="Times New Roman"/>
          <w:sz w:val="24"/>
          <w:szCs w:val="24"/>
        </w:rPr>
        <w:t>center</w:t>
      </w:r>
      <w:proofErr w:type="spellEnd"/>
      <w:r w:rsidRPr="009047DF">
        <w:rPr>
          <w:rFonts w:ascii="Times New Roman" w:hAnsi="Times New Roman" w:cs="Times New Roman"/>
          <w:sz w:val="24"/>
          <w:szCs w:val="24"/>
        </w:rPr>
        <w:t xml:space="preserve"> to co-channel interfering beam k, and L_{fs} is free-space path loss (similar for all beams at same frequency). For GEO HTS with beam spacing 2\Delta (in degrees), \</w:t>
      </w:r>
      <w:proofErr w:type="spellStart"/>
      <w:r w:rsidRPr="009047DF">
        <w:rPr>
          <w:rFonts w:ascii="Times New Roman" w:hAnsi="Times New Roman" w:cs="Times New Roman"/>
          <w:sz w:val="24"/>
          <w:szCs w:val="24"/>
        </w:rPr>
        <w:t>theta_k</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approx</w:t>
      </w:r>
      <w:proofErr w:type="spellEnd"/>
      <w:r w:rsidRPr="009047DF">
        <w:rPr>
          <w:rFonts w:ascii="Times New Roman" w:hAnsi="Times New Roman" w:cs="Times New Roman"/>
          <w:sz w:val="24"/>
          <w:szCs w:val="24"/>
        </w:rPr>
        <w:t xml:space="preserve"> 2\Delta for nearest </w:t>
      </w:r>
      <w:proofErr w:type="spellStart"/>
      <w:r w:rsidRPr="009047DF">
        <w:rPr>
          <w:rFonts w:ascii="Times New Roman" w:hAnsi="Times New Roman" w:cs="Times New Roman"/>
          <w:sz w:val="24"/>
          <w:szCs w:val="24"/>
        </w:rPr>
        <w:t>neighbors</w:t>
      </w:r>
      <w:proofErr w:type="spellEnd"/>
      <w:r w:rsidRPr="009047DF">
        <w:rPr>
          <w:rFonts w:ascii="Times New Roman" w:hAnsi="Times New Roman" w:cs="Times New Roman"/>
          <w:sz w:val="24"/>
          <w:szCs w:val="24"/>
        </w:rPr>
        <w:t>. With typical antenna roll-off of 20 dB/deg, C/I values of 14–17 dB are achievable, sufficient for modulations up to 16APSK [11].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To further mitigate interference, advanced techniques are employed: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Interference cancellation at the demodulator: Using successive interference cancellation (SIC), similar to multi-user detection.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Adaptive coding and modulation (ACM) : The gateway commands each terminal to measure C/(N+I) and reports back; the return channel selects the highest modulation and code rate (MODCOD) that satisfies a 10⁻⁷ BER. This pushes the system close to the Shannon limit even under variable interference.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Case Study – ViaSat-3 and Jupiter-3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The ViaSat-3 class (ViaSat-3 F1 launched April 2023, F2 and F3 planned) is representative of state-of-the-art HTS with zooming capabilities. The satellite carries a massive 16-meter </w:t>
      </w:r>
      <w:proofErr w:type="spellStart"/>
      <w:r w:rsidRPr="009047DF">
        <w:rPr>
          <w:rFonts w:ascii="Times New Roman" w:hAnsi="Times New Roman" w:cs="Times New Roman"/>
          <w:sz w:val="24"/>
          <w:szCs w:val="24"/>
        </w:rPr>
        <w:t>unfurlable</w:t>
      </w:r>
      <w:proofErr w:type="spellEnd"/>
      <w:r w:rsidRPr="009047DF">
        <w:rPr>
          <w:rFonts w:ascii="Times New Roman" w:hAnsi="Times New Roman" w:cs="Times New Roman"/>
          <w:sz w:val="24"/>
          <w:szCs w:val="24"/>
        </w:rPr>
        <w:t xml:space="preserve"> reflector and over 5,000 feed elements. Key specifications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Number of spot beams: ~500 fully formed beams (activable on demand).</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Frequency reuse factor: 20× (Ka-band, 4 </w:t>
      </w:r>
      <w:proofErr w:type="spellStart"/>
      <w:r w:rsidRPr="009047DF">
        <w:rPr>
          <w:rFonts w:ascii="Times New Roman" w:hAnsi="Times New Roman" w:cs="Times New Roman"/>
          <w:sz w:val="24"/>
          <w:szCs w:val="24"/>
        </w:rPr>
        <w:t>colors</w:t>
      </w:r>
      <w:proofErr w:type="spellEnd"/>
      <w:r w:rsidRPr="009047DF">
        <w:rPr>
          <w:rFonts w:ascii="Times New Roman" w:hAnsi="Times New Roman" w:cs="Times New Roman"/>
          <w:sz w:val="24"/>
          <w:szCs w:val="24"/>
        </w:rPr>
        <w:t xml:space="preserve"> × 2 polarizations, plus beam hopping).</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Total capacity: &gt;1,000 Gbps per satellite.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Zooming feature (ViaSat proprietary): Beam-centric resource allocation — the satellite can “zoom” into any service area by allocating a cluster of beams with narrower angular spacing (cells as small as 150 km diameter) for dense urban zones, or wider beams for rural coverage. This is accomplished via a flexible feed array and digital beamforming.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Measurements from early ViaSat-3 operations show that dynamic zooming increases area spectral efficiency from 2.1 bps/Hz/km² (static HTS) to 8.7 bps/Hz/km² by concentrating power where it is most needed during peak hours.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7. Challenges and Open Research Areas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Despite impressive progress, several obstacles remain: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lang w:val="en-US"/>
        </w:rPr>
      </w:pPr>
      <w:r w:rsidRPr="009047DF">
        <w:rPr>
          <w:rFonts w:ascii="Times New Roman" w:hAnsi="Times New Roman" w:cs="Times New Roman"/>
          <w:sz w:val="24"/>
          <w:szCs w:val="24"/>
        </w:rPr>
        <w:t xml:space="preserve">1. Adjacent satellite interference (ASI) : As more HTS satellites fill the orbital arc, frequency coordination becomes extremely complex. The ITU Radio Regulations require hard separation (e.g., 2° for GEO) but beam edge energy may still cause interference to </w:t>
      </w:r>
      <w:proofErr w:type="spellStart"/>
      <w:r w:rsidRPr="009047DF">
        <w:rPr>
          <w:rFonts w:ascii="Times New Roman" w:hAnsi="Times New Roman" w:cs="Times New Roman"/>
          <w:sz w:val="24"/>
          <w:szCs w:val="24"/>
        </w:rPr>
        <w:t>neighboring</w:t>
      </w:r>
      <w:proofErr w:type="spellEnd"/>
      <w:r w:rsidRPr="009047DF">
        <w:rPr>
          <w:rFonts w:ascii="Times New Roman" w:hAnsi="Times New Roman" w:cs="Times New Roman"/>
          <w:sz w:val="24"/>
          <w:szCs w:val="24"/>
        </w:rPr>
        <w:t xml:space="preserve"> satellites using same band </w:t>
      </w:r>
      <w:r w:rsidR="003230D1" w:rsidRPr="009047DF">
        <w:rPr>
          <w:rFonts w:ascii="Times New Roman" w:hAnsi="Times New Roman" w:cs="Times New Roman"/>
          <w:sz w:val="24"/>
          <w:szCs w:val="24"/>
          <w:lang w:val="en-US"/>
        </w:rPr>
        <w: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2. Gateway link bottlenecks: HTS satellites rely on a network of Gateway Earth stations (typically 10–30 per satellite) to aggregate user traffic back to the internet. If a gateway experiences rain fade, the entire capacity of its associated beam cluster drops. Optical feeder links using </w:t>
      </w:r>
      <w:proofErr w:type="spellStart"/>
      <w:r w:rsidRPr="009047DF">
        <w:rPr>
          <w:rFonts w:ascii="Times New Roman" w:hAnsi="Times New Roman" w:cs="Times New Roman"/>
          <w:sz w:val="24"/>
          <w:szCs w:val="24"/>
        </w:rPr>
        <w:t>lasercom</w:t>
      </w:r>
      <w:proofErr w:type="spellEnd"/>
      <w:r w:rsidRPr="009047DF">
        <w:rPr>
          <w:rFonts w:ascii="Times New Roman" w:hAnsi="Times New Roman" w:cs="Times New Roman"/>
          <w:sz w:val="24"/>
          <w:szCs w:val="24"/>
        </w:rPr>
        <w:t xml:space="preserve"> are being researched to mitigate this.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 Computational complexity for real-time beam hopping: Optimizing a time–frequency–power assignment for hundreds of beams with millisecond granularity is NP-hard. Heuristic algorithms (genetic, reinforcement learning) are under study.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4. Terminal pointing precision: To realize higher C/I, future HTS may use beams as narrow as 0.1°. Terminals with standard 0.6 m antennas would need pointing accuracy better than 0.05°, which is challenging for low-cost hardware.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8. Future Directions – Optical Feeder Links and AI Controllers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Two emerging technologies promise to solve current limitations: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 xml:space="preserve">· Free-space optical (FSO) feeder links (e.g., the European Space Agency’s </w:t>
      </w:r>
      <w:proofErr w:type="spellStart"/>
      <w:r w:rsidRPr="009047DF">
        <w:rPr>
          <w:rFonts w:ascii="Times New Roman" w:hAnsi="Times New Roman" w:cs="Times New Roman"/>
          <w:sz w:val="24"/>
          <w:szCs w:val="24"/>
        </w:rPr>
        <w:t>HydRON</w:t>
      </w:r>
      <w:proofErr w:type="spellEnd"/>
      <w:r w:rsidRPr="009047DF">
        <w:rPr>
          <w:rFonts w:ascii="Times New Roman" w:hAnsi="Times New Roman" w:cs="Times New Roman"/>
          <w:sz w:val="24"/>
          <w:szCs w:val="24"/>
        </w:rPr>
        <w:t xml:space="preserve"> project) replace RF gateways with </w:t>
      </w:r>
      <w:proofErr w:type="spellStart"/>
      <w:r w:rsidRPr="009047DF">
        <w:rPr>
          <w:rFonts w:ascii="Times New Roman" w:hAnsi="Times New Roman" w:cs="Times New Roman"/>
          <w:sz w:val="24"/>
          <w:szCs w:val="24"/>
        </w:rPr>
        <w:t>lasercom</w:t>
      </w:r>
      <w:proofErr w:type="spellEnd"/>
      <w:r w:rsidRPr="009047DF">
        <w:rPr>
          <w:rFonts w:ascii="Times New Roman" w:hAnsi="Times New Roman" w:cs="Times New Roman"/>
          <w:sz w:val="24"/>
          <w:szCs w:val="24"/>
        </w:rPr>
        <w:t xml:space="preserve"> terminals on ground, offering 10+ Gbps per link and immunity to RF congestion and most atmospheric interference. Optical links also enable beam hopping decisions to be made on the ground without satellite latency .</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AI-driven resource management: Satellite manufacturers (e.g., Thales </w:t>
      </w:r>
      <w:proofErr w:type="spellStart"/>
      <w:r w:rsidRPr="009047DF">
        <w:rPr>
          <w:rFonts w:ascii="Times New Roman" w:hAnsi="Times New Roman" w:cs="Times New Roman"/>
          <w:sz w:val="24"/>
          <w:szCs w:val="24"/>
        </w:rPr>
        <w:t>Alenia</w:t>
      </w:r>
      <w:proofErr w:type="spellEnd"/>
      <w:r w:rsidRPr="009047DF">
        <w:rPr>
          <w:rFonts w:ascii="Times New Roman" w:hAnsi="Times New Roman" w:cs="Times New Roman"/>
          <w:sz w:val="24"/>
          <w:szCs w:val="24"/>
        </w:rPr>
        <w:t xml:space="preserve"> Space) are embedding machine learning coprocessors on payloads. A trained deep Q-network (DQN) can take traffic demand estimates as input and output next-frame beam power levels and hopping patterns, reducing decision latency to microseconds.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These innovations will turn “satellite zooming” from a static or semi-static feature into a fully adaptive, cognitive capability.</w:t>
      </w:r>
    </w:p>
    <w:p w:rsidR="00923D10" w:rsidRPr="009047DF" w:rsidRDefault="00923D10" w:rsidP="00923D10">
      <w:pPr>
        <w:jc w:val="both"/>
        <w:rPr>
          <w:rFonts w:ascii="Times New Roman" w:hAnsi="Times New Roman" w:cs="Times New Roman"/>
          <w:sz w:val="24"/>
          <w:szCs w:val="24"/>
        </w:rPr>
      </w:pPr>
    </w:p>
    <w:p w:rsidR="00923D10" w:rsidRPr="009047DF" w:rsidRDefault="008704D2" w:rsidP="00923D10">
      <w:pPr>
        <w:jc w:val="both"/>
        <w:rPr>
          <w:rFonts w:ascii="Times New Roman" w:hAnsi="Times New Roman" w:cs="Times New Roman"/>
          <w:sz w:val="24"/>
          <w:szCs w:val="24"/>
          <w:lang w:val="en-US"/>
        </w:rPr>
      </w:pPr>
      <w:r w:rsidRPr="009047DF">
        <w:rPr>
          <w:rFonts w:ascii="Times New Roman" w:hAnsi="Times New Roman" w:cs="Times New Roman"/>
          <w:sz w:val="24"/>
          <w:szCs w:val="24"/>
          <w:lang w:val="en-US"/>
        </w:rPr>
        <w:t>To</w:t>
      </w:r>
      <w:r w:rsidR="00923D10" w:rsidRPr="009047DF">
        <w:rPr>
          <w:rFonts w:ascii="Times New Roman" w:hAnsi="Times New Roman" w:cs="Times New Roman"/>
          <w:sz w:val="24"/>
          <w:szCs w:val="24"/>
        </w:rPr>
        <w:t xml:space="preserve"> </w:t>
      </w:r>
      <w:r w:rsidRPr="009047DF">
        <w:rPr>
          <w:rFonts w:ascii="Times New Roman" w:hAnsi="Times New Roman" w:cs="Times New Roman"/>
          <w:sz w:val="24"/>
          <w:szCs w:val="24"/>
          <w:lang w:val="en-US"/>
        </w:rPr>
        <w:t xml:space="preserve">Conclude </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High-Throughput Satellites have successfully applied three synergistic techniques—spatial frequency reuse, multi-spot beam antennas, and dynamic resource allocation (“zooming”)—to achieve terabit-class capacities from geostationary orbit. Through detailed analysis of antenna architectures, </w:t>
      </w:r>
      <w:proofErr w:type="spellStart"/>
      <w:r w:rsidRPr="009047DF">
        <w:rPr>
          <w:rFonts w:ascii="Times New Roman" w:hAnsi="Times New Roman" w:cs="Times New Roman"/>
          <w:sz w:val="24"/>
          <w:szCs w:val="24"/>
        </w:rPr>
        <w:t>color</w:t>
      </w:r>
      <w:proofErr w:type="spellEnd"/>
      <w:r w:rsidRPr="009047DF">
        <w:rPr>
          <w:rFonts w:ascii="Times New Roman" w:hAnsi="Times New Roman" w:cs="Times New Roman"/>
          <w:sz w:val="24"/>
          <w:szCs w:val="24"/>
        </w:rPr>
        <w:t xml:space="preserve"> reuse patterns, interference management, and case study data from ViaSat-3, </w:t>
      </w:r>
      <w:r w:rsidR="00DE6463">
        <w:rPr>
          <w:rFonts w:ascii="Times New Roman" w:hAnsi="Times New Roman" w:cs="Times New Roman"/>
          <w:sz w:val="24"/>
          <w:szCs w:val="24"/>
        </w:rPr>
        <w:t>this essay</w:t>
      </w:r>
      <w:r w:rsidRPr="009047DF">
        <w:rPr>
          <w:rFonts w:ascii="Times New Roman" w:hAnsi="Times New Roman" w:cs="Times New Roman"/>
          <w:sz w:val="24"/>
          <w:szCs w:val="24"/>
        </w:rPr>
        <w:t xml:space="preserve"> has demonstrated that precision spot beam delivery is not merely an incremental improvement but a fundamental shift in satellite communications. Challenges of interference, gateway resilience, and computational complexity remain, but emerging optical link and AI-based solutions promise to address them. As 6G networks seek to integrate satellite and terrestrial components, the principles of satellite zooming and precision beam control will be essential for ubiquitous high-speed connectivity.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References </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 G. Lyons and M. S. P. Gomes, “High-throughput satellite (HTS) architectures: A survey of technologies and trends,” Int. J. </w:t>
      </w:r>
      <w:proofErr w:type="spellStart"/>
      <w:r w:rsidRPr="009047DF">
        <w:rPr>
          <w:rFonts w:ascii="Times New Roman" w:hAnsi="Times New Roman" w:cs="Times New Roman"/>
          <w:sz w:val="24"/>
          <w:szCs w:val="24"/>
        </w:rPr>
        <w:t>Satell</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Netw</w:t>
      </w:r>
      <w:proofErr w:type="spellEnd"/>
      <w:r w:rsidRPr="009047DF">
        <w:rPr>
          <w:rFonts w:ascii="Times New Roman" w:hAnsi="Times New Roman" w:cs="Times New Roman"/>
          <w:sz w:val="24"/>
          <w:szCs w:val="24"/>
        </w:rPr>
        <w:t xml:space="preserve">., vol. 39, no. 4, pp. 355–378, Jul./Aug. 2021,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10.1002/sat.1395.</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B. R. Elbert, Introduction to Satellite Communication, 4th ed. Norwood, MA, USA: Artech House, 2020, </w:t>
      </w:r>
      <w:proofErr w:type="spellStart"/>
      <w:r w:rsidRPr="009047DF">
        <w:rPr>
          <w:rFonts w:ascii="Times New Roman" w:hAnsi="Times New Roman" w:cs="Times New Roman"/>
          <w:sz w:val="24"/>
          <w:szCs w:val="24"/>
        </w:rPr>
        <w:t>ch.</w:t>
      </w:r>
      <w:proofErr w:type="spellEnd"/>
      <w:r w:rsidRPr="009047DF">
        <w:rPr>
          <w:rFonts w:ascii="Times New Roman" w:hAnsi="Times New Roman" w:cs="Times New Roman"/>
          <w:sz w:val="24"/>
          <w:szCs w:val="24"/>
        </w:rPr>
        <w:t xml:space="preserve"> 7, pp. 215–240.</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ViaSat Inc., “ViaSat-3: Global Terabit connectivity,” ViaSat Corp., Carlsbad, CA, USA, Tech. Rep. VS-302, Jan. 2023.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w:t>
      </w:r>
      <w:proofErr w:type="spellStart"/>
      <w:r w:rsidRPr="009047DF">
        <w:rPr>
          <w:rFonts w:ascii="Times New Roman" w:hAnsi="Times New Roman" w:cs="Times New Roman"/>
          <w:sz w:val="24"/>
          <w:szCs w:val="24"/>
        </w:rPr>
        <w:t>Ginesi</w:t>
      </w:r>
      <w:proofErr w:type="spellEnd"/>
      <w:r w:rsidRPr="009047DF">
        <w:rPr>
          <w:rFonts w:ascii="Times New Roman" w:hAnsi="Times New Roman" w:cs="Times New Roman"/>
          <w:sz w:val="24"/>
          <w:szCs w:val="24"/>
        </w:rPr>
        <w:t xml:space="preserve">, D. F. W. </w:t>
      </w:r>
      <w:proofErr w:type="spellStart"/>
      <w:r w:rsidRPr="009047DF">
        <w:rPr>
          <w:rFonts w:ascii="Times New Roman" w:hAnsi="Times New Roman" w:cs="Times New Roman"/>
          <w:sz w:val="24"/>
          <w:szCs w:val="24"/>
        </w:rPr>
        <w:t>Aroumont</w:t>
      </w:r>
      <w:proofErr w:type="spellEnd"/>
      <w:r w:rsidRPr="009047DF">
        <w:rPr>
          <w:rFonts w:ascii="Times New Roman" w:hAnsi="Times New Roman" w:cs="Times New Roman"/>
          <w:sz w:val="24"/>
          <w:szCs w:val="24"/>
        </w:rPr>
        <w:t xml:space="preserve">, and L. </w:t>
      </w:r>
      <w:proofErr w:type="spellStart"/>
      <w:r w:rsidRPr="009047DF">
        <w:rPr>
          <w:rFonts w:ascii="Times New Roman" w:hAnsi="Times New Roman" w:cs="Times New Roman"/>
          <w:sz w:val="24"/>
          <w:szCs w:val="24"/>
        </w:rPr>
        <w:t>Duquerroy</w:t>
      </w:r>
      <w:proofErr w:type="spellEnd"/>
      <w:r w:rsidRPr="009047DF">
        <w:rPr>
          <w:rFonts w:ascii="Times New Roman" w:hAnsi="Times New Roman" w:cs="Times New Roman"/>
          <w:sz w:val="24"/>
          <w:szCs w:val="24"/>
        </w:rPr>
        <w:t xml:space="preserve">, “High throughput satellite systems: A practical approach,” IEEE </w:t>
      </w:r>
      <w:proofErr w:type="spellStart"/>
      <w:r w:rsidRPr="009047DF">
        <w:rPr>
          <w:rFonts w:ascii="Times New Roman" w:hAnsi="Times New Roman" w:cs="Times New Roman"/>
          <w:sz w:val="24"/>
          <w:szCs w:val="24"/>
        </w:rPr>
        <w:t>Aerosp</w:t>
      </w:r>
      <w:proofErr w:type="spellEnd"/>
      <w:r w:rsidRPr="009047DF">
        <w:rPr>
          <w:rFonts w:ascii="Times New Roman" w:hAnsi="Times New Roman" w:cs="Times New Roman"/>
          <w:sz w:val="24"/>
          <w:szCs w:val="24"/>
        </w:rPr>
        <w:t xml:space="preserve">. Electron. Syst. Mag., vol. 35, no. 6, pp. 28–44, Jun. 2020,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10.1109/MAES.2020.2983967.</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T. S. Rappaport, Wireless Communications: Principles and Practice, 3rd ed. Cambridge, UK: Cambridge Univ. Press, 2018, pp. 532–568.</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P. </w:t>
      </w:r>
      <w:proofErr w:type="spellStart"/>
      <w:r w:rsidRPr="009047DF">
        <w:rPr>
          <w:rFonts w:ascii="Times New Roman" w:hAnsi="Times New Roman" w:cs="Times New Roman"/>
          <w:sz w:val="24"/>
          <w:szCs w:val="24"/>
        </w:rPr>
        <w:t>Angeletti</w:t>
      </w:r>
      <w:proofErr w:type="spellEnd"/>
      <w:r w:rsidRPr="009047DF">
        <w:rPr>
          <w:rFonts w:ascii="Times New Roman" w:hAnsi="Times New Roman" w:cs="Times New Roman"/>
          <w:sz w:val="24"/>
          <w:szCs w:val="24"/>
        </w:rPr>
        <w:t xml:space="preserve"> and M. </w:t>
      </w:r>
      <w:proofErr w:type="spellStart"/>
      <w:r w:rsidRPr="009047DF">
        <w:rPr>
          <w:rFonts w:ascii="Times New Roman" w:hAnsi="Times New Roman" w:cs="Times New Roman"/>
          <w:sz w:val="24"/>
          <w:szCs w:val="24"/>
        </w:rPr>
        <w:t>Lisi</w:t>
      </w:r>
      <w:proofErr w:type="spellEnd"/>
      <w:r w:rsidRPr="009047DF">
        <w:rPr>
          <w:rFonts w:ascii="Times New Roman" w:hAnsi="Times New Roman" w:cs="Times New Roman"/>
          <w:sz w:val="24"/>
          <w:szCs w:val="24"/>
        </w:rPr>
        <w:t xml:space="preserve">, “Multibeam antennas for high throughput satellites,” in Proc. Eur. Conf. Antennas </w:t>
      </w:r>
      <w:proofErr w:type="spellStart"/>
      <w:r w:rsidRPr="009047DF">
        <w:rPr>
          <w:rFonts w:ascii="Times New Roman" w:hAnsi="Times New Roman" w:cs="Times New Roman"/>
          <w:sz w:val="24"/>
          <w:szCs w:val="24"/>
        </w:rPr>
        <w:t>Propag</w:t>
      </w:r>
      <w:proofErr w:type="spellEnd"/>
      <w:r w:rsidRPr="009047DF">
        <w:rPr>
          <w:rFonts w:ascii="Times New Roman" w:hAnsi="Times New Roman" w:cs="Times New Roman"/>
          <w:sz w:val="24"/>
          <w:szCs w:val="24"/>
        </w:rPr>
        <w:t>. (</w:t>
      </w:r>
      <w:proofErr w:type="spellStart"/>
      <w:r w:rsidRPr="009047DF">
        <w:rPr>
          <w:rFonts w:ascii="Times New Roman" w:hAnsi="Times New Roman" w:cs="Times New Roman"/>
          <w:sz w:val="24"/>
          <w:szCs w:val="24"/>
        </w:rPr>
        <w:t>EuCAP</w:t>
      </w:r>
      <w:proofErr w:type="spellEnd"/>
      <w:r w:rsidRPr="009047DF">
        <w:rPr>
          <w:rFonts w:ascii="Times New Roman" w:hAnsi="Times New Roman" w:cs="Times New Roman"/>
          <w:sz w:val="24"/>
          <w:szCs w:val="24"/>
        </w:rPr>
        <w:t xml:space="preserve">), Lisbon, Portugal, Apr. 2015, pp. 1–5,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10.1109/EuCAP.2015.7228462.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J. L. Cuevas-Ruiz and M. A. Salas-</w:t>
      </w:r>
      <w:proofErr w:type="spellStart"/>
      <w:r w:rsidRPr="009047DF">
        <w:rPr>
          <w:rFonts w:ascii="Times New Roman" w:hAnsi="Times New Roman" w:cs="Times New Roman"/>
          <w:sz w:val="24"/>
          <w:szCs w:val="24"/>
        </w:rPr>
        <w:t>Natera</w:t>
      </w:r>
      <w:proofErr w:type="spellEnd"/>
      <w:r w:rsidRPr="009047DF">
        <w:rPr>
          <w:rFonts w:ascii="Times New Roman" w:hAnsi="Times New Roman" w:cs="Times New Roman"/>
          <w:sz w:val="24"/>
          <w:szCs w:val="24"/>
        </w:rPr>
        <w:t xml:space="preserve">, “Cross-polarization discrimination in HTS systems: Measurement and </w:t>
      </w:r>
      <w:proofErr w:type="spellStart"/>
      <w:r w:rsidRPr="009047DF">
        <w:rPr>
          <w:rFonts w:ascii="Times New Roman" w:hAnsi="Times New Roman" w:cs="Times New Roman"/>
          <w:sz w:val="24"/>
          <w:szCs w:val="24"/>
        </w:rPr>
        <w:t>modeling</w:t>
      </w:r>
      <w:proofErr w:type="spellEnd"/>
      <w:r w:rsidRPr="009047DF">
        <w:rPr>
          <w:rFonts w:ascii="Times New Roman" w:hAnsi="Times New Roman" w:cs="Times New Roman"/>
          <w:sz w:val="24"/>
          <w:szCs w:val="24"/>
        </w:rPr>
        <w:t xml:space="preserve">,” IEEE Trans. Antennas </w:t>
      </w:r>
      <w:proofErr w:type="spellStart"/>
      <w:r w:rsidRPr="009047DF">
        <w:rPr>
          <w:rFonts w:ascii="Times New Roman" w:hAnsi="Times New Roman" w:cs="Times New Roman"/>
          <w:sz w:val="24"/>
          <w:szCs w:val="24"/>
        </w:rPr>
        <w:t>Propag</w:t>
      </w:r>
      <w:proofErr w:type="spellEnd"/>
      <w:r w:rsidRPr="009047DF">
        <w:rPr>
          <w:rFonts w:ascii="Times New Roman" w:hAnsi="Times New Roman" w:cs="Times New Roman"/>
          <w:sz w:val="24"/>
          <w:szCs w:val="24"/>
        </w:rPr>
        <w:t xml:space="preserve">., vol. 68, no. 3, pp. 2103–2112, Mar. 2020,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10.1109/TAP.2019.2940499.</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P. T. Thompson and G. K. </w:t>
      </w:r>
      <w:proofErr w:type="spellStart"/>
      <w:r w:rsidRPr="009047DF">
        <w:rPr>
          <w:rFonts w:ascii="Times New Roman" w:hAnsi="Times New Roman" w:cs="Times New Roman"/>
          <w:sz w:val="24"/>
          <w:szCs w:val="24"/>
        </w:rPr>
        <w:t>Varadharajan</w:t>
      </w:r>
      <w:proofErr w:type="spellEnd"/>
      <w:r w:rsidRPr="009047DF">
        <w:rPr>
          <w:rFonts w:ascii="Times New Roman" w:hAnsi="Times New Roman" w:cs="Times New Roman"/>
          <w:sz w:val="24"/>
          <w:szCs w:val="24"/>
        </w:rPr>
        <w:t xml:space="preserve">, “Beam hopping techniques for very high throughput satellites,” Int. J. </w:t>
      </w:r>
      <w:proofErr w:type="spellStart"/>
      <w:r w:rsidRPr="009047DF">
        <w:rPr>
          <w:rFonts w:ascii="Times New Roman" w:hAnsi="Times New Roman" w:cs="Times New Roman"/>
          <w:sz w:val="24"/>
          <w:szCs w:val="24"/>
        </w:rPr>
        <w:t>Satell</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Netw</w:t>
      </w:r>
      <w:proofErr w:type="spellEnd"/>
      <w:r w:rsidRPr="009047DF">
        <w:rPr>
          <w:rFonts w:ascii="Times New Roman" w:hAnsi="Times New Roman" w:cs="Times New Roman"/>
          <w:sz w:val="24"/>
          <w:szCs w:val="24"/>
        </w:rPr>
        <w:t xml:space="preserve">., vol. 40, no. 2, pp. 101–118, Mar./Apr. 2022,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10.1002/sat.1427.</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Eutelsat Communications, “Eutelsat Quantum: First software-defined satellite,” Eutelsat White Paper, Paris, France, Nov. 2021. [Online]. Available: https://www.eutelsat.com/en/quantum.html</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W. W. Wu and E. F. Miller, “Dynamic power allocation in flexible satellite payloads,” J.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Netw</w:t>
      </w:r>
      <w:proofErr w:type="spellEnd"/>
      <w:r w:rsidRPr="009047DF">
        <w:rPr>
          <w:rFonts w:ascii="Times New Roman" w:hAnsi="Times New Roman" w:cs="Times New Roman"/>
          <w:sz w:val="24"/>
          <w:szCs w:val="24"/>
        </w:rPr>
        <w:t xml:space="preserve">., vol. 23, no. 5, pp. 344–356, Oct. 2021,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10.23919/JCN.2021.000031.</w:t>
      </w:r>
    </w:p>
    <w:p w:rsidR="003230D1" w:rsidRPr="009047DF" w:rsidRDefault="003230D1"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 </w:t>
      </w:r>
      <w:proofErr w:type="spellStart"/>
      <w:r w:rsidRPr="009047DF">
        <w:rPr>
          <w:rFonts w:ascii="Times New Roman" w:hAnsi="Times New Roman" w:cs="Times New Roman"/>
          <w:sz w:val="24"/>
          <w:szCs w:val="24"/>
        </w:rPr>
        <w:t>Cioni</w:t>
      </w:r>
      <w:proofErr w:type="spellEnd"/>
      <w:r w:rsidRPr="009047DF">
        <w:rPr>
          <w:rFonts w:ascii="Times New Roman" w:hAnsi="Times New Roman" w:cs="Times New Roman"/>
          <w:sz w:val="24"/>
          <w:szCs w:val="24"/>
        </w:rPr>
        <w:t xml:space="preserve">, R. De </w:t>
      </w:r>
      <w:proofErr w:type="spellStart"/>
      <w:r w:rsidRPr="009047DF">
        <w:rPr>
          <w:rFonts w:ascii="Times New Roman" w:hAnsi="Times New Roman" w:cs="Times New Roman"/>
          <w:sz w:val="24"/>
          <w:szCs w:val="24"/>
        </w:rPr>
        <w:t>Gaudenzi</w:t>
      </w:r>
      <w:proofErr w:type="spellEnd"/>
      <w:r w:rsidRPr="009047DF">
        <w:rPr>
          <w:rFonts w:ascii="Times New Roman" w:hAnsi="Times New Roman" w:cs="Times New Roman"/>
          <w:sz w:val="24"/>
          <w:szCs w:val="24"/>
        </w:rPr>
        <w:t xml:space="preserve">, and O. del Rio Herrero, “Interference management in high-throughput satellite systems,” IEEE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Mag., vol. 57, no. 9, pp. 92–98, Sep. 2019, </w:t>
      </w:r>
      <w:r w:rsidR="00EA69CE">
        <w:rPr>
          <w:rFonts w:ascii="Times New Roman" w:hAnsi="Times New Roman" w:cs="Times New Roman"/>
          <w:sz w:val="24"/>
          <w:szCs w:val="24"/>
          <w:lang w:val="en-GB"/>
        </w:rPr>
        <w:t>,,,,,</w:t>
      </w:r>
      <w:r w:rsidRPr="009047DF">
        <w:rPr>
          <w:rFonts w:ascii="Times New Roman" w:hAnsi="Times New Roman" w:cs="Times New Roman"/>
          <w:sz w:val="24"/>
          <w:szCs w:val="24"/>
        </w:rPr>
        <w:t>: 10.1109/MCOM.2019.1900108.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ViaSat Inc., “ViaSat-3 technical overview,” ViaSat Corp., Carlsbad, CA, USA, Tech. Brief TB-V3-2024, Jan. 2024.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J. R. Anderson et al., “Field measurements of beam hopping efficiency in ViaSat-3,” in Proc. AIAA Int.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Satell</w:t>
      </w:r>
      <w:proofErr w:type="spellEnd"/>
      <w:r w:rsidRPr="009047DF">
        <w:rPr>
          <w:rFonts w:ascii="Times New Roman" w:hAnsi="Times New Roman" w:cs="Times New Roman"/>
          <w:sz w:val="24"/>
          <w:szCs w:val="24"/>
        </w:rPr>
        <w:t>. Syst. Conf. (ICSSC), Washington, DC, USA, Sep. 2024, pp. 1–9.</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ITU Radiocommunication Bureau, Regulations for Fixed-Satellite Service Coordination, ITU-R Rec. S.1003-2, Geneva, Switzerland, 2022.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ESA Advanced Concepts Team, “</w:t>
      </w:r>
      <w:proofErr w:type="spellStart"/>
      <w:r w:rsidRPr="009047DF">
        <w:rPr>
          <w:rFonts w:ascii="Times New Roman" w:hAnsi="Times New Roman" w:cs="Times New Roman"/>
          <w:sz w:val="24"/>
          <w:szCs w:val="24"/>
        </w:rPr>
        <w:t>HydRON</w:t>
      </w:r>
      <w:proofErr w:type="spellEnd"/>
      <w:r w:rsidRPr="009047DF">
        <w:rPr>
          <w:rFonts w:ascii="Times New Roman" w:hAnsi="Times New Roman" w:cs="Times New Roman"/>
          <w:sz w:val="24"/>
          <w:szCs w:val="24"/>
        </w:rPr>
        <w:t>: High-throughput optical feeder links,” European Space Agency, Paris, France, Rep. ACT-RPT-5023, Mar. 2023.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u w:val="single"/>
        </w:rPr>
      </w:pPr>
      <w:r w:rsidRPr="009047DF">
        <w:rPr>
          <w:rFonts w:ascii="Times New Roman" w:hAnsi="Times New Roman" w:cs="Times New Roman"/>
          <w:b/>
          <w:bCs/>
          <w:sz w:val="24"/>
          <w:szCs w:val="24"/>
          <w:u w:val="single"/>
        </w:rPr>
        <w:lastRenderedPageBreak/>
        <w:t>Comparative Analysis:</w:t>
      </w:r>
      <w:r w:rsidRPr="009047DF">
        <w:rPr>
          <w:rFonts w:ascii="Times New Roman" w:hAnsi="Times New Roman" w:cs="Times New Roman"/>
          <w:sz w:val="24"/>
          <w:szCs w:val="24"/>
        </w:rPr>
        <w:t xml:space="preserve"> </w:t>
      </w:r>
      <w:r w:rsidRPr="009047DF">
        <w:rPr>
          <w:rFonts w:ascii="Times New Roman" w:hAnsi="Times New Roman" w:cs="Times New Roman"/>
          <w:sz w:val="24"/>
          <w:szCs w:val="24"/>
          <w:u w:val="single"/>
        </w:rPr>
        <w:t>Advantages and Disadvantages of Satellite vs. Terrestrial Data Communication</w:t>
      </w:r>
    </w:p>
    <w:p w:rsidR="00923D10" w:rsidRPr="009047DF" w:rsidRDefault="00923D10" w:rsidP="008704D2">
      <w:pPr>
        <w:spacing w:line="360" w:lineRule="auto"/>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 global telecommunications infrastructure relies on two fundamentally distinct physical media: terrestrial networks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optic, copper, microwave) and satellite systems (LEO, MEO, GEO). Each technology offers unique performance characteristics, economic trade-offs, and geographic applicability. </w:t>
      </w:r>
      <w:r w:rsidR="00DE6463">
        <w:rPr>
          <w:rFonts w:ascii="Times New Roman" w:hAnsi="Times New Roman" w:cs="Times New Roman"/>
          <w:sz w:val="24"/>
          <w:szCs w:val="24"/>
        </w:rPr>
        <w:t>This essay</w:t>
      </w:r>
      <w:r w:rsidRPr="009047DF">
        <w:rPr>
          <w:rFonts w:ascii="Times New Roman" w:hAnsi="Times New Roman" w:cs="Times New Roman"/>
          <w:sz w:val="24"/>
          <w:szCs w:val="24"/>
        </w:rPr>
        <w:t xml:space="preserve"> provides a systematic comparative analysis of satellite and terrestrial data communication across key metrics: latency, bandwidth capacity, coverage, deployment cost, reliability, and security.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excels in urban and suburban areas with latency as low as 0.5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/10 km, raw bitrates exceeding 100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and stable performance. Satellite systems, particularly emerging Low Earth Orbit (LEO) constellations like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and </w:t>
      </w:r>
      <w:proofErr w:type="spellStart"/>
      <w:r w:rsidRPr="009047DF">
        <w:rPr>
          <w:rFonts w:ascii="Times New Roman" w:hAnsi="Times New Roman" w:cs="Times New Roman"/>
          <w:sz w:val="24"/>
          <w:szCs w:val="24"/>
        </w:rPr>
        <w:t>OneWeb</w:t>
      </w:r>
      <w:proofErr w:type="spellEnd"/>
      <w:r w:rsidRPr="009047DF">
        <w:rPr>
          <w:rFonts w:ascii="Times New Roman" w:hAnsi="Times New Roman" w:cs="Times New Roman"/>
          <w:sz w:val="24"/>
          <w:szCs w:val="24"/>
        </w:rPr>
        <w:t xml:space="preserve">, offer global coverage, rapid deployment, and inherent broadcast efficiency, but suffer from higher latency (20–50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for LEO, 500–600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for GEO) and susceptibility to atmospheric fading. We conclude that neither technology dominates absolutely; instead, hybrid architectures leveraging terrestrial backbones for high-density areas and satellite for remote, mobile, or disaster-recovery scenarios represent the optimal future network paradigm.</w:t>
      </w:r>
    </w:p>
    <w:p w:rsidR="00923D10" w:rsidRPr="009047DF" w:rsidRDefault="00923D10" w:rsidP="00923D10">
      <w:pPr>
        <w:jc w:val="both"/>
        <w:rPr>
          <w:rFonts w:ascii="Times New Roman" w:hAnsi="Times New Roman" w:cs="Times New Roman"/>
          <w:sz w:val="24"/>
          <w:szCs w:val="24"/>
        </w:rPr>
      </w:pPr>
    </w:p>
    <w:p w:rsidR="00923D10" w:rsidRPr="00EA69CE" w:rsidRDefault="00923D10" w:rsidP="00923D10">
      <w:pPr>
        <w:jc w:val="both"/>
        <w:rPr>
          <w:rFonts w:ascii="Times New Roman" w:hAnsi="Times New Roman" w:cs="Times New Roman"/>
          <w:sz w:val="24"/>
          <w:szCs w:val="24"/>
          <w:lang w:val="en-GB"/>
        </w:rPr>
      </w:pPr>
      <w:r w:rsidRPr="009047DF">
        <w:rPr>
          <w:rFonts w:ascii="Times New Roman" w:hAnsi="Times New Roman" w:cs="Times New Roman"/>
          <w:sz w:val="24"/>
          <w:szCs w:val="24"/>
        </w:rPr>
        <w:t xml:space="preserve">More than half of the world’s population now has internet access, yet significant connectivity gaps remain – in rural regions, at sea, in flight, and in areas lacking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infrastructure [1]. Two competing architectures address these needs: terrestrial communication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optic cables, DSL, coaxial, microwave point-to-point) and satellite communication (geostationary, medium earth orbit, and low earth orbit systems). While terrestrial networks carry over 95% of global data traffic, satellite systems are experiencing a renaissance driven by LEO constellations and high-throughput technologies</w:t>
      </w:r>
      <w:r w:rsidR="00EA69CE">
        <w:rPr>
          <w:rFonts w:ascii="Times New Roman" w:hAnsi="Times New Roman" w:cs="Times New Roman"/>
          <w:sz w:val="24"/>
          <w:szCs w:val="24"/>
          <w:lang w:val="en-GB"/>
        </w:rPr>
        <w:t>.</w:t>
      </w:r>
    </w:p>
    <w:p w:rsidR="00923D10" w:rsidRPr="009047DF" w:rsidRDefault="00DE6463" w:rsidP="00923D10">
      <w:pPr>
        <w:jc w:val="both"/>
        <w:rPr>
          <w:rFonts w:ascii="Times New Roman" w:hAnsi="Times New Roman" w:cs="Times New Roman"/>
          <w:sz w:val="24"/>
          <w:szCs w:val="24"/>
        </w:rPr>
      </w:pPr>
      <w:r>
        <w:rPr>
          <w:rFonts w:ascii="Times New Roman" w:hAnsi="Times New Roman" w:cs="Times New Roman"/>
          <w:sz w:val="24"/>
          <w:szCs w:val="24"/>
          <w:lang w:val="en-GB"/>
        </w:rPr>
        <w:t>This essay</w:t>
      </w:r>
      <w:r w:rsidR="00923D10" w:rsidRPr="009047DF">
        <w:rPr>
          <w:rFonts w:ascii="Times New Roman" w:hAnsi="Times New Roman" w:cs="Times New Roman"/>
          <w:sz w:val="24"/>
          <w:szCs w:val="24"/>
        </w:rPr>
        <w:t xml:space="preserve"> question is timely: under what conditions should operators choose satellite versus terrestrial links? The answer requires a multidimensional trade-off analysis. We evaluate each technology across seven criteria:  latency, throughput and spectral efficiency,  coverage and accessibility,  deployment cost and time, environmental and physical vulnerabilities, security and regulatory considerations, and  scalability. The paper concludes with a decision framework and recommendations for hybrid integration.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 Terrestrial Data Communication – Advantages and Disadvantages</w:t>
      </w:r>
    </w:p>
    <w:p w:rsidR="00923D10" w:rsidRPr="009047DF" w:rsidRDefault="00923D10" w:rsidP="00923D10">
      <w:pPr>
        <w:jc w:val="both"/>
        <w:rPr>
          <w:rFonts w:ascii="Times New Roman" w:hAnsi="Times New Roman" w:cs="Times New Roman"/>
          <w:sz w:val="24"/>
          <w:szCs w:val="24"/>
        </w:rPr>
      </w:pPr>
      <w:bookmarkStart w:id="0" w:name="_GoBack"/>
      <w:bookmarkEnd w:id="0"/>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2.1 Advantages of Terrestrial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Ultra-Low Latency</w:t>
      </w:r>
    </w:p>
    <w:p w:rsidR="00923D10" w:rsidRPr="009047DF" w:rsidRDefault="00923D10" w:rsidP="00923D10">
      <w:pPr>
        <w:jc w:val="both"/>
        <w:rPr>
          <w:rFonts w:ascii="Times New Roman" w:hAnsi="Times New Roman" w:cs="Times New Roman"/>
          <w:sz w:val="24"/>
          <w:szCs w:val="24"/>
        </w:rPr>
      </w:pP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optic cables transmit data at approximately 2/3 the speed of light in vacuum ≈ 200,000 km/s. Consequently, propagation delay is about 5 µs per km (0.5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per 100 km). For a 1000 km link, terrestrial latency is ~5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vs. GEO satellite (~540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round trip). This advantage is </w:t>
      </w:r>
      <w:r w:rsidRPr="009047DF">
        <w:rPr>
          <w:rFonts w:ascii="Times New Roman" w:hAnsi="Times New Roman" w:cs="Times New Roman"/>
          <w:sz w:val="24"/>
          <w:szCs w:val="24"/>
        </w:rPr>
        <w:lastRenderedPageBreak/>
        <w:t xml:space="preserve">critical for real-time applications: high-frequency trading (where 1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advantage equals millions of dollars), cloud gaming, video conferencing, and industrial automation.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 Massive Throughput Capacity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Modern dense wavelength division multiplexing (DWDM)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systems support transmission of 80–160 channels × 100–400 Gbps per channel, yielding aggregate capacities &gt;10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per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pair. In laboratory settings, 1.84 </w:t>
      </w:r>
      <w:proofErr w:type="spellStart"/>
      <w:r w:rsidRPr="009047DF">
        <w:rPr>
          <w:rFonts w:ascii="Times New Roman" w:hAnsi="Times New Roman" w:cs="Times New Roman"/>
          <w:sz w:val="24"/>
          <w:szCs w:val="24"/>
        </w:rPr>
        <w:t>Pbps</w:t>
      </w:r>
      <w:proofErr w:type="spellEnd"/>
      <w:r w:rsidRPr="009047DF">
        <w:rPr>
          <w:rFonts w:ascii="Times New Roman" w:hAnsi="Times New Roman" w:cs="Times New Roman"/>
          <w:sz w:val="24"/>
          <w:szCs w:val="24"/>
        </w:rPr>
        <w:t xml:space="preserve"> (petabits per second) over 7-core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has been demonstrated. Cable and DSL are far slower but dominate last-mile connections.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 Low Bit Error Rate (BER) and High Reliability</w:t>
      </w:r>
    </w:p>
    <w:p w:rsidR="00923D10" w:rsidRPr="009047DF" w:rsidRDefault="00923D10" w:rsidP="00923D10">
      <w:pPr>
        <w:jc w:val="both"/>
        <w:rPr>
          <w:rFonts w:ascii="Times New Roman" w:hAnsi="Times New Roman" w:cs="Times New Roman"/>
          <w:sz w:val="24"/>
          <w:szCs w:val="24"/>
        </w:rPr>
      </w:pP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is immune to electromagnetic interference (EMI), lightning, and radio frequency jamming. Typical BER for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is 10⁻¹² to 10⁻¹⁵, compared to 10⁻⁶ to 10⁻⁹ for satellite links. Once buried,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suffers few outages except from backhoes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cuts”).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 Security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can be physically protected in conduits. Tapping requires physical access, making undetected interception difficult. Signal propagation does not radiate into space, avoiding detection by third-party receivers.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 Disadvantages of Terrestrial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High Infrastructure Cost and Deployment Time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Laying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costs estimated $27,000 to $100,000 per km in urban areas and over $200,000 per km in rural or mountainous terrain . Permitting, trenching, and right-of-way acquisition can delay projects by 12–36 months. For example, Google’s Equiano cable (Portugal to South Africa) cost $300 million and required three years.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 Geographic Limitations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Terrestrial networks cannot economically serve remote islands, polar regions, deep oceans, or conflict zones. Even in developing nations, hundreds of millions live more than 25 km from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backbone.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 Single-Point Failure Vulnerability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single backhoe cut can disrupt entire regions. In 2021, a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cut in Virginia caused global Facebook, Instagram, and WhatsApp outage for six hours.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 Satellite Data Communication – Advantages and Disadvantages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Advantages of Satellite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Global and Ubiquitous Coverage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single GEO satellite covers ~42% of Earth’s surface. LEO constellations like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(planned 42,000 satellites) offer near-instantaneous coverage from 53° N to 53° S, with polar orbits covering the Arctic and Antarctic. Satellite is frequently the only viable solution for maritime vessels, aircraft, mining operations, disaster zones, and rural villages.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 Rapid Deployment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satellite link can become operational as soon as a small terminal (VSAT or phased array flat panel) is installed – typically less than one day. After a natural disaster (hurricane, earthquake) that destroys terrestrial infrastructure, satellite terminals can be air-dropped within 24–48 hours. </w:t>
      </w:r>
      <w:proofErr w:type="spellStart"/>
      <w:r w:rsidRPr="009047DF">
        <w:rPr>
          <w:rFonts w:ascii="Times New Roman" w:hAnsi="Times New Roman" w:cs="Times New Roman"/>
          <w:sz w:val="24"/>
          <w:szCs w:val="24"/>
        </w:rPr>
        <w:t>Starlink’s</w:t>
      </w:r>
      <w:proofErr w:type="spellEnd"/>
      <w:r w:rsidRPr="009047DF">
        <w:rPr>
          <w:rFonts w:ascii="Times New Roman" w:hAnsi="Times New Roman" w:cs="Times New Roman"/>
          <w:sz w:val="24"/>
          <w:szCs w:val="24"/>
        </w:rPr>
        <w:t xml:space="preserve"> response in Ukraine (2022) demonstrated this capability.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 Inherent Broadcast and Multicast Efficiency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single satellite transmission can reach unlimited terminals within its footprint at no extra marginal cost. This is ideal for content distribution (TV broadcasts, software updates, financial data feeds). Terrestrial unicast would require separate streams to each user, consuming massive backbone bandwidth.</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 Lower Marginal Cost for Remote Connections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Adding the 100,000th rural user to a satellite system costs only the user terminal and marginal power; adding the same user to a terrestrial network might require millions of dollars in last-mile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construction.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Disadvantages of Satellite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Latency – Highly Orbit-Dependent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Signal propagation in free space: round-trip time (RTT) = 2 × altitude / c.</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GEO (35,786 km): RTT ~ 540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(physically impossible to reduce).</w:t>
      </w:r>
    </w:p>
    <w:p w:rsidR="003230D1"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 xml:space="preserve">MEO (8,000–20,000 km): RTT ~ 100–250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LEO (550–1,500 km): RTT ~ 20–50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(achieved by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Nonetheless, even LEO latency exceeds typical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(10–20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Many TCP protocols degrade significantly above 100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RTT.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 Atmospheric and Weather Susceptibility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signals (especially Ka-band and above) experience rain fade, atmospheric absorption, and scintillation. Heavy rain (50 mm/hr) can attenuate Ka-band signals by 20–30 dB, causing outage unless fade mitigation (adaptive coding, uplink power control) is deployed [9].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is entirely immune.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 Shared Bandwidth and Contention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transponders are shared resources. With thousands of users per beam, peak-time congestion substantially reduces throughput. </w:t>
      </w:r>
      <w:proofErr w:type="spellStart"/>
      <w:r w:rsidRPr="009047DF">
        <w:rPr>
          <w:rFonts w:ascii="Times New Roman" w:hAnsi="Times New Roman" w:cs="Times New Roman"/>
          <w:sz w:val="24"/>
          <w:szCs w:val="24"/>
        </w:rPr>
        <w:t>Starlink’s</w:t>
      </w:r>
      <w:proofErr w:type="spellEnd"/>
      <w:r w:rsidRPr="009047DF">
        <w:rPr>
          <w:rFonts w:ascii="Times New Roman" w:hAnsi="Times New Roman" w:cs="Times New Roman"/>
          <w:sz w:val="24"/>
          <w:szCs w:val="24"/>
        </w:rPr>
        <w:t xml:space="preserve"> advertised speeds (100–200 Mbps) degrade to 20–30 Mbps in oversubscribed areas.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 Limited Total Throughput per Satellite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Even HTS satellites have beam-limited capacity (e.g., 1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per satellite). A single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cable can exceed 100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a submarine cable (e.g., Grace Hopper) carries 22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across the Atlantic, far exceeding any single satellite.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E. Orbital Debris and Spectrum Regulation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LEO constellations significantly increase collision risk. The FCC now requires debris mitigation plans. Additionally, spectrum allocation (Ku, Ka, Q/V bands) is limited and coordinated by ITU; interference between adjacent satellites is a growing challenge [10].</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F. Terminal Cost and Power</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Phased-array user terminals for LEO (e.g.,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cost $600–2500 and consume 50–150 watts – acceptable for home use but high for handheld devices.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modems cost $50–100 and use &lt;10W.</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4. Head-to-Head Quantitative Comparison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 following table summarizes key metrics for representative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Metric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(Terrestrial) GEO Satellite (HTS) LEO Satellite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One-way latency (typical) 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 1000 km 270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15–25 </w:t>
      </w:r>
      <w:proofErr w:type="spellStart"/>
      <w:r w:rsidRPr="009047DF">
        <w:rPr>
          <w:rFonts w:ascii="Times New Roman" w:hAnsi="Times New Roman" w:cs="Times New Roman"/>
          <w:sz w:val="24"/>
          <w:szCs w:val="24"/>
        </w:rPr>
        <w:t>ms</w:t>
      </w:r>
      <w:proofErr w:type="spellEnd"/>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Maximum throughput per link &gt;10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500 Mbps – 2 Gbps per beam 100–300 Mbps per user</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Coverage area per node ~50 km (cable segment) ~42% of Earth Global (excluding poles initially)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Deployment time (new area) 12–36 months 1 day (terminal) 1–7 days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Cost per Mbps/year (rural) Very high ($100+) Moderate ($20–50) Low ($5–15)</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Weather sensitivity None Moderate-High (rain fade) Low-Moderate (Ku/Ka)</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BER (bit error rate) 10⁻¹² – 10⁻¹⁵ 10⁻⁶ – 10⁻⁹ 10⁻⁶ – 10⁻⁸</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Physical security High (buried) Low (broadcast to large area) Low (broadcast)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Table 1: Comparative performance metrics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5. Decision Framework – When to Choose Which</w:t>
      </w:r>
    </w:p>
    <w:p w:rsidR="00923D10" w:rsidRPr="009047DF" w:rsidRDefault="00923D10" w:rsidP="00923D10">
      <w:pPr>
        <w:jc w:val="both"/>
        <w:rPr>
          <w:rFonts w:ascii="Times New Roman" w:hAnsi="Times New Roman" w:cs="Times New Roman"/>
          <w:sz w:val="24"/>
          <w:szCs w:val="24"/>
        </w:rPr>
      </w:pPr>
    </w:p>
    <w:p w:rsidR="00923D10" w:rsidRPr="009047DF" w:rsidRDefault="00923D10" w:rsidP="00792E1C">
      <w:pPr>
        <w:spacing w:line="360" w:lineRule="auto"/>
        <w:jc w:val="both"/>
        <w:rPr>
          <w:rFonts w:ascii="Times New Roman" w:hAnsi="Times New Roman" w:cs="Times New Roman"/>
          <w:sz w:val="24"/>
          <w:szCs w:val="24"/>
        </w:rPr>
      </w:pPr>
      <w:r w:rsidRPr="009047DF">
        <w:rPr>
          <w:rFonts w:ascii="Times New Roman" w:hAnsi="Times New Roman" w:cs="Times New Roman"/>
          <w:sz w:val="24"/>
          <w:szCs w:val="24"/>
        </w:rPr>
        <w:t>Based on the analysis, we propose a three-zone decision model:</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Zone 1 – Terrestrial preference (urban, suburban, industrial corridors)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Low latency, high capacity, and low cost per bit dominate.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should be used where population density exceeds ~100 persons/km², as deployment capex can be amortized over many users.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Zone 2 – Satellite preference (remote rural, maritime, aviation, military, disaster recovery)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Coverage and rapid deployment outweigh higher latency and lower total capacity. Satellite is the only feasible option for connectivity beyond 50 km from existing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Zone 3 – Hybrid (backhaul for cellular towers, content distribution)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can provide backhaul to remote cell towers (“cell backhaul”), and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remains the core backbone. For live broadcast events, satellite’s multicast efficiency is superior.</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Emerging 5G/6G standards explicitly support satellite-terrestrial integration. 3GPP Release 17 includes Non-Terrestrial Network (NTN) specifications, allowing seamless handoff between terrestrial and satellite links [11].</w:t>
      </w:r>
    </w:p>
    <w:p w:rsidR="00923D10" w:rsidRPr="009047DF" w:rsidRDefault="00923D10" w:rsidP="00923D10">
      <w:pPr>
        <w:jc w:val="both"/>
        <w:rPr>
          <w:rFonts w:ascii="Times New Roman" w:hAnsi="Times New Roman" w:cs="Times New Roman"/>
          <w:sz w:val="24"/>
          <w:szCs w:val="24"/>
        </w:rPr>
      </w:pPr>
    </w:p>
    <w:p w:rsidR="00923D10" w:rsidRPr="009047DF" w:rsidRDefault="008704D2" w:rsidP="00923D10">
      <w:pPr>
        <w:jc w:val="both"/>
        <w:rPr>
          <w:rFonts w:ascii="Times New Roman" w:hAnsi="Times New Roman" w:cs="Times New Roman"/>
          <w:sz w:val="24"/>
          <w:szCs w:val="24"/>
          <w:lang w:val="en-US"/>
        </w:rPr>
      </w:pPr>
      <w:r w:rsidRPr="009047DF">
        <w:rPr>
          <w:rFonts w:ascii="Times New Roman" w:hAnsi="Times New Roman" w:cs="Times New Roman"/>
          <w:sz w:val="24"/>
          <w:szCs w:val="24"/>
          <w:lang w:val="en-US"/>
        </w:rPr>
        <w:t>To</w:t>
      </w:r>
      <w:r w:rsidR="00923D10" w:rsidRPr="009047DF">
        <w:rPr>
          <w:rFonts w:ascii="Times New Roman" w:hAnsi="Times New Roman" w:cs="Times New Roman"/>
          <w:sz w:val="24"/>
          <w:szCs w:val="24"/>
        </w:rPr>
        <w:t xml:space="preserve"> Conclu</w:t>
      </w:r>
      <w:r w:rsidRPr="009047DF">
        <w:rPr>
          <w:rFonts w:ascii="Times New Roman" w:hAnsi="Times New Roman" w:cs="Times New Roman"/>
          <w:sz w:val="24"/>
          <w:szCs w:val="24"/>
          <w:lang w:val="en-US"/>
        </w:rPr>
        <w:t>de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Neither satellite nor terrestrial communication holds an absolute advantage across all dimensions.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is </w:t>
      </w:r>
      <w:proofErr w:type="spellStart"/>
      <w:r w:rsidRPr="009047DF">
        <w:rPr>
          <w:rFonts w:ascii="Times New Roman" w:hAnsi="Times New Roman" w:cs="Times New Roman"/>
          <w:sz w:val="24"/>
          <w:szCs w:val="24"/>
        </w:rPr>
        <w:t>unrivaled</w:t>
      </w:r>
      <w:proofErr w:type="spellEnd"/>
      <w:r w:rsidRPr="009047DF">
        <w:rPr>
          <w:rFonts w:ascii="Times New Roman" w:hAnsi="Times New Roman" w:cs="Times New Roman"/>
          <w:sz w:val="24"/>
          <w:szCs w:val="24"/>
        </w:rPr>
        <w:t xml:space="preserve"> in latency, capacity, BER, and long-term operational cost in high-density areas – it will remain the backbone of global internet. Satellite systems, especially LEO constellations, address the longstanding problem of connectivity in remote, mobile, and emergency scenarios, while providing unique broadcast efficiency. The future is not about substitution but convergence. Integrated networks where intelligent software-defined routing selects the optimal physical layer – satellite for wide coverage and resilience,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for speed and density – will deliver universal, high-quality data communication. Policy and regulatory frameworks must evolve to encourage such hybrid architectures, including spectrum sharing and orbital debris management, to realize this vision.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References </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ITU, “Measuring digital development: Facts and figures 2023,” Int. </w:t>
      </w:r>
      <w:proofErr w:type="spellStart"/>
      <w:r w:rsidRPr="009047DF">
        <w:rPr>
          <w:rFonts w:ascii="Times New Roman" w:hAnsi="Times New Roman" w:cs="Times New Roman"/>
          <w:sz w:val="24"/>
          <w:szCs w:val="24"/>
        </w:rPr>
        <w:t>Telecommun</w:t>
      </w:r>
      <w:proofErr w:type="spellEnd"/>
      <w:r w:rsidRPr="009047DF">
        <w:rPr>
          <w:rFonts w:ascii="Times New Roman" w:hAnsi="Times New Roman" w:cs="Times New Roman"/>
          <w:sz w:val="24"/>
          <w:szCs w:val="24"/>
        </w:rPr>
        <w:t>. Union, Geneva, Switzerland, Rep. ITU-D-2023, Nov. 2023.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D. J. Withers, Satellite vs. Terrestrial Networks: Competition or Convergence?, 3rd ed. London, UK: IET Press, 2021, pp. 45–92.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X. Liu and N. Ansari, “Toward a low-latency internet: A survey of terrestrial and satellite approaches,” IEEE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Surveys Tuts., vol. 24, no. 3, pp. 1426–1462, 3rd Quart. 2022,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10.1109/COMST.2022.3173502.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N. K. Fontaine et al., “19-core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transmission of 1.84 </w:t>
      </w:r>
      <w:proofErr w:type="spellStart"/>
      <w:r w:rsidRPr="009047DF">
        <w:rPr>
          <w:rFonts w:ascii="Times New Roman" w:hAnsi="Times New Roman" w:cs="Times New Roman"/>
          <w:sz w:val="24"/>
          <w:szCs w:val="24"/>
        </w:rPr>
        <w:t>Pbps</w:t>
      </w:r>
      <w:proofErr w:type="spellEnd"/>
      <w:r w:rsidRPr="009047DF">
        <w:rPr>
          <w:rFonts w:ascii="Times New Roman" w:hAnsi="Times New Roman" w:cs="Times New Roman"/>
          <w:sz w:val="24"/>
          <w:szCs w:val="24"/>
        </w:rPr>
        <w:t xml:space="preserve">,” in Proc. Opt.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Conf. (OFC), San Diego, CA, USA, Mar. 2022, pp. 1–3,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10.1364/OFC.2022.Th4B.1.</w:t>
      </w:r>
    </w:p>
    <w:p w:rsidR="003230D1" w:rsidRPr="009047DF" w:rsidRDefault="003230D1"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G. Keiser, Optical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Communications, 5th ed. New York, NY, USA: McGraw-Hill, 2019, </w:t>
      </w:r>
      <w:proofErr w:type="spellStart"/>
      <w:r w:rsidRPr="009047DF">
        <w:rPr>
          <w:rFonts w:ascii="Times New Roman" w:hAnsi="Times New Roman" w:cs="Times New Roman"/>
          <w:sz w:val="24"/>
          <w:szCs w:val="24"/>
        </w:rPr>
        <w:t>ch.</w:t>
      </w:r>
      <w:proofErr w:type="spellEnd"/>
      <w:r w:rsidRPr="009047DF">
        <w:rPr>
          <w:rFonts w:ascii="Times New Roman" w:hAnsi="Times New Roman" w:cs="Times New Roman"/>
          <w:sz w:val="24"/>
          <w:szCs w:val="24"/>
        </w:rPr>
        <w:t xml:space="preserve"> 9, pp. 387–412.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P. O. Ofori and J. </w:t>
      </w:r>
      <w:proofErr w:type="spellStart"/>
      <w:r w:rsidRPr="009047DF">
        <w:rPr>
          <w:rFonts w:ascii="Times New Roman" w:hAnsi="Times New Roman" w:cs="Times New Roman"/>
          <w:sz w:val="24"/>
          <w:szCs w:val="24"/>
        </w:rPr>
        <w:t>Markendahl</w:t>
      </w:r>
      <w:proofErr w:type="spellEnd"/>
      <w:r w:rsidRPr="009047DF">
        <w:rPr>
          <w:rFonts w:ascii="Times New Roman" w:hAnsi="Times New Roman" w:cs="Times New Roman"/>
          <w:sz w:val="24"/>
          <w:szCs w:val="24"/>
        </w:rPr>
        <w:t xml:space="preserve">, “Cost </w:t>
      </w:r>
      <w:proofErr w:type="spellStart"/>
      <w:r w:rsidRPr="009047DF">
        <w:rPr>
          <w:rFonts w:ascii="Times New Roman" w:hAnsi="Times New Roman" w:cs="Times New Roman"/>
          <w:sz w:val="24"/>
          <w:szCs w:val="24"/>
        </w:rPr>
        <w:t>modeling</w:t>
      </w:r>
      <w:proofErr w:type="spellEnd"/>
      <w:r w:rsidRPr="009047DF">
        <w:rPr>
          <w:rFonts w:ascii="Times New Roman" w:hAnsi="Times New Roman" w:cs="Times New Roman"/>
          <w:sz w:val="24"/>
          <w:szCs w:val="24"/>
        </w:rPr>
        <w:t xml:space="preserve"> of rural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deployment,” </w:t>
      </w:r>
      <w:proofErr w:type="spellStart"/>
      <w:r w:rsidRPr="009047DF">
        <w:rPr>
          <w:rFonts w:ascii="Times New Roman" w:hAnsi="Times New Roman" w:cs="Times New Roman"/>
          <w:sz w:val="24"/>
          <w:szCs w:val="24"/>
        </w:rPr>
        <w:t>Telecommun</w:t>
      </w:r>
      <w:proofErr w:type="spellEnd"/>
      <w:r w:rsidRPr="009047DF">
        <w:rPr>
          <w:rFonts w:ascii="Times New Roman" w:hAnsi="Times New Roman" w:cs="Times New Roman"/>
          <w:sz w:val="24"/>
          <w:szCs w:val="24"/>
        </w:rPr>
        <w:t xml:space="preserve">. Policy, vol. 45, no. 8, art. no. 102152, Sep. 2021,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10.1016/j.telpol.2021.102152.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 xml:space="preserve"> M. A. Garcia and R. B. Patel, “Low earth orbit satellite constellations: A new paradigm for global broadband,” Proc. IEEE, vol. 110, no. 9, pp. 1388–1410, Sep. 2022,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10.1109/JPROC.2022.3183657.</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K. R. </w:t>
      </w:r>
      <w:proofErr w:type="spellStart"/>
      <w:r w:rsidRPr="009047DF">
        <w:rPr>
          <w:rFonts w:ascii="Times New Roman" w:hAnsi="Times New Roman" w:cs="Times New Roman"/>
          <w:sz w:val="24"/>
          <w:szCs w:val="24"/>
        </w:rPr>
        <w:t>Heidari</w:t>
      </w:r>
      <w:proofErr w:type="spellEnd"/>
      <w:r w:rsidRPr="009047DF">
        <w:rPr>
          <w:rFonts w:ascii="Times New Roman" w:hAnsi="Times New Roman" w:cs="Times New Roman"/>
          <w:sz w:val="24"/>
          <w:szCs w:val="24"/>
        </w:rPr>
        <w:t xml:space="preserve">, “SpaceX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in Ukraine: A case study in rapid satellite deployment,” J. Strategic </w:t>
      </w:r>
      <w:proofErr w:type="spellStart"/>
      <w:r w:rsidRPr="009047DF">
        <w:rPr>
          <w:rFonts w:ascii="Times New Roman" w:hAnsi="Times New Roman" w:cs="Times New Roman"/>
          <w:sz w:val="24"/>
          <w:szCs w:val="24"/>
        </w:rPr>
        <w:t>Secur</w:t>
      </w:r>
      <w:proofErr w:type="spellEnd"/>
      <w:r w:rsidRPr="009047DF">
        <w:rPr>
          <w:rFonts w:ascii="Times New Roman" w:hAnsi="Times New Roman" w:cs="Times New Roman"/>
          <w:sz w:val="24"/>
          <w:szCs w:val="24"/>
        </w:rPr>
        <w:t xml:space="preserve">., vol. 15, no. 4, pp. 22–41, Dec. 2022,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10.5038/1944-0472.15.4.2031.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L. J. Ippolito, Satellite Communications Systems Engineering: Atmospheric Effects, Satellite Link Design and System Performance, 2nd ed. Hoboken, NJ, USA: Wiley, 2020, </w:t>
      </w:r>
      <w:proofErr w:type="spellStart"/>
      <w:r w:rsidRPr="009047DF">
        <w:rPr>
          <w:rFonts w:ascii="Times New Roman" w:hAnsi="Times New Roman" w:cs="Times New Roman"/>
          <w:sz w:val="24"/>
          <w:szCs w:val="24"/>
        </w:rPr>
        <w:t>ch.</w:t>
      </w:r>
      <w:proofErr w:type="spellEnd"/>
      <w:r w:rsidRPr="009047DF">
        <w:rPr>
          <w:rFonts w:ascii="Times New Roman" w:hAnsi="Times New Roman" w:cs="Times New Roman"/>
          <w:sz w:val="24"/>
          <w:szCs w:val="24"/>
        </w:rPr>
        <w:t xml:space="preserve"> 5, pp. 147–188.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S. K. Sharma and S. </w:t>
      </w:r>
      <w:proofErr w:type="spellStart"/>
      <w:r w:rsidRPr="009047DF">
        <w:rPr>
          <w:rFonts w:ascii="Times New Roman" w:hAnsi="Times New Roman" w:cs="Times New Roman"/>
          <w:sz w:val="24"/>
          <w:szCs w:val="24"/>
        </w:rPr>
        <w:t>Chatzinotas</w:t>
      </w:r>
      <w:proofErr w:type="spellEnd"/>
      <w:r w:rsidRPr="009047DF">
        <w:rPr>
          <w:rFonts w:ascii="Times New Roman" w:hAnsi="Times New Roman" w:cs="Times New Roman"/>
          <w:sz w:val="24"/>
          <w:szCs w:val="24"/>
        </w:rPr>
        <w:t xml:space="preserve">, “Spectrum sharing and interference management for LEO satellite mega-constellations,” IEEE Trans. </w:t>
      </w:r>
      <w:proofErr w:type="spellStart"/>
      <w:r w:rsidRPr="009047DF">
        <w:rPr>
          <w:rFonts w:ascii="Times New Roman" w:hAnsi="Times New Roman" w:cs="Times New Roman"/>
          <w:sz w:val="24"/>
          <w:szCs w:val="24"/>
        </w:rPr>
        <w:t>Veh</w:t>
      </w:r>
      <w:proofErr w:type="spellEnd"/>
      <w:r w:rsidRPr="009047DF">
        <w:rPr>
          <w:rFonts w:ascii="Times New Roman" w:hAnsi="Times New Roman" w:cs="Times New Roman"/>
          <w:sz w:val="24"/>
          <w:szCs w:val="24"/>
        </w:rPr>
        <w:t xml:space="preserve">. Technol., vol. 70, no. 9, pp. 8624–8638, Sep. 2021,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10.1109/TVT.2021.3096732.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3GPP, “Study on using satellite access in 5G (Release 17),” 3rd Generation Partnership Project, Sophia Antipolis, France, Tech. Rep. 3GPP TR 38.821, Jun. 2021.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u w:val="single"/>
        </w:rPr>
      </w:pPr>
      <w:r w:rsidRPr="009047DF">
        <w:rPr>
          <w:rFonts w:ascii="Times New Roman" w:hAnsi="Times New Roman" w:cs="Times New Roman"/>
          <w:b/>
          <w:bCs/>
          <w:sz w:val="24"/>
          <w:szCs w:val="24"/>
          <w:u w:val="single"/>
        </w:rPr>
        <w:t>Challenges and Future Trends in Satellite Communications</w:t>
      </w:r>
      <w:r w:rsidRPr="009047DF">
        <w:rPr>
          <w:rFonts w:ascii="Times New Roman" w:hAnsi="Times New Roman" w:cs="Times New Roman"/>
          <w:sz w:val="24"/>
          <w:szCs w:val="24"/>
          <w:u w:val="single"/>
        </w:rPr>
        <w:t>: Atmospheric Attenuation, Latency, Orbital Debris, Cybersecurity, and the Path to 6G with AI Autonomy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communications are undergoing a profound transformation, driven by Low Earth Orbit (LEO) mega-constellations, High-Throughput Satellites (HTS), and software-defined payloads. However, this evolution faces persistent technical and operational challenges. </w:t>
      </w:r>
      <w:r w:rsidR="00DE6463">
        <w:rPr>
          <w:rFonts w:ascii="Times New Roman" w:hAnsi="Times New Roman" w:cs="Times New Roman"/>
          <w:sz w:val="24"/>
          <w:szCs w:val="24"/>
        </w:rPr>
        <w:t>This essay</w:t>
      </w:r>
      <w:r w:rsidRPr="009047DF">
        <w:rPr>
          <w:rFonts w:ascii="Times New Roman" w:hAnsi="Times New Roman" w:cs="Times New Roman"/>
          <w:sz w:val="24"/>
          <w:szCs w:val="24"/>
        </w:rPr>
        <w:t xml:space="preserve"> provides a comprehensive analysis of four critical obstacles: atmospheric attenuation (rain fade, cloud scattering, gaseous absorption), physical and architectural latency (propagation, processing, queuing), the rapidly escalating threat of orbital debris, and emerging cybersecurity vulnerabilities (jamming, spoofing, quantum threats). Drawing on recent data from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OneWeb</w:t>
      </w:r>
      <w:proofErr w:type="spellEnd"/>
      <w:r w:rsidRPr="009047DF">
        <w:rPr>
          <w:rFonts w:ascii="Times New Roman" w:hAnsi="Times New Roman" w:cs="Times New Roman"/>
          <w:sz w:val="24"/>
          <w:szCs w:val="24"/>
        </w:rPr>
        <w:t>, and Kuiper systems, we quantify each challenge and review mitigation strategies including adaptive coding and modulation (ACM), optical inter-satellite links (OISL), active debris removal (ADR), and zero-trust security architectures. Subsequently, we examine two transformative future trends: the integration of satellite networks into 6G as non-terrestrial networks (NTN), enabling seamless handover, network slicing, and ubiquitous coverage; and  AI-driven satellite autonomous operations, including autonomous navigation, collision avoidance, and dynamic resource allocation. We conclude that overcoming the identified challenges through these emerging technologies will determine whether satellite communications achieve their potential as a seamless layer of global 6G infrastructure.</w:t>
      </w:r>
    </w:p>
    <w:p w:rsidR="00923D10" w:rsidRPr="009047DF" w:rsidRDefault="00923D10" w:rsidP="001B587A">
      <w:pPr>
        <w:spacing w:line="360" w:lineRule="auto"/>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By 2030, the number of active satellites in orbit is projected to exceed 100,000, up from approximately 8,000 in 2023 . This exponential growth promises universal broadband, IoT connectivity, and global positioning resilience. Yet, the same proliferation amplifies longstanding technical challenges and introduces novel risks. Atmospheric physics imposes fundamental limits on radio frequency (RF) link availability. Distance (even for LEO) introduces non-negligible latency. Orbital crowding transforms debris from a theoretical risk to an operational crisis. And the broadcast nature of satellite links makes them attractive targets for cyber adversaries.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Simultaneously, two powerful trends offer a way forward. First, the 3rd Generation Partnership Project (3GPP) has incorporated Non-Terrestrial Networks (NTN) into 5G-Advanced and 6G roadmaps, envisioning satellites as native elements of cellular architecture rather than separate verticals . Second, artificial intelligence (AI) – particularly onboard machine learning and reinforcement learning – promises to automate constellation management, turning thousands of satellites into a self-optimizing, self-healing mesh.</w:t>
      </w:r>
    </w:p>
    <w:p w:rsidR="00923D10" w:rsidRPr="009047DF" w:rsidRDefault="00923D10" w:rsidP="00923D10">
      <w:pPr>
        <w:jc w:val="both"/>
        <w:rPr>
          <w:rFonts w:ascii="Times New Roman" w:hAnsi="Times New Roman" w:cs="Times New Roman"/>
          <w:sz w:val="24"/>
          <w:szCs w:val="24"/>
        </w:rPr>
      </w:pPr>
    </w:p>
    <w:p w:rsidR="00923D10" w:rsidRPr="009047DF" w:rsidRDefault="00DE6463" w:rsidP="00923D10">
      <w:pPr>
        <w:jc w:val="both"/>
        <w:rPr>
          <w:rFonts w:ascii="Times New Roman" w:hAnsi="Times New Roman" w:cs="Times New Roman"/>
          <w:sz w:val="24"/>
          <w:szCs w:val="24"/>
        </w:rPr>
      </w:pPr>
      <w:r>
        <w:rPr>
          <w:rFonts w:ascii="Times New Roman" w:hAnsi="Times New Roman" w:cs="Times New Roman"/>
          <w:sz w:val="24"/>
          <w:szCs w:val="24"/>
        </w:rPr>
        <w:t>This essay</w:t>
      </w:r>
      <w:r w:rsidR="00923D10" w:rsidRPr="009047DF">
        <w:rPr>
          <w:rFonts w:ascii="Times New Roman" w:hAnsi="Times New Roman" w:cs="Times New Roman"/>
          <w:sz w:val="24"/>
          <w:szCs w:val="24"/>
        </w:rPr>
        <w:t xml:space="preserve"> is structured as follows. Sections 2–5 address each major challenge in detail. Section 6 covers 6G integration. Section 7 explores AI-driven autonomy. We conclude with an integrated roadmap.</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2. Atmospheric Attenuation: Physics, Quantification, and Mitigation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Physical Mechanisms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Satellite signals traversing the entire Earth’s atmosphere encounter multiple attenuation mechanisms. Below 10 GHz (L-, S-, and lower C-bands), gaseous absorption (oxygen and water vapor) dominates, with typical losses of 0.2–0.5 dB at zenith. Above 10 GHz (Ku, Ka, Q, V bands), rain attenuation becomes the primary impairment. Raindrops both absorb and scatter electromagnetic energy; above 20 GHz, even moderate rain (10 mm/hr) can induce 5–10 dB attenuation, and heavy tropical rain (100 mm/hr) may exceed 30 dB at 30 GHz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Clouds, fog, and tropospheric scintillation (rapid fluctuations due to refractive turbulence) add another 1–3 dB of variability, especially at elevation angles below 20°.</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Quantitative Impact on Link Budget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The ITU-R P.618 propagation model provides the standard prediction method. For a GEO satellite at 30 GHz (Ka-band), 99.9% availability in a temperate climate requires a fade margin </w:t>
      </w:r>
      <w:r w:rsidRPr="009047DF">
        <w:rPr>
          <w:rFonts w:ascii="Times New Roman" w:hAnsi="Times New Roman" w:cs="Times New Roman"/>
          <w:sz w:val="24"/>
          <w:szCs w:val="24"/>
        </w:rPr>
        <w:lastRenderedPageBreak/>
        <w:t xml:space="preserve">of ~12 </w:t>
      </w:r>
      <w:proofErr w:type="spellStart"/>
      <w:r w:rsidRPr="009047DF">
        <w:rPr>
          <w:rFonts w:ascii="Times New Roman" w:hAnsi="Times New Roman" w:cs="Times New Roman"/>
          <w:sz w:val="24"/>
          <w:szCs w:val="24"/>
        </w:rPr>
        <w:t>dB.</w:t>
      </w:r>
      <w:proofErr w:type="spellEnd"/>
      <w:r w:rsidRPr="009047DF">
        <w:rPr>
          <w:rFonts w:ascii="Times New Roman" w:hAnsi="Times New Roman" w:cs="Times New Roman"/>
          <w:sz w:val="24"/>
          <w:szCs w:val="24"/>
        </w:rPr>
        <w:t xml:space="preserve"> In equatorial regions, the same availability demands &gt;25 dB margin . For LEO satellites, the rapid variation of elevation angle (as a satellite crosses the sky) causes rain fade to fluctuate over seconds, demanding faster adaptive response.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Real-world data from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(Ku/Ka bands) indicates that during moderate rain (7–10 mm/hr), user downlink throughput can drop from 200 Mbps to 40–60 Mbps, and severe thunderstorms may cause complete outage for 5–15 minutes.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Mitigation Techniques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Adaptive Coding and Modulation (ACM): The de facto standard. The satellite gateway continuously monitors the signal-to-noise-plus-interference ratio (SNIR) for each terminal, typically using return channel measurements or beacon receivers. The transmission mode shifts among </w:t>
      </w:r>
      <w:proofErr w:type="spellStart"/>
      <w:r w:rsidRPr="009047DF">
        <w:rPr>
          <w:rFonts w:ascii="Times New Roman" w:hAnsi="Times New Roman" w:cs="Times New Roman"/>
          <w:sz w:val="24"/>
          <w:szCs w:val="24"/>
        </w:rPr>
        <w:t>MODCODs</w:t>
      </w:r>
      <w:proofErr w:type="spellEnd"/>
      <w:r w:rsidRPr="009047DF">
        <w:rPr>
          <w:rFonts w:ascii="Times New Roman" w:hAnsi="Times New Roman" w:cs="Times New Roman"/>
          <w:sz w:val="24"/>
          <w:szCs w:val="24"/>
        </w:rPr>
        <w:t xml:space="preserve"> (e.g., QPSK 1/4 to 16APSK 8/9) to maintain target BER. Modern HTS satellites execute ACM with 10–50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loop latency, compensating for rain fades of up to 20 dB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Site Diversity: For gateway stations, two geographically separated (20–50 km) antennas can be used. With a 20 km separation, the probability of simultaneous rain fade at both sites drops by an order of magnitude. This is standard for commercial HTS gateways.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Uplink Power Control (UPC): The gateway increases transmission power by up to 10–15 dB during rain events. However, power constraints (TWTA saturation) and adjacent satellite interference limit UPC effectiveness.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Optical (Laser) Feeder Links: For future V-band or optical satellite systems, feeder links using free-space optics (FSO) at 1550 nm are largely immune to rain (though clouds remain problematic). ESA’s </w:t>
      </w:r>
      <w:proofErr w:type="spellStart"/>
      <w:r w:rsidRPr="009047DF">
        <w:rPr>
          <w:rFonts w:ascii="Times New Roman" w:hAnsi="Times New Roman" w:cs="Times New Roman"/>
          <w:sz w:val="24"/>
          <w:szCs w:val="24"/>
        </w:rPr>
        <w:t>HydRON</w:t>
      </w:r>
      <w:proofErr w:type="spellEnd"/>
      <w:r w:rsidRPr="009047DF">
        <w:rPr>
          <w:rFonts w:ascii="Times New Roman" w:hAnsi="Times New Roman" w:cs="Times New Roman"/>
          <w:sz w:val="24"/>
          <w:szCs w:val="24"/>
        </w:rPr>
        <w:t xml:space="preserve"> project aims to demonstrate 10 Gbps optical gateways by 2027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Despite these mitigations, atmospheric attenuation remains the single largest physical layer challenge for Ka-band and higher frequencies.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 Latency: From Propagation to Processing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Sources of Latency in Satellite Links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Total end-to-end latency for a satellite communication system comprises four components: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Propagation delay (dominant): T_{prop} = 2 \times altitude / c (for round trip).</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GEO: ~540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MEO: ~130–250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LEO: ~20–50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Queuing and switching delay: Onboard processing (if regenerative payload) adds 0.5–5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per hop.</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MODCOD framing and interleaving: To combat fading, interleaving depths of 10–100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are common.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TCP stack and application processing: Often adds 10–50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even after link latency.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For real-time applications – voice over IP, teleoperation, online gaming – the human perception threshold for acceptable interactivity is approximately 150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one-way . GEO links exceed this physically; LEO links approach it.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LEO Improvement and Remaining Gaps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proofErr w:type="spellStart"/>
      <w:r w:rsidRPr="009047DF">
        <w:rPr>
          <w:rFonts w:ascii="Times New Roman" w:hAnsi="Times New Roman" w:cs="Times New Roman"/>
          <w:sz w:val="24"/>
          <w:szCs w:val="24"/>
        </w:rPr>
        <w:t>Starlink’s</w:t>
      </w:r>
      <w:proofErr w:type="spellEnd"/>
      <w:r w:rsidRPr="009047DF">
        <w:rPr>
          <w:rFonts w:ascii="Times New Roman" w:hAnsi="Times New Roman" w:cs="Times New Roman"/>
          <w:sz w:val="24"/>
          <w:szCs w:val="24"/>
        </w:rPr>
        <w:t xml:space="preserve"> typical round-trip latency is reported as 20–35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which is remarkably low but still 2–4× higher than a local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connection (8–12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For transoceanic routes (e.g., New York to London), LEO satellite latency can actually be lower than undersea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due to the higher speed of light in vacuum (c = 300,000 km/s) vs.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(≈200,000 km/s). Measured New York–London RTT: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via space ~76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undersea cable ~82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This suggests that for long-haul premium routes, LEO constellations may become competitive.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Mitigations: TCP Optimization and Edge Computing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Standard TCP is notoriously inefficient over high bandwidth-delay product (BDP) links. Solutions include: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TCP BBR and PCC: Congestion control algorithms that do not rely on loss detection.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Performance Enhancing Proxies (</w:t>
      </w:r>
      <w:proofErr w:type="spellStart"/>
      <w:r w:rsidRPr="009047DF">
        <w:rPr>
          <w:rFonts w:ascii="Times New Roman" w:hAnsi="Times New Roman" w:cs="Times New Roman"/>
          <w:sz w:val="24"/>
          <w:szCs w:val="24"/>
        </w:rPr>
        <w:t>PEPs</w:t>
      </w:r>
      <w:proofErr w:type="spellEnd"/>
      <w:r w:rsidRPr="009047DF">
        <w:rPr>
          <w:rFonts w:ascii="Times New Roman" w:hAnsi="Times New Roman" w:cs="Times New Roman"/>
          <w:sz w:val="24"/>
          <w:szCs w:val="24"/>
        </w:rPr>
        <w:t>): Terminate TCP at the satellite gateway and use a more efficient transport (e.g., QUIC or custom protocol) over the satellite link.</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Edge computing at ground gateways: Processing data near the user terminal reduces application-layer latency. For IoT use cases, satellite-mounted edge processors (onboard AI) are emerging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Nevertheless, for latency-sensitive closed-loop control (e.g., remotely piloted drones, telesurgery), sub-10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RTT is required – currently unattainable by any satellite system.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remains indispensable for these use cases.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4. Orbital Debris: An Escalating Crisis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Scale and Risk</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As of January 2025, the European Space Agency (ESA) tracks approximately 40,500 debris objects &gt;10 cm, 1,100,000 objects between 1–10 cm, and over 130 million fragments &lt;1 cm. The total mass in orbit exceeds 11,000 tonnes . LEO mega-constellations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OneWeb</w:t>
      </w:r>
      <w:proofErr w:type="spellEnd"/>
      <w:r w:rsidRPr="009047DF">
        <w:rPr>
          <w:rFonts w:ascii="Times New Roman" w:hAnsi="Times New Roman" w:cs="Times New Roman"/>
          <w:sz w:val="24"/>
          <w:szCs w:val="24"/>
        </w:rPr>
        <w:t xml:space="preserve">, Kuiper, </w:t>
      </w:r>
      <w:proofErr w:type="spellStart"/>
      <w:r w:rsidRPr="009047DF">
        <w:rPr>
          <w:rFonts w:ascii="Times New Roman" w:hAnsi="Times New Roman" w:cs="Times New Roman"/>
          <w:sz w:val="24"/>
          <w:szCs w:val="24"/>
        </w:rPr>
        <w:t>GuoWang</w:t>
      </w:r>
      <w:proofErr w:type="spellEnd"/>
      <w:r w:rsidRPr="009047DF">
        <w:rPr>
          <w:rFonts w:ascii="Times New Roman" w:hAnsi="Times New Roman" w:cs="Times New Roman"/>
          <w:sz w:val="24"/>
          <w:szCs w:val="24"/>
        </w:rPr>
        <w:t>) are the primary drivers of new satellite deployments.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 2009 Iridium–Cosmos collision (destroyed both satellites, created &gt;2,000 trackable fragments) demonstrated the reality of the “Kessler Syndrome” – a cascading collision chain reaction that could render LEO unusable for decades.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Specific Challenges for LEO Constellations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Conjunction frequency: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satellites perform over 1,500 collision avoidance </w:t>
      </w:r>
      <w:proofErr w:type="spellStart"/>
      <w:r w:rsidRPr="009047DF">
        <w:rPr>
          <w:rFonts w:ascii="Times New Roman" w:hAnsi="Times New Roman" w:cs="Times New Roman"/>
          <w:sz w:val="24"/>
          <w:szCs w:val="24"/>
        </w:rPr>
        <w:t>maneuvers</w:t>
      </w:r>
      <w:proofErr w:type="spellEnd"/>
      <w:r w:rsidRPr="009047DF">
        <w:rPr>
          <w:rFonts w:ascii="Times New Roman" w:hAnsi="Times New Roman" w:cs="Times New Roman"/>
          <w:sz w:val="24"/>
          <w:szCs w:val="24"/>
        </w:rPr>
        <w:t xml:space="preserve"> each month. Autonomous systems are essential.</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Low-perigee decay failure: Satellites at 550–1,200 km can take decades to naturally de-orbit if propulsion fails.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Multi-constellation coordination: No central authority unambiguously assigns responsibility for </w:t>
      </w:r>
      <w:proofErr w:type="spellStart"/>
      <w:r w:rsidRPr="009047DF">
        <w:rPr>
          <w:rFonts w:ascii="Times New Roman" w:hAnsi="Times New Roman" w:cs="Times New Roman"/>
          <w:sz w:val="24"/>
          <w:szCs w:val="24"/>
        </w:rPr>
        <w:t>maneuvering</w:t>
      </w:r>
      <w:proofErr w:type="spellEnd"/>
      <w:r w:rsidRPr="009047DF">
        <w:rPr>
          <w:rFonts w:ascii="Times New Roman" w:hAnsi="Times New Roman" w:cs="Times New Roman"/>
          <w:sz w:val="24"/>
          <w:szCs w:val="24"/>
        </w:rPr>
        <w:t xml:space="preserve"> between constellations.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Mitigation and Remediation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Design for Demise (D4D): New satellites must be designed with components that fully ablate upon re-entry. The FCC now requires that all LEO satellites authorized after 2024 be capable of controlled de-orbit within 5 years of mission end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 xml:space="preserve">Active Debris Removal (ADR): Several demonstration missions are underway. ESA’s ClearSpace-1 (planned 2026) will capture a 100 kg Vega payload adapter using a four-arm robotic gripper. </w:t>
      </w:r>
      <w:proofErr w:type="spellStart"/>
      <w:r w:rsidRPr="009047DF">
        <w:rPr>
          <w:rFonts w:ascii="Times New Roman" w:hAnsi="Times New Roman" w:cs="Times New Roman"/>
          <w:sz w:val="24"/>
          <w:szCs w:val="24"/>
        </w:rPr>
        <w:t>Astroscale’s</w:t>
      </w:r>
      <w:proofErr w:type="spellEnd"/>
      <w:r w:rsidRPr="009047DF">
        <w:rPr>
          <w:rFonts w:ascii="Times New Roman" w:hAnsi="Times New Roman" w:cs="Times New Roman"/>
          <w:sz w:val="24"/>
          <w:szCs w:val="24"/>
        </w:rPr>
        <w:t xml:space="preserve"> ELSA-d mission has demonstrated magnetic capture of debris.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AI collision avoidance (covered in Section 7): Reinforcement learning agents continuously optimize avoidance </w:t>
      </w:r>
      <w:proofErr w:type="spellStart"/>
      <w:r w:rsidRPr="009047DF">
        <w:rPr>
          <w:rFonts w:ascii="Times New Roman" w:hAnsi="Times New Roman" w:cs="Times New Roman"/>
          <w:sz w:val="24"/>
          <w:szCs w:val="24"/>
        </w:rPr>
        <w:t>maneuvers</w:t>
      </w:r>
      <w:proofErr w:type="spellEnd"/>
      <w:r w:rsidRPr="009047DF">
        <w:rPr>
          <w:rFonts w:ascii="Times New Roman" w:hAnsi="Times New Roman" w:cs="Times New Roman"/>
          <w:sz w:val="24"/>
          <w:szCs w:val="24"/>
        </w:rPr>
        <w:t xml:space="preserve"> while minimizing fuel consumption.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Despite these efforts, the orbital debris challenge has no short-term solution. Regulatory enforcement, international treaties (e.g., UN COPUOS Long-Term Sustainability guidelines), and economic incentives (debris removal as a service) are all required.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5. Cybersecurity: Vulnerabilities and Countermeasures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Unique Attack Surfaces in Satellite Systems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Unlike terrestrial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(which requires physical tapping), satellite links inherently broadcast data over thousands of </w:t>
      </w:r>
      <w:proofErr w:type="spellStart"/>
      <w:r w:rsidRPr="009047DF">
        <w:rPr>
          <w:rFonts w:ascii="Times New Roman" w:hAnsi="Times New Roman" w:cs="Times New Roman"/>
          <w:sz w:val="24"/>
          <w:szCs w:val="24"/>
        </w:rPr>
        <w:t>kilometers</w:t>
      </w:r>
      <w:proofErr w:type="spellEnd"/>
      <w:r w:rsidRPr="009047DF">
        <w:rPr>
          <w:rFonts w:ascii="Times New Roman" w:hAnsi="Times New Roman" w:cs="Times New Roman"/>
          <w:sz w:val="24"/>
          <w:szCs w:val="24"/>
        </w:rPr>
        <w:t>. This creates several attack vectors: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RF jamming (physical layer): A relatively low-power interferer within the spot beam footprint can overwhelm the forward link. A 10-watt jammer at 10 km from a victim terminal can raise noise floor by 20–30 dB, effectively blocking reception. Jamming can be intentional (denial of service) or unintentional (adjacent satellite interference due to off-axis emissions).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Spoofing and replay attacks: An adversary can transmit false navigation or command data that mimics the legitimate satellite. GPS spoofing is well documented. For communication satellites, spoofed telecommand could alter beam pointing or shut down transponders.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Eavesdropping: With a modest parabolic antenna (0.6–1.2 m) and low-noise amplifier, an attacker can intercept satellite forward links from a wide area. Even encrypted traffic may be stored now and decrypted later (SNDL – Store Now, Decrypt Later) if quantum computers break public-key cryptography.</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Ground segment vulnerabilities: Many satellite operators rely on legacy ground infrastructure, including unpatched Linux servers, default credentials, and insecure remote access protocols. The 2022 </w:t>
      </w:r>
      <w:proofErr w:type="spellStart"/>
      <w:r w:rsidRPr="009047DF">
        <w:rPr>
          <w:rFonts w:ascii="Times New Roman" w:hAnsi="Times New Roman" w:cs="Times New Roman"/>
          <w:sz w:val="24"/>
          <w:szCs w:val="24"/>
        </w:rPr>
        <w:t>Viasat</w:t>
      </w:r>
      <w:proofErr w:type="spellEnd"/>
      <w:r w:rsidRPr="009047DF">
        <w:rPr>
          <w:rFonts w:ascii="Times New Roman" w:hAnsi="Times New Roman" w:cs="Times New Roman"/>
          <w:sz w:val="24"/>
          <w:szCs w:val="24"/>
        </w:rPr>
        <w:t xml:space="preserve"> cyberattack (attributed to Russia) used destructive wiper malware on KA-SAT ground modems, disrupting thousands of modems and indirectly causing German wind farms to lose remote monitoring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Quantitative Threat Landscape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A 2024 survey of 150 satellite operators found: 61% reported at least one cybersecurity incident in the preceding 24 months; 23% experienced a service outage due to deliberate attack; only 34% performed regular penetration testing [13]. The rise of Software-Defined Payloads (SDP) expands the attack surface: digital beamforming, onboard FPGA reconfiguration, and over-the-air software updates are all exploitable if not properly secured.</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Mitigations: Zero-Trust and Quantum-Resistant Crypto</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Zero-trust architecture (ZTA): No implicit trust between satellite bus, payload, ground gateways, and user terminals. Each communication is authenticated, authorized, and encrypted. Micro-segmentation isolates compromised nodes.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Post-quantum cryptography (PQC): The US NIST has selected four PQC algorithms (CRYSTALS-</w:t>
      </w:r>
      <w:proofErr w:type="spellStart"/>
      <w:r w:rsidRPr="009047DF">
        <w:rPr>
          <w:rFonts w:ascii="Times New Roman" w:hAnsi="Times New Roman" w:cs="Times New Roman"/>
          <w:sz w:val="24"/>
          <w:szCs w:val="24"/>
        </w:rPr>
        <w:t>Kyber</w:t>
      </w:r>
      <w:proofErr w:type="spellEnd"/>
      <w:r w:rsidRPr="009047DF">
        <w:rPr>
          <w:rFonts w:ascii="Times New Roman" w:hAnsi="Times New Roman" w:cs="Times New Roman"/>
          <w:sz w:val="24"/>
          <w:szCs w:val="24"/>
        </w:rPr>
        <w:t xml:space="preserve"> for key encapsulation, CRYSTALS-</w:t>
      </w:r>
      <w:proofErr w:type="spellStart"/>
      <w:r w:rsidRPr="009047DF">
        <w:rPr>
          <w:rFonts w:ascii="Times New Roman" w:hAnsi="Times New Roman" w:cs="Times New Roman"/>
          <w:sz w:val="24"/>
          <w:szCs w:val="24"/>
        </w:rPr>
        <w:t>Dilithium</w:t>
      </w:r>
      <w:proofErr w:type="spellEnd"/>
      <w:r w:rsidRPr="009047DF">
        <w:rPr>
          <w:rFonts w:ascii="Times New Roman" w:hAnsi="Times New Roman" w:cs="Times New Roman"/>
          <w:sz w:val="24"/>
          <w:szCs w:val="24"/>
        </w:rPr>
        <w:t xml:space="preserve"> for digital signatures) that resist Shor’s algorithm attacks. Satellite systems with 10+ year lifetimes must migrate to PQC before 2030.</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Spread spectrum and beam nulling: Anti-jamming techniques (direct sequence spread spectrum, frequency hopping) make jamming require much higher power. Adaptive nulling using phased arrays can place radiation nulls toward interference sources while maintaining main lobe toward intended users.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AI-based intrusion detection: Onboard machine learning classifiers can detect anomalous command sequences or traffic patterns indicative of a compromised link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Cybersecurity is not a fixed state but a continuous race. The satellite industry must adopt modern </w:t>
      </w:r>
      <w:proofErr w:type="spellStart"/>
      <w:r w:rsidRPr="009047DF">
        <w:rPr>
          <w:rFonts w:ascii="Times New Roman" w:hAnsi="Times New Roman" w:cs="Times New Roman"/>
          <w:sz w:val="24"/>
          <w:szCs w:val="24"/>
        </w:rPr>
        <w:t>DevSecOps</w:t>
      </w:r>
      <w:proofErr w:type="spellEnd"/>
      <w:r w:rsidRPr="009047DF">
        <w:rPr>
          <w:rFonts w:ascii="Times New Roman" w:hAnsi="Times New Roman" w:cs="Times New Roman"/>
          <w:sz w:val="24"/>
          <w:szCs w:val="24"/>
        </w:rPr>
        <w:t xml:space="preserve"> practices (including frequent software updates) despite radiation-hardening constraints.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6. Future Trend 1: Integration with 6G Networks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3GPP NTN Framework</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3GPP Releases 17 and 18 have defined two classes of Non-Terrestrial Networks: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NTN-NR (New Radio) for 5G satellites providing broadband.</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NTN-IoT for narrowband satellite IoT (e.g., NB-IoT over satellite).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Release 19 (expected 2025–2026) will standardize satellite access in 6G, with three architectural options: (a) bent-pipe transparent satellite (satellite acts as RF relay); (b) </w:t>
      </w:r>
      <w:r w:rsidRPr="009047DF">
        <w:rPr>
          <w:rFonts w:ascii="Times New Roman" w:hAnsi="Times New Roman" w:cs="Times New Roman"/>
          <w:sz w:val="24"/>
          <w:szCs w:val="24"/>
        </w:rPr>
        <w:lastRenderedPageBreak/>
        <w:t xml:space="preserve">regenerative satellite with onboard </w:t>
      </w:r>
      <w:proofErr w:type="spellStart"/>
      <w:r w:rsidRPr="009047DF">
        <w:rPr>
          <w:rFonts w:ascii="Times New Roman" w:hAnsi="Times New Roman" w:cs="Times New Roman"/>
          <w:sz w:val="24"/>
          <w:szCs w:val="24"/>
        </w:rPr>
        <w:t>gNB</w:t>
      </w:r>
      <w:proofErr w:type="spellEnd"/>
      <w:r w:rsidRPr="009047DF">
        <w:rPr>
          <w:rFonts w:ascii="Times New Roman" w:hAnsi="Times New Roman" w:cs="Times New Roman"/>
          <w:sz w:val="24"/>
          <w:szCs w:val="24"/>
        </w:rPr>
        <w:t xml:space="preserve"> (cell site in space); (c) ISL-connected constellation acting as a distributed RAN [14].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6G Performance Goals Relevant to Satellite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The ITU-R IMT-2030 framework envisions: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Peak data rate: 1 </w:t>
      </w:r>
      <w:proofErr w:type="spellStart"/>
      <w:r w:rsidRPr="009047DF">
        <w:rPr>
          <w:rFonts w:ascii="Times New Roman" w:hAnsi="Times New Roman" w:cs="Times New Roman"/>
          <w:sz w:val="24"/>
          <w:szCs w:val="24"/>
        </w:rPr>
        <w:t>Tbps</w:t>
      </w:r>
      <w:proofErr w:type="spellEnd"/>
      <w:r w:rsidRPr="009047DF">
        <w:rPr>
          <w:rFonts w:ascii="Times New Roman" w:hAnsi="Times New Roman" w:cs="Times New Roman"/>
          <w:sz w:val="24"/>
          <w:szCs w:val="24"/>
        </w:rPr>
        <w:t xml:space="preserve"> (terrestrial) / 200 Gbps (satellite).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User experienced latency: 0.5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(terrestrial) / 15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(satellite).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Connection density: 10⁷ devices/km².</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Coverage: 99.99% of Earth’s landmass, including polar and deep rural.</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Satellites are essential to achieve the coverage goal. However, to meet latency, 6G will likely use “edge satellites” – low-orbiting nodes with onboard processing and intersatellite links to route traffic without ground relay.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Seamless Handover Challenges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 moving LEO satellite requires handover for a stationary user terminal every 5–10 minutes (for a 550 km orbit). 6G will need &lt;50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handover interruption. This implies: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AI-predicted handover initiation before signal degradation.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Dual connectivity (user terminal simultaneously connected to current and next satellite).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Inter-satellite coordination via optical </w:t>
      </w:r>
      <w:proofErr w:type="spellStart"/>
      <w:r w:rsidRPr="009047DF">
        <w:rPr>
          <w:rFonts w:ascii="Times New Roman" w:hAnsi="Times New Roman" w:cs="Times New Roman"/>
          <w:sz w:val="24"/>
          <w:szCs w:val="24"/>
        </w:rPr>
        <w:t>ISLs</w:t>
      </w:r>
      <w:proofErr w:type="spellEnd"/>
      <w:r w:rsidRPr="009047DF">
        <w:rPr>
          <w:rFonts w:ascii="Times New Roman" w:hAnsi="Times New Roman" w:cs="Times New Roman"/>
          <w:sz w:val="24"/>
          <w:szCs w:val="24"/>
        </w:rPr>
        <w:t xml:space="preserve"> with latency &lt;5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between adjacent satellites.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Initial field trials using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-modified terminals have demonstrated handover times of 180–250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 far above 6G requirement. This remains a critical research area [15].</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Network Slicing over Satellite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6G network slicing allows a single physical satellite to host virtual slices with different QoS guarantees: ultra-reliable low-latency (URLLC) slice for drone control, massive IoT slice for </w:t>
      </w:r>
      <w:r w:rsidRPr="009047DF">
        <w:rPr>
          <w:rFonts w:ascii="Times New Roman" w:hAnsi="Times New Roman" w:cs="Times New Roman"/>
          <w:sz w:val="24"/>
          <w:szCs w:val="24"/>
        </w:rPr>
        <w:lastRenderedPageBreak/>
        <w:t>agriculture sensors, and enhanced mobile broadband (</w:t>
      </w:r>
      <w:proofErr w:type="spellStart"/>
      <w:r w:rsidRPr="009047DF">
        <w:rPr>
          <w:rFonts w:ascii="Times New Roman" w:hAnsi="Times New Roman" w:cs="Times New Roman"/>
          <w:sz w:val="24"/>
          <w:szCs w:val="24"/>
        </w:rPr>
        <w:t>eMBB</w:t>
      </w:r>
      <w:proofErr w:type="spellEnd"/>
      <w:r w:rsidRPr="009047DF">
        <w:rPr>
          <w:rFonts w:ascii="Times New Roman" w:hAnsi="Times New Roman" w:cs="Times New Roman"/>
          <w:sz w:val="24"/>
          <w:szCs w:val="24"/>
        </w:rPr>
        <w:t>) slice for consumer internet. Software-defined payloads (e.g., Eutelsat Quantum) are precursors to full 6G satellite slicing.</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7. Future Trend 2: AI-Driven Satellite Autonomous Operations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Autonomous Navigation and Collision Avoidance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Modern LEO constellations already ingest conjunction data messages (</w:t>
      </w:r>
      <w:proofErr w:type="spellStart"/>
      <w:r w:rsidRPr="009047DF">
        <w:rPr>
          <w:rFonts w:ascii="Times New Roman" w:hAnsi="Times New Roman" w:cs="Times New Roman"/>
          <w:sz w:val="24"/>
          <w:szCs w:val="24"/>
        </w:rPr>
        <w:t>CDMs</w:t>
      </w:r>
      <w:proofErr w:type="spellEnd"/>
      <w:r w:rsidRPr="009047DF">
        <w:rPr>
          <w:rFonts w:ascii="Times New Roman" w:hAnsi="Times New Roman" w:cs="Times New Roman"/>
          <w:sz w:val="24"/>
          <w:szCs w:val="24"/>
        </w:rPr>
        <w:t xml:space="preserve">) from the US Space Surveillance Network (SSN). However, manual </w:t>
      </w:r>
      <w:proofErr w:type="spellStart"/>
      <w:r w:rsidRPr="009047DF">
        <w:rPr>
          <w:rFonts w:ascii="Times New Roman" w:hAnsi="Times New Roman" w:cs="Times New Roman"/>
          <w:sz w:val="24"/>
          <w:szCs w:val="24"/>
        </w:rPr>
        <w:t>maneuver</w:t>
      </w:r>
      <w:proofErr w:type="spellEnd"/>
      <w:r w:rsidRPr="009047DF">
        <w:rPr>
          <w:rFonts w:ascii="Times New Roman" w:hAnsi="Times New Roman" w:cs="Times New Roman"/>
          <w:sz w:val="24"/>
          <w:szCs w:val="24"/>
        </w:rPr>
        <w:t xml:space="preserve"> planning cannot scale to thousands of satellites. AI-based systems use: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Reinforcement learning (RL): An agent (satellite) learns a policy to maximize rewards: avoid collisions, minimize delta-V (fuel consumption), and maintain orbital slot. The action space includes small orbit raising/lowering and phasing </w:t>
      </w:r>
      <w:proofErr w:type="spellStart"/>
      <w:r w:rsidRPr="009047DF">
        <w:rPr>
          <w:rFonts w:ascii="Times New Roman" w:hAnsi="Times New Roman" w:cs="Times New Roman"/>
          <w:sz w:val="24"/>
          <w:szCs w:val="24"/>
        </w:rPr>
        <w:t>maneuvers</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Distributed consensus: Constellations like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use inter-satellite laser links to share ephemerides and coordinate </w:t>
      </w:r>
      <w:proofErr w:type="spellStart"/>
      <w:r w:rsidRPr="009047DF">
        <w:rPr>
          <w:rFonts w:ascii="Times New Roman" w:hAnsi="Times New Roman" w:cs="Times New Roman"/>
          <w:sz w:val="24"/>
          <w:szCs w:val="24"/>
        </w:rPr>
        <w:t>maneuvers</w:t>
      </w:r>
      <w:proofErr w:type="spellEnd"/>
      <w:r w:rsidRPr="009047DF">
        <w:rPr>
          <w:rFonts w:ascii="Times New Roman" w:hAnsi="Times New Roman" w:cs="Times New Roman"/>
          <w:sz w:val="24"/>
          <w:szCs w:val="24"/>
        </w:rPr>
        <w:t>, preventing two satellites from reacting mutually to the same predicted conjunction.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SpaceX reported that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satellites executed over 25,000 automated collision avoidance </w:t>
      </w:r>
      <w:proofErr w:type="spellStart"/>
      <w:r w:rsidRPr="009047DF">
        <w:rPr>
          <w:rFonts w:ascii="Times New Roman" w:hAnsi="Times New Roman" w:cs="Times New Roman"/>
          <w:sz w:val="24"/>
          <w:szCs w:val="24"/>
        </w:rPr>
        <w:t>maneuvers</w:t>
      </w:r>
      <w:proofErr w:type="spellEnd"/>
      <w:r w:rsidRPr="009047DF">
        <w:rPr>
          <w:rFonts w:ascii="Times New Roman" w:hAnsi="Times New Roman" w:cs="Times New Roman"/>
          <w:sz w:val="24"/>
          <w:szCs w:val="24"/>
        </w:rPr>
        <w:t xml:space="preserve"> in 2024, with zero unplanned close approaches &lt;1 km after </w:t>
      </w:r>
      <w:proofErr w:type="spellStart"/>
      <w:r w:rsidRPr="009047DF">
        <w:rPr>
          <w:rFonts w:ascii="Times New Roman" w:hAnsi="Times New Roman" w:cs="Times New Roman"/>
          <w:sz w:val="24"/>
          <w:szCs w:val="24"/>
        </w:rPr>
        <w:t>maneuvering</w:t>
      </w:r>
      <w:proofErr w:type="spellEnd"/>
      <w:r w:rsidRPr="009047DF">
        <w:rPr>
          <w:rFonts w:ascii="Times New Roman" w:hAnsi="Times New Roman" w:cs="Times New Roman"/>
          <w:sz w:val="24"/>
          <w:szCs w:val="24"/>
        </w:rPr>
        <w: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AI for Cybersecurity Anomaly Detection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Onboard AI models (e.g., one-class support vector machines or lightweight neural networks) can learn normal telemetry patterns (power draw, temperature, attitude, command sequences). An anomaly – sudden command flood, unexpected actuator movements, out-of-profile power – triggers an alert. The satellite can then isolate suspect interfaces, fall back to secure mode, and report to ground.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Autonomous Resource Management (Beam Hopping &amp; Power Allocation)</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As discussed in the earlier HTS paper, beam hopping schedules can be optimized by RL agents. The agent observes traffic demand per beam (from user terminals), current satellite power budget, and interference constraints. It outputs a hopping pattern for the next 10 </w:t>
      </w:r>
      <w:proofErr w:type="spellStart"/>
      <w:r w:rsidRPr="009047DF">
        <w:rPr>
          <w:rFonts w:ascii="Times New Roman" w:hAnsi="Times New Roman" w:cs="Times New Roman"/>
          <w:sz w:val="24"/>
          <w:szCs w:val="24"/>
        </w:rPr>
        <w:t>ms</w:t>
      </w:r>
      <w:proofErr w:type="spellEnd"/>
      <w:r w:rsidRPr="009047DF">
        <w:rPr>
          <w:rFonts w:ascii="Times New Roman" w:hAnsi="Times New Roman" w:cs="Times New Roman"/>
          <w:sz w:val="24"/>
          <w:szCs w:val="24"/>
        </w:rPr>
        <w:t xml:space="preserve"> frame. This is a high-dimensional combinatorial problem; RL has demonstrated 15–20% throughput improvement over static round-robin scheduling in simulation [16].</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Onboard Machine Learning Hardware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Traditional radiation-hardened processors (e.g., BAE RAD750) are too slow for real-time AI. New solutions include:</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Microchip’s radiation-tolerant </w:t>
      </w:r>
      <w:proofErr w:type="spellStart"/>
      <w:r w:rsidRPr="009047DF">
        <w:rPr>
          <w:rFonts w:ascii="Times New Roman" w:hAnsi="Times New Roman" w:cs="Times New Roman"/>
          <w:sz w:val="24"/>
          <w:szCs w:val="24"/>
        </w:rPr>
        <w:t>PolarFire</w:t>
      </w:r>
      <w:proofErr w:type="spellEnd"/>
      <w:r w:rsidRPr="009047DF">
        <w:rPr>
          <w:rFonts w:ascii="Times New Roman" w:hAnsi="Times New Roman" w:cs="Times New Roman"/>
          <w:sz w:val="24"/>
          <w:szCs w:val="24"/>
        </w:rPr>
        <w:t xml:space="preserve"> SoC with integrated FPGA fabric for neural network acceleration (10–50 GOPS per watt).</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European Space Agency’s (ESA) “Brave” project: Demonstrating a GPU-like accelerator (based on open-source RISC-V) capable of 100 GFLOPS in a CubeSat form factor.</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By 2030, we can expect that most new LEO satellites will have onboard AI acceleration as standard.</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8. Synthesis: Integrating Challenges and Trends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The four challenges and two future trends are deeply interconnected. AI-driven autonomous operations directly address orbital debris (collision avoidance) and cybersecurity (anomaly detection). 6G integration drives low-latency requirements that, in turn, push for LEO and optical </w:t>
      </w:r>
      <w:proofErr w:type="spellStart"/>
      <w:r w:rsidRPr="009047DF">
        <w:rPr>
          <w:rFonts w:ascii="Times New Roman" w:hAnsi="Times New Roman" w:cs="Times New Roman"/>
          <w:sz w:val="24"/>
          <w:szCs w:val="24"/>
        </w:rPr>
        <w:t>ISLs</w:t>
      </w:r>
      <w:proofErr w:type="spellEnd"/>
      <w:r w:rsidRPr="009047DF">
        <w:rPr>
          <w:rFonts w:ascii="Times New Roman" w:hAnsi="Times New Roman" w:cs="Times New Roman"/>
          <w:sz w:val="24"/>
          <w:szCs w:val="24"/>
        </w:rPr>
        <w:t>, which impose stricter debris mitigation. Atmospheric attenuation remains the only challenge that is fundamentally physical and independent of software – but AI-managed ACM and predictive beam hopping can minimize its impact.</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A holistic roadmap for 2030–2035:</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Physical layer: Optical intersatellite links become standard; Ka-band remains for user downlinks but with smarter fade prediction.</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Orbital debris: Active removal becomes a commercial service; international “debris tax” or bonds for launch operators.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Cybersecurity: PQC mandated for all government and critical infrastructure satellite links.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6G NTN: Satellites appear as standard cells in mobile network operator’s core network; user devices become dual-mode (terrestrial + satellite) without external antennas for most handset sizes.</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AI autonomy: Constellations operate with minimal ground intervention; ground operators move to high-level intent-based command (“Maintain coverage over maritime region with high reliability”).</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To conclude</w:t>
      </w: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Satellite communications stand at a crossroads. The challenges of atmospheric attenuation, latency, orbital debris, and cybersecurity are not hypothetical – they already degrade and disrupt services today. Attenuation limits availability in rainy climates; latency excludes GEO from real-time interactive use; debris threatens the long-term sustainability of LEO; and cyberattacks have demonstrated real-world consequences. Yet, the convergence of 6G standardization and AI-driven autonomy offers a credible path forward. By embedding satellites as native non-terrestrial components of 6G, and by equipping each satellite with sufficient onboard intelligence to navigate, protect itself, and allocate resources, we can transform today’s challenges into solved engineering problems. No single technology provides a panacea, but the integrated system – combining hardware mitigation, adaptive protocols, AI autonomy, and modern security – will enable the next generation of universal, resilient space-based communications.</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References </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 A. Jones and L. M. Peterson, “Forecast of global satellite population: 2025–2035,” Space Policy J., vol. 58, no. 2, pp. 112–128, Mar. 2024,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10.1016/j.spacepol.2023.101412.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3GPP, “Solutions for NR to support non-terrestrial networks (NTN),” 3rd Generation Partnership Project, Sophia Antipolis, France, Tech. Rep. 3GPP TR 38.821, Rev. 17.2.0, Jun. 2023.</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L. J. Ippolito, Satellite Communications Systems Engineering: Atmospheric Effects, Satellite Link Design, and System Performance, 2nd ed. Hoboken, NJ, USA: Wiley, 2020, </w:t>
      </w:r>
      <w:proofErr w:type="spellStart"/>
      <w:r w:rsidRPr="009047DF">
        <w:rPr>
          <w:rFonts w:ascii="Times New Roman" w:hAnsi="Times New Roman" w:cs="Times New Roman"/>
          <w:sz w:val="24"/>
          <w:szCs w:val="24"/>
        </w:rPr>
        <w:t>ch.</w:t>
      </w:r>
      <w:proofErr w:type="spellEnd"/>
      <w:r w:rsidRPr="009047DF">
        <w:rPr>
          <w:rFonts w:ascii="Times New Roman" w:hAnsi="Times New Roman" w:cs="Times New Roman"/>
          <w:sz w:val="24"/>
          <w:szCs w:val="24"/>
        </w:rPr>
        <w:t xml:space="preserve"> 4, pp. 147–188.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ITU-R, “Propagation data and prediction methods required for the design of Earth-space telecommunication systems,” Int. </w:t>
      </w:r>
      <w:proofErr w:type="spellStart"/>
      <w:r w:rsidRPr="009047DF">
        <w:rPr>
          <w:rFonts w:ascii="Times New Roman" w:hAnsi="Times New Roman" w:cs="Times New Roman"/>
          <w:sz w:val="24"/>
          <w:szCs w:val="24"/>
        </w:rPr>
        <w:t>Telecommun</w:t>
      </w:r>
      <w:proofErr w:type="spellEnd"/>
      <w:r w:rsidRPr="009047DF">
        <w:rPr>
          <w:rFonts w:ascii="Times New Roman" w:hAnsi="Times New Roman" w:cs="Times New Roman"/>
          <w:sz w:val="24"/>
          <w:szCs w:val="24"/>
        </w:rPr>
        <w:t>. Union, Geneva, Switzerland, Rec. ITU-R P.618-13, Sep. 2021.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 J. G. Blanchard and K. F. </w:t>
      </w:r>
      <w:proofErr w:type="spellStart"/>
      <w:r w:rsidRPr="009047DF">
        <w:rPr>
          <w:rFonts w:ascii="Times New Roman" w:hAnsi="Times New Roman" w:cs="Times New Roman"/>
          <w:sz w:val="24"/>
          <w:szCs w:val="24"/>
        </w:rPr>
        <w:t>Oduola</w:t>
      </w:r>
      <w:proofErr w:type="spellEnd"/>
      <w:r w:rsidRPr="009047DF">
        <w:rPr>
          <w:rFonts w:ascii="Times New Roman" w:hAnsi="Times New Roman" w:cs="Times New Roman"/>
          <w:sz w:val="24"/>
          <w:szCs w:val="24"/>
        </w:rPr>
        <w:t xml:space="preserve">, “Rain fade measurements on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user links across North America,” in Proc. IEEE Int. Conf.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(ICC), Rome, Italy, Jun. 2024, pp. 2150–2156,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10.1109/ICC51166.2024.10622831.</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R. De </w:t>
      </w:r>
      <w:proofErr w:type="spellStart"/>
      <w:r w:rsidRPr="009047DF">
        <w:rPr>
          <w:rFonts w:ascii="Times New Roman" w:hAnsi="Times New Roman" w:cs="Times New Roman"/>
          <w:sz w:val="24"/>
          <w:szCs w:val="24"/>
        </w:rPr>
        <w:t>Gaudenzi</w:t>
      </w:r>
      <w:proofErr w:type="spellEnd"/>
      <w:r w:rsidRPr="009047DF">
        <w:rPr>
          <w:rFonts w:ascii="Times New Roman" w:hAnsi="Times New Roman" w:cs="Times New Roman"/>
          <w:sz w:val="24"/>
          <w:szCs w:val="24"/>
        </w:rPr>
        <w:t xml:space="preserve">, O. del Rio Herrero, and E. S. M. </w:t>
      </w:r>
      <w:proofErr w:type="spellStart"/>
      <w:r w:rsidRPr="009047DF">
        <w:rPr>
          <w:rFonts w:ascii="Times New Roman" w:hAnsi="Times New Roman" w:cs="Times New Roman"/>
          <w:sz w:val="24"/>
          <w:szCs w:val="24"/>
        </w:rPr>
        <w:t>Ventouras</w:t>
      </w:r>
      <w:proofErr w:type="spellEnd"/>
      <w:r w:rsidRPr="009047DF">
        <w:rPr>
          <w:rFonts w:ascii="Times New Roman" w:hAnsi="Times New Roman" w:cs="Times New Roman"/>
          <w:sz w:val="24"/>
          <w:szCs w:val="24"/>
        </w:rPr>
        <w:t xml:space="preserve">, “Adaptive coding and modulation for high-throughput satellite systems: Implementation and field results,” IEEE </w:t>
      </w:r>
      <w:r w:rsidRPr="009047DF">
        <w:rPr>
          <w:rFonts w:ascii="Times New Roman" w:hAnsi="Times New Roman" w:cs="Times New Roman"/>
          <w:sz w:val="24"/>
          <w:szCs w:val="24"/>
        </w:rPr>
        <w:lastRenderedPageBreak/>
        <w:t xml:space="preserve">Trans. Wireless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vol. 22, no. 7, pp. 4630–4644, Jul. 2023,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10.1109/TWC.2022.3161102.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ESA Advanced Concepts Team, “</w:t>
      </w:r>
      <w:proofErr w:type="spellStart"/>
      <w:r w:rsidRPr="009047DF">
        <w:rPr>
          <w:rFonts w:ascii="Times New Roman" w:hAnsi="Times New Roman" w:cs="Times New Roman"/>
          <w:sz w:val="24"/>
          <w:szCs w:val="24"/>
        </w:rPr>
        <w:t>HydRON</w:t>
      </w:r>
      <w:proofErr w:type="spellEnd"/>
      <w:r w:rsidRPr="009047DF">
        <w:rPr>
          <w:rFonts w:ascii="Times New Roman" w:hAnsi="Times New Roman" w:cs="Times New Roman"/>
          <w:sz w:val="24"/>
          <w:szCs w:val="24"/>
        </w:rPr>
        <w:t xml:space="preserve"> – High throughput optical network: Feasibility demonstration,” Eur. Space Agency, Paris, France, Rep. ACT-RPT-5050, Feb. 2024.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J. F. Kurose and K. W. Ross, Computer Networking: A Top-Down Approach, 8th ed. Boston, MA, USA: Pearson, 2021, pp. 289–310.</w:t>
      </w:r>
    </w:p>
    <w:p w:rsidR="00923D10" w:rsidRPr="009047DF" w:rsidRDefault="00923D10" w:rsidP="00923D10">
      <w:pPr>
        <w:spacing w:line="360" w:lineRule="auto"/>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T. K. L. Hoang and S. P. Deshpande, “Latency comparison of transatlantic links: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LEO vs. submarine </w:t>
      </w:r>
      <w:proofErr w:type="spellStart"/>
      <w:r w:rsidRPr="009047DF">
        <w:rPr>
          <w:rFonts w:ascii="Times New Roman" w:hAnsi="Times New Roman" w:cs="Times New Roman"/>
          <w:sz w:val="24"/>
          <w:szCs w:val="24"/>
        </w:rPr>
        <w:t>fiber</w:t>
      </w:r>
      <w:proofErr w:type="spellEnd"/>
      <w:r w:rsidRPr="009047DF">
        <w:rPr>
          <w:rFonts w:ascii="Times New Roman" w:hAnsi="Times New Roman" w:cs="Times New Roman"/>
          <w:sz w:val="24"/>
          <w:szCs w:val="24"/>
        </w:rPr>
        <w:t xml:space="preserve">,” ACM SIGCOMM </w:t>
      </w:r>
      <w:proofErr w:type="spellStart"/>
      <w:r w:rsidRPr="009047DF">
        <w:rPr>
          <w:rFonts w:ascii="Times New Roman" w:hAnsi="Times New Roman" w:cs="Times New Roman"/>
          <w:sz w:val="24"/>
          <w:szCs w:val="24"/>
        </w:rPr>
        <w:t>Comput</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Rev., vol. 54, no. 1, pp. 22–29, Jan. 2024,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10.1145/3632402.3632408.</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 ESA Space Debris Office, “Annual space environment report 2024,” Eur. Space Agency, Darmstadt, Germany, Rep. ESA-ASR-2024, Mar. 2024.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FCC, “Mitigation of orbital debris in the new space age,” Fed.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Comm., Washington, DC, USA, Report FCC 24-42, May 2024.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N. Weaver, “Anatomy of the KA-SAT cyberattack: Lessons for satellite ground segment security,” J. Cybersecurity, vol. 9, no. 3, pp. 1–18, Aug. 2023,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10.1093/</w:t>
      </w:r>
      <w:proofErr w:type="spellStart"/>
      <w:r w:rsidRPr="009047DF">
        <w:rPr>
          <w:rFonts w:ascii="Times New Roman" w:hAnsi="Times New Roman" w:cs="Times New Roman"/>
          <w:sz w:val="24"/>
          <w:szCs w:val="24"/>
        </w:rPr>
        <w:t>cybsec</w:t>
      </w:r>
      <w:proofErr w:type="spellEnd"/>
      <w:r w:rsidRPr="009047DF">
        <w:rPr>
          <w:rFonts w:ascii="Times New Roman" w:hAnsi="Times New Roman" w:cs="Times New Roman"/>
          <w:sz w:val="24"/>
          <w:szCs w:val="24"/>
        </w:rPr>
        <w:t>/tyad012.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Satellite Cybersecurity Alliance, “State of satellite cybersecurity 2024,” SCA, Washington, DC, USA, </w:t>
      </w:r>
      <w:proofErr w:type="spellStart"/>
      <w:r w:rsidRPr="009047DF">
        <w:rPr>
          <w:rFonts w:ascii="Times New Roman" w:hAnsi="Times New Roman" w:cs="Times New Roman"/>
          <w:sz w:val="24"/>
          <w:szCs w:val="24"/>
        </w:rPr>
        <w:t>Annu</w:t>
      </w:r>
      <w:proofErr w:type="spellEnd"/>
      <w:r w:rsidRPr="009047DF">
        <w:rPr>
          <w:rFonts w:ascii="Times New Roman" w:hAnsi="Times New Roman" w:cs="Times New Roman"/>
          <w:sz w:val="24"/>
          <w:szCs w:val="24"/>
        </w:rPr>
        <w:t>. Rep. SCA-2024-01, Mar. 2024.</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M. </w:t>
      </w:r>
      <w:proofErr w:type="spellStart"/>
      <w:r w:rsidRPr="009047DF">
        <w:rPr>
          <w:rFonts w:ascii="Times New Roman" w:hAnsi="Times New Roman" w:cs="Times New Roman"/>
          <w:sz w:val="24"/>
          <w:szCs w:val="24"/>
        </w:rPr>
        <w:t>Giordani</w:t>
      </w:r>
      <w:proofErr w:type="spellEnd"/>
      <w:r w:rsidRPr="009047DF">
        <w:rPr>
          <w:rFonts w:ascii="Times New Roman" w:hAnsi="Times New Roman" w:cs="Times New Roman"/>
          <w:sz w:val="24"/>
          <w:szCs w:val="24"/>
        </w:rPr>
        <w:t xml:space="preserve"> and M. </w:t>
      </w:r>
      <w:proofErr w:type="spellStart"/>
      <w:r w:rsidRPr="009047DF">
        <w:rPr>
          <w:rFonts w:ascii="Times New Roman" w:hAnsi="Times New Roman" w:cs="Times New Roman"/>
          <w:sz w:val="24"/>
          <w:szCs w:val="24"/>
        </w:rPr>
        <w:t>Zorzi</w:t>
      </w:r>
      <w:proofErr w:type="spellEnd"/>
      <w:r w:rsidRPr="009047DF">
        <w:rPr>
          <w:rFonts w:ascii="Times New Roman" w:hAnsi="Times New Roman" w:cs="Times New Roman"/>
          <w:sz w:val="24"/>
          <w:szCs w:val="24"/>
        </w:rPr>
        <w:t xml:space="preserve">, “Non-terrestrial networks in 6G: A survey of architectures, challenges, and standardization,” IEEE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Surveys Tuts., vol. 26, no. 1, pp. 12–52, 1st Quart. 2024,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10.1109/COMST.2023.3308742.</w:t>
      </w:r>
    </w:p>
    <w:p w:rsidR="00923D10" w:rsidRPr="009047DF" w:rsidRDefault="00923D10" w:rsidP="00923D10">
      <w:pPr>
        <w:jc w:val="both"/>
        <w:rPr>
          <w:rFonts w:ascii="Times New Roman" w:hAnsi="Times New Roman" w:cs="Times New Roman"/>
          <w:sz w:val="24"/>
          <w:szCs w:val="24"/>
        </w:rPr>
      </w:pPr>
    </w:p>
    <w:p w:rsidR="00923D1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t xml:space="preserve">S. Park, Y. Lee, and H. Kim, “Handover latency in LEO constellations: Measurement and analysis of </w:t>
      </w:r>
      <w:proofErr w:type="spellStart"/>
      <w:r w:rsidRPr="009047DF">
        <w:rPr>
          <w:rFonts w:ascii="Times New Roman" w:hAnsi="Times New Roman" w:cs="Times New Roman"/>
          <w:sz w:val="24"/>
          <w:szCs w:val="24"/>
        </w:rPr>
        <w:t>Starlink</w:t>
      </w:r>
      <w:proofErr w:type="spellEnd"/>
      <w:r w:rsidRPr="009047DF">
        <w:rPr>
          <w:rFonts w:ascii="Times New Roman" w:hAnsi="Times New Roman" w:cs="Times New Roman"/>
          <w:sz w:val="24"/>
          <w:szCs w:val="24"/>
        </w:rPr>
        <w:t xml:space="preserve"> terminals,” IEEE Trans. Mobile </w:t>
      </w:r>
      <w:proofErr w:type="spellStart"/>
      <w:r w:rsidRPr="009047DF">
        <w:rPr>
          <w:rFonts w:ascii="Times New Roman" w:hAnsi="Times New Roman" w:cs="Times New Roman"/>
          <w:sz w:val="24"/>
          <w:szCs w:val="24"/>
        </w:rPr>
        <w:t>Comput</w:t>
      </w:r>
      <w:proofErr w:type="spellEnd"/>
      <w:r w:rsidRPr="009047DF">
        <w:rPr>
          <w:rFonts w:ascii="Times New Roman" w:hAnsi="Times New Roman" w:cs="Times New Roman"/>
          <w:sz w:val="24"/>
          <w:szCs w:val="24"/>
        </w:rPr>
        <w:t xml:space="preserve">., vol. 23, no. 8, pp. 8125–8137, Aug. 2024,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10.1109/TMC.2023.3324765.</w:t>
      </w:r>
    </w:p>
    <w:p w:rsidR="00923D10" w:rsidRPr="009047DF" w:rsidRDefault="00923D10" w:rsidP="00923D10">
      <w:pPr>
        <w:jc w:val="both"/>
        <w:rPr>
          <w:rFonts w:ascii="Times New Roman" w:hAnsi="Times New Roman" w:cs="Times New Roman"/>
          <w:sz w:val="24"/>
          <w:szCs w:val="24"/>
        </w:rPr>
      </w:pPr>
    </w:p>
    <w:p w:rsidR="004E4830" w:rsidRPr="009047DF" w:rsidRDefault="00923D10" w:rsidP="00923D10">
      <w:pPr>
        <w:jc w:val="both"/>
        <w:rPr>
          <w:rFonts w:ascii="Times New Roman" w:hAnsi="Times New Roman" w:cs="Times New Roman"/>
          <w:sz w:val="24"/>
          <w:szCs w:val="24"/>
        </w:rPr>
      </w:pPr>
      <w:r w:rsidRPr="009047DF">
        <w:rPr>
          <w:rFonts w:ascii="Times New Roman" w:hAnsi="Times New Roman" w:cs="Times New Roman"/>
          <w:sz w:val="24"/>
          <w:szCs w:val="24"/>
        </w:rPr>
        <w:lastRenderedPageBreak/>
        <w:t xml:space="preserve">N. C. Wang, P. V. Klaine, and L. A. DaSilva, “Reinforcement learning for beam hopping in very high throughput satellites,” IEEE Trans. </w:t>
      </w:r>
      <w:proofErr w:type="spellStart"/>
      <w:r w:rsidRPr="009047DF">
        <w:rPr>
          <w:rFonts w:ascii="Times New Roman" w:hAnsi="Times New Roman" w:cs="Times New Roman"/>
          <w:sz w:val="24"/>
          <w:szCs w:val="24"/>
        </w:rPr>
        <w:t>Cogn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Commun</w:t>
      </w:r>
      <w:proofErr w:type="spellEnd"/>
      <w:r w:rsidRPr="009047DF">
        <w:rPr>
          <w:rFonts w:ascii="Times New Roman" w:hAnsi="Times New Roman" w:cs="Times New Roman"/>
          <w:sz w:val="24"/>
          <w:szCs w:val="24"/>
        </w:rPr>
        <w:t xml:space="preserve">. </w:t>
      </w:r>
      <w:proofErr w:type="spellStart"/>
      <w:r w:rsidRPr="009047DF">
        <w:rPr>
          <w:rFonts w:ascii="Times New Roman" w:hAnsi="Times New Roman" w:cs="Times New Roman"/>
          <w:sz w:val="24"/>
          <w:szCs w:val="24"/>
        </w:rPr>
        <w:t>Netw</w:t>
      </w:r>
      <w:proofErr w:type="spellEnd"/>
      <w:r w:rsidRPr="009047DF">
        <w:rPr>
          <w:rFonts w:ascii="Times New Roman" w:hAnsi="Times New Roman" w:cs="Times New Roman"/>
          <w:sz w:val="24"/>
          <w:szCs w:val="24"/>
        </w:rPr>
        <w:t xml:space="preserve">., vol. 9, no. 5, pp. 1238–1252, Oct. 2023, </w:t>
      </w:r>
      <w:proofErr w:type="spellStart"/>
      <w:r w:rsidRPr="009047DF">
        <w:rPr>
          <w:rFonts w:ascii="Times New Roman" w:hAnsi="Times New Roman" w:cs="Times New Roman"/>
          <w:sz w:val="24"/>
          <w:szCs w:val="24"/>
        </w:rPr>
        <w:t>doi</w:t>
      </w:r>
      <w:proofErr w:type="spellEnd"/>
      <w:r w:rsidRPr="009047DF">
        <w:rPr>
          <w:rFonts w:ascii="Times New Roman" w:hAnsi="Times New Roman" w:cs="Times New Roman"/>
          <w:sz w:val="24"/>
          <w:szCs w:val="24"/>
        </w:rPr>
        <w:t>: 10.1109/TCCN.2023.3289012.</w:t>
      </w:r>
    </w:p>
    <w:sectPr w:rsidR="004E4830" w:rsidRPr="00904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D10"/>
    <w:rsid w:val="001B587A"/>
    <w:rsid w:val="003230D1"/>
    <w:rsid w:val="004E4830"/>
    <w:rsid w:val="00792E1C"/>
    <w:rsid w:val="008648BC"/>
    <w:rsid w:val="008704D2"/>
    <w:rsid w:val="008C5DC8"/>
    <w:rsid w:val="009047DF"/>
    <w:rsid w:val="00923D10"/>
    <w:rsid w:val="00B6282B"/>
    <w:rsid w:val="00CF0FB8"/>
    <w:rsid w:val="00DE6463"/>
    <w:rsid w:val="00EA69CE"/>
  </w:rsids>
  <m:mathPr>
    <m:mathFont m:val="Cambria Math"/>
    <m:brkBin m:val="before"/>
    <m:brkBinSub m:val="--"/>
    <m:smallFrac m:val="0"/>
    <m:dispDef/>
    <m:lMargin m:val="0"/>
    <m:rMargin m:val="0"/>
    <m:defJc m:val="centerGroup"/>
    <m:wrapIndent m:val="1440"/>
    <m:intLim m:val="subSup"/>
    <m:naryLim m:val="undOvr"/>
  </m:mathPr>
  <w:themeFontLang w:val="en-M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A1AB"/>
  <w15:chartTrackingRefBased/>
  <w15:docId w15:val="{C7389003-F061-458B-A98F-824039FEE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x-non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A69CE"/>
    <w:rPr>
      <w:sz w:val="16"/>
      <w:szCs w:val="16"/>
    </w:rPr>
  </w:style>
  <w:style w:type="paragraph" w:styleId="CommentText">
    <w:name w:val="annotation text"/>
    <w:basedOn w:val="Normal"/>
    <w:link w:val="CommentTextChar"/>
    <w:uiPriority w:val="99"/>
    <w:semiHidden/>
    <w:unhideWhenUsed/>
    <w:rsid w:val="00EA69CE"/>
    <w:pPr>
      <w:spacing w:line="240" w:lineRule="auto"/>
    </w:pPr>
    <w:rPr>
      <w:sz w:val="20"/>
      <w:szCs w:val="20"/>
    </w:rPr>
  </w:style>
  <w:style w:type="character" w:customStyle="1" w:styleId="CommentTextChar">
    <w:name w:val="Comment Text Char"/>
    <w:basedOn w:val="DefaultParagraphFont"/>
    <w:link w:val="CommentText"/>
    <w:uiPriority w:val="99"/>
    <w:semiHidden/>
    <w:rsid w:val="00EA69CE"/>
    <w:rPr>
      <w:sz w:val="20"/>
      <w:szCs w:val="20"/>
    </w:rPr>
  </w:style>
  <w:style w:type="paragraph" w:styleId="CommentSubject">
    <w:name w:val="annotation subject"/>
    <w:basedOn w:val="CommentText"/>
    <w:next w:val="CommentText"/>
    <w:link w:val="CommentSubjectChar"/>
    <w:uiPriority w:val="99"/>
    <w:semiHidden/>
    <w:unhideWhenUsed/>
    <w:rsid w:val="00EA69CE"/>
    <w:rPr>
      <w:b/>
      <w:bCs/>
    </w:rPr>
  </w:style>
  <w:style w:type="character" w:customStyle="1" w:styleId="CommentSubjectChar">
    <w:name w:val="Comment Subject Char"/>
    <w:basedOn w:val="CommentTextChar"/>
    <w:link w:val="CommentSubject"/>
    <w:uiPriority w:val="99"/>
    <w:semiHidden/>
    <w:rsid w:val="00EA69CE"/>
    <w:rPr>
      <w:b/>
      <w:bCs/>
      <w:sz w:val="20"/>
      <w:szCs w:val="20"/>
    </w:rPr>
  </w:style>
  <w:style w:type="paragraph" w:styleId="BalloonText">
    <w:name w:val="Balloon Text"/>
    <w:basedOn w:val="Normal"/>
    <w:link w:val="BalloonTextChar"/>
    <w:uiPriority w:val="99"/>
    <w:semiHidden/>
    <w:unhideWhenUsed/>
    <w:rsid w:val="00EA69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69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824</TotalTime>
  <Pages>1</Pages>
  <Words>9397</Words>
  <Characters>53569</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i5</dc:creator>
  <cp:keywords/>
  <dc:description/>
  <cp:lastModifiedBy>Dell i5</cp:lastModifiedBy>
  <cp:revision>18</cp:revision>
  <dcterms:created xsi:type="dcterms:W3CDTF">2026-05-02T19:41:00Z</dcterms:created>
  <dcterms:modified xsi:type="dcterms:W3CDTF">2026-05-03T13:13:00Z</dcterms:modified>
</cp:coreProperties>
</file>