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Edward Hand</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8 Old Hall Drive</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Stockport</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SK2 5TX</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26th March 2026</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Canova Medical to prepare a medical report in connection with the personal injuries sustained on </w:t>
      </w:r>
      <w:r>
        <w:rPr>
          <w:rFonts w:ascii="Arial" w:hAnsi="Arial" w:eastAsia="Arial" w:cs="Arial"/>
          <w:bCs/>
          <w:sz w:val="24"/>
          <w:szCs w:val="24"/>
        </w:rPr>
        <w:t xml:space="preserve">28th August 2024.</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Edward Hand</w:t>
        <w:tab/>
        <w:tab/>
        <w:tab/>
        <w:tab/>
        <w:tab/>
        <w:tab/>
        <w:t xml:space="preserve">14th August 1965</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8 Old Hall Drive</w:t>
        <w:tab/>
        <w:tab/>
        <w:tab/>
        <w:tab/>
        <w:tab/>
        <w:t xml:space="preserve">Unemployed</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Stockport</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SK2 5TX</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xml:space="preserve">Identity confirmed by means of birth certificate and utility bill (water bill)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xml:space="preserve">Birth certificate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xml:space="preserve">Utility bill (water bill)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xml:space="preserve">28th August 2024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xml:space="preserve">60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xml:space="preserve">26th March 2026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xml:space="preserve">26th March 2026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Canova Medical  A6. </w:t>
      </w:r>
      <w:r>
        <w:rPr>
          <w:rFonts w:ascii="Arial" w:hAnsi="Arial" w:cs="Arial"/>
          <w:sz w:val="24"/>
          <w:szCs w:val="24"/>
        </w:rPr>
        <w:t xml:space="preserve">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{{instructing_solicitor}}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Canova Medical.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26th March 2026</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Doctors Chambers</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The claimant was riding a pushbike and was stationary at traffic lights. When the lights turned green, the claimant proceeded through the junction. A vehicle travelling from the opposite direction turned across the traffic at the junction and collided with the claimant, knocking him from his bicycle. The third-party driver exited his vehicle and behaved aggressively, blaming the claimant for the collision. Bystanders intervened and told the driver to move away. Whilst the claimant remained on the ground, having been advised by bystanders not to move, a second vehicle came around the junction and ran over both of the claimant's feet and ankles. The second vehicle failed to stop and left the scene. The police subsequently confirmed they had identified the first driver but were unable to trace the second vehicle despite the claimant reporting the presence of cameras at the junction.</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An ambulance was called to the scene and the claimant was transported to Stepping Hill Hospital. The police also attended the scene. Upon arrival at Stepping Hill Hospital, the claimant was assessed through the Accident and Emergency department and was admitted as an inpatient. After approximately two days, he underwent surgical fixation of his left medial malleolus fracture, involving insertion of metalwork (pin/screw fixation). The right ankle fracture was treated non-operatively with a walker boot.</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The claimant was reviewed in the fracture clinic approximately six to eight weeks post-operatively, at which point the walker boots were removed. In December 2024, the claimant presented to his general practitioner with increasing swelling of the left lower limb. Blood tests were undertaken and the claimant was referred to hospital, where he was admitted and diagnosed with a deep vein thrombosis which had extended to his abdomen. He was treated with anticoagulant medication. More recently, approximately two weeks prior to this examination, the claimant attended again with recurrent swelling of the left calf. The DVT was excluded on this occasion; however, there was discussion regarding a possible referral to Wythenshawe Hospital for further investigation with advanced imaging.</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The claimant was seen by a physiotherapist prior to discharge from hospital and was provided with a set of home exercises. However, he was unable to attend follow-up physiotherapy appointments due to his mobility difficulties. He attempted the exercises at home but found that performing them on one night would result in an exacerbation of symptoms preventing him from repeating them the following night. It is recommended that the claimant undergo a course of hands-on physiotherapy over the next six months to strengthen the ankle musculature and improve his range of motion and symptoms. A referral to a psychologist has also been recommended to address the claimant's psychological symptoms.</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sustained a left medial malleolus fracture, described as shattered, which required surgical fixation with metalwork insertion.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sustained a right ankle fracture treated non-operatively in a walker boot for approximately six to eight weeks.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Both ankles and feet suffered crush injuries when a second vehicle ran over the claimant's lower limbs whilst he was on the ground.</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On the day of the incident, the claimant describes the pain in both ankles as severe.</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currently reports moderate to severe symptoms in the left ankle, with persistent swelling, shooting pains on the medial aspect, reduced range of motion, and itching.</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currently reports moderate symptoms in the right ankle, with intermittent flare-ups of pain depending on the amount of weight-bearing activity.</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claimant's left foot remains persistently swollen, requiring him to wear a size eleven shoe on that foot, having previously been a size ten.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developed a deep vein thrombosis in December 2024, which extended to his abdomen, requiring hospitalisation and treatment with anticoagulant medication.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claimant's left calf remains swollen, likely as a consequence of post-thrombotic syndrome following the DVT.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experiences nocturnal pain in his left ankle which can disturb his sleep and cause difficulty with mobilisation at night.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was initially mobilising with a walking frame as he was unable to manage crutches, and was largely housebound for a significant period following the incident.</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The claimant reports experiencing nightmares related to the incident, particularly regarding the second vehicle running over his legs. He describes the incident as a near-death experience, recalling hearing the impact of the car running over his lower limbs. He reports a loss of confidence in cycling and has not returned to cycling since the incident. He describes social withdrawal and a reluctance to leave his home, stating that he has largely stayed indoors since the incident. He reports a loss of motivation, describing an inability to be bothered to visit his elderly mother. A referral to a psychologist has been recommended.</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The claimant was unemployed at the time of the index incident and was not working due to pre-existing rheumatism. There has therefore been no direct effect upon employment.</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The claimant resides in a ground floor flat. There was no change to his living arrangements as a result of the incident.</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The claimant reports significant adverse effects upon his daily life and activities as a consequence of his injuries. He has been unable to return to cycling and has abandoned his bicycle since the accident. He has been unable to attend to his allotment as he previously did. He has experienced considerable difficulty with shopping, being unable to walk to the shops and carry shopping, and has resorted to ordering deliveries. He reports that he has been largely housebound and socially isolated, having visited his eighty-four-year-old mother in Aylesbury only once in nearly two years, whereas he previously visited her every weekend. The claimant requires a size eleven shoe on the left foot due to persistent swelling, having previously been a size ten. He reports difficulty mobilising, particularly with prolonged walking, and describes episodes of disorientation at night when weight-bearing on his injured ankles.</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{{past_accidents}}</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The claimant has a pre-existing history of osteoarthritis and rheumatoid arthritis, for which he was prescribed codeine phosphate. He was deemed unfit for work prior to the index incident on account of these conditions.</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The claimant reports a history of osteoarthritis and rheumatoid arthritis, for which he takes codeine phosphate. He was not working at the time of the incident due to his rheumatism and associated difficulties.</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The left ankle was notably swollen compared to the right.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There was medial ankle tenderness on the left side with the claimant reporting shooting pains on the inner aspect of the left ankle.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A surgical scar was noted on the medial aspect of the left ankle from previous fracture fixation, though it was difficult to visualise, suggesting it had faded well.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Range of motion of the left ankle was reduced in both plantar flexion and dorsiflexion.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The left calf was swollen, likely secondary to previous deep vein thrombosis and resultant circulatory compromise.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The right ankle demonstrated residual swelling and medial joint line tenderness.</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Dorsiflexion of the right ankle was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Plantar flexion of the right ankle was reduced to approximately fifty percent of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Overall, the right ankle demonstrated approximately fifty percent of normal range of motion in plantar flexion with preserved dorsiflexion.</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{{document_review_notes}}</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The claimant sustained a left medial malleolus fracture requiring open reduction and internal fixation, and a right ankle fracture treated non-operatively in a walker boot. He additionally suffered crush injuries to both ankles and feet when a second vehicle ran over his lower limbs whilst he was on the ground. He subsequently developed a deep vein thrombosis in December 2024, which extended to his abdomen, requiring hospitalisation and anticoagulant therapy. The DVT has contributed to ongoing circulatory compromise and persistent swelling of the left lower limb. The claimant's right ankle currently exhibits moderate residual symptoms with intermittent flare-ups, reduced plantar flexion to approximately fifty percent of normal, and normal dorsiflexion. The left ankle remains moderate to severe in symptom severity, with significant persistent swelling, reduced range of motion in both plantar flexion and dorsiflexion, medial ankle pain, and shooting pains. The treating surgeon has advised that the claimant will have permanent stiffness in his ankles. It is the examining doctor's opinion that the right ankle is likely to recover to approximately eighty percent of normal function, whilst the left ankle is likely to achieve only approximately fifty percent of normal function. A course of physiotherapy over the next six months is recommended to strengthen the ankle musculature and improve symptoms, although full recovery is not anticipated. A referral to a psychologist is also recommended for the claimant's psychological symptoms. The stiffness in both ankles is expected to be permanent.</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{{seatbelt_worn}}</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{{vehicle_has_seatbelts}}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{{seatbelt_exemption}}</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No</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No</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26th March 2026</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