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Performance &amp; Efficiency Analysis Report</w:t>
      </w:r>
    </w:p>
    <w:p>
      <w:pPr>
        <w:spacing w:after="120"/>
      </w:pPr>
      <w:r>
        <w:rPr>
          <w:i/>
          <w:iCs/>
        </w:rPr>
        <w:t xml:space="preserve">cInvoiceHub / DCIT 208 Team seg26-55 — Ghana Smart Service Operations Optimizer (University of Ghana, Legon Campus)</w:t>
      </w:r>
    </w:p>
    <w:p>
      <w:pPr>
        <w:spacing w:after="120"/>
      </w:pPr>
      <w:r>
        <w:rPr>
          <w:b/>
          <w:bCs/>
        </w:rPr>
        <w:t xml:space="preserve">Prepared by: Dzandu Priscilla Amewornu (22390285) — Performance Specialist</w:t>
      </w:r>
    </w:p>
    <w:p>
      <w:pPr>
        <w:spacing w:after="120"/>
      </w:pPr>
      <w:r>
        <w:t xml:space="preserve">Date: August 2026</w:t>
      </w:r>
    </w:p>
    <w:p>
      <w:pPr>
        <w:pStyle w:val="Heading1"/>
        <w:spacing w:after="120" w:before="240"/>
      </w:pPr>
      <w:r>
        <w:t xml:space="preserve">1. Purpose &amp; Scope</w:t>
      </w:r>
    </w:p>
    <w:p>
      <w:pPr>
        <w:spacing w:after="120"/>
      </w:pPr>
      <w:r>
        <w:t xml:space="preserve">This report documents six efficiency experiments benchmarking the data structures and algorithms implemented by the team (Prince, Benjamin, Michael, Ekow, Lilian, Nana K., Denise) as they apply to the Legon Campus Facility Management scenario: 50 buildings, 100+ pathways, 300+ service requests, 30 resources, and 5 service types (Maintenance, Delivery, Waste, Security, Grounds).</w:t>
      </w:r>
    </w:p>
    <w:p>
      <w:pPr>
        <w:spacing w:after="120"/>
      </w:pPr>
      <w:r>
        <w:t xml:space="preserve">Because the team's Java implementations and the final real dataset (owned by Samuella and Patience) were not yet available at the time of this report, all experiments were run on a Python benchmarking harness built to mirror the team's structures exactly (same operations, same Big-O characteristics), against a synthetic dataset generated from the real Legon building list and the project's CSV schema (locations.csv, roads.csv, service_requests.csv, resources.csv). Each experiment was run at least twice per data point and the median timing was recorded, per the team's performance-testing guidance.</w:t>
      </w:r>
    </w:p>
    <w:p>
      <w:pPr>
        <w:spacing w:after="120"/>
      </w:pPr>
      <w:r>
        <w:t xml:space="preserve">This is a benchmarking placeholder to validate expected complexity trends early. Once the team's Java modules and real dataset are integrated (Week 3-4), these experiments should be re-run against the actual implementation for the final report.</w:t>
      </w:r>
    </w:p>
    <w:p>
      <w:pPr>
        <w:pStyle w:val="Heading1"/>
        <w:spacing w:after="120" w:before="240"/>
      </w:pPr>
      <w:r>
        <w:t xml:space="preserve">2. Experiment 1 — Linear Search vs Binary Search</w:t>
      </w:r>
    </w:p>
    <w:p>
      <w:pPr>
        <w:spacing w:after="120"/>
      </w:pPr>
      <w:r>
        <w:t xml:space="preserve">Scenario: Locating a service request by request_id (Lilian's search algorithms), used whenever a team member or the audit log needs to pull up a specific request.</w:t>
      </w:r>
    </w:p>
    <w:p>
      <w:pPr>
        <w:spacing w:after="120"/>
      </w:pPr>
      <w:r>
        <w:t xml:space="preserve">Method: Searched for 200 random request IDs at each dataset size, sorted by ID for binary search, and recorded median time per search.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EBF7" w:val="clear"/>
          </w:tcPr>
          <w:p>
            <w:r>
              <w:rPr>
                <w:b/>
                <w:bCs/>
              </w:rPr>
              <w:t xml:space="preserve">n (requests)</w:t>
            </w:r>
          </w:p>
        </w:tc>
        <w:tc>
          <w:tcPr>
            <w:tcW w:type="dxa" w:w="3000"/>
            <w:shd w:fill="DDEBF7" w:val="clear"/>
          </w:tcPr>
          <w:p>
            <w:r>
              <w:rPr>
                <w:b/>
                <w:bCs/>
              </w:rPr>
              <w:t xml:space="preserve">Linear (µs/search)</w:t>
            </w:r>
          </w:p>
        </w:tc>
        <w:tc>
          <w:tcPr>
            <w:tcW w:type="dxa" w:w="3000"/>
            <w:shd w:fill="DDEBF7" w:val="clear"/>
          </w:tcPr>
          <w:p>
            <w:r>
              <w:rPr>
                <w:b/>
                <w:bCs/>
              </w:rPr>
              <w:t xml:space="preserve">Binary (µs/search)</w:t>
            </w:r>
          </w:p>
        </w:tc>
      </w:tr>
      <w:tr>
        <w:tc>
          <w:tcPr>
            <w:tcW w:type="dxa" w:w="3000"/>
          </w:tcPr>
          <w:p>
            <w:r>
              <w:rPr>
                <w:b w:val="false"/>
                <w:bCs w:val="false"/>
              </w:rPr>
              <w:t xml:space="preserve">100</w:t>
            </w:r>
          </w:p>
        </w:tc>
        <w:tc>
          <w:tcPr>
            <w:tcW w:type="dxa" w:w="3000"/>
          </w:tcPr>
          <w:p>
            <w:r>
              <w:rPr>
                <w:b w:val="false"/>
                <w:bCs w:val="false"/>
              </w:rPr>
              <w:t xml:space="preserve">1.50</w:t>
            </w:r>
          </w:p>
        </w:tc>
        <w:tc>
          <w:tcPr>
            <w:tcW w:type="dxa" w:w="3000"/>
          </w:tcPr>
          <w:p>
            <w:r>
              <w:rPr>
                <w:b w:val="false"/>
                <w:bCs w:val="false"/>
              </w:rPr>
              <w:t xml:space="preserve">0.59</w:t>
            </w:r>
          </w:p>
        </w:tc>
      </w:tr>
      <w:tr>
        <w:tc>
          <w:tcPr>
            <w:tcW w:type="dxa" w:w="3000"/>
          </w:tcPr>
          <w:p>
            <w:r>
              <w:rPr>
                <w:b w:val="false"/>
                <w:bCs w:val="false"/>
              </w:rPr>
              <w:t xml:space="preserve">500</w:t>
            </w:r>
          </w:p>
        </w:tc>
        <w:tc>
          <w:tcPr>
            <w:tcW w:type="dxa" w:w="3000"/>
          </w:tcPr>
          <w:p>
            <w:r>
              <w:rPr>
                <w:b w:val="false"/>
                <w:bCs w:val="false"/>
              </w:rPr>
              <w:t xml:space="preserve">8.25</w:t>
            </w:r>
          </w:p>
        </w:tc>
        <w:tc>
          <w:tcPr>
            <w:tcW w:type="dxa" w:w="3000"/>
          </w:tcPr>
          <w:p>
            <w:r>
              <w:rPr>
                <w:b w:val="false"/>
                <w:bCs w:val="false"/>
              </w:rPr>
              <w:t xml:space="preserve">1.05</w:t>
            </w:r>
          </w:p>
        </w:tc>
      </w:tr>
      <w:tr>
        <w:tc>
          <w:tcPr>
            <w:tcW w:type="dxa" w:w="3000"/>
          </w:tcPr>
          <w:p>
            <w:r>
              <w:rPr>
                <w:b w:val="false"/>
                <w:bCs w:val="false"/>
              </w:rPr>
              <w:t xml:space="preserve">1000</w:t>
            </w:r>
          </w:p>
        </w:tc>
        <w:tc>
          <w:tcPr>
            <w:tcW w:type="dxa" w:w="3000"/>
          </w:tcPr>
          <w:p>
            <w:r>
              <w:rPr>
                <w:b w:val="false"/>
                <w:bCs w:val="false"/>
              </w:rPr>
              <w:t xml:space="preserve">15.83</w:t>
            </w:r>
          </w:p>
        </w:tc>
        <w:tc>
          <w:tcPr>
            <w:tcW w:type="dxa" w:w="3000"/>
          </w:tcPr>
          <w:p>
            <w:r>
              <w:rPr>
                <w:b w:val="false"/>
                <w:bCs w:val="false"/>
              </w:rPr>
              <w:t xml:space="preserve">1.29</w:t>
            </w:r>
          </w:p>
        </w:tc>
      </w:tr>
      <w:tr>
        <w:tc>
          <w:tcPr>
            <w:tcW w:type="dxa" w:w="3000"/>
          </w:tcPr>
          <w:p>
            <w:r>
              <w:rPr>
                <w:b w:val="false"/>
                <w:bCs w:val="false"/>
              </w:rPr>
              <w:t xml:space="preserve">5000</w:t>
            </w:r>
          </w:p>
        </w:tc>
        <w:tc>
          <w:tcPr>
            <w:tcW w:type="dxa" w:w="3000"/>
          </w:tcPr>
          <w:p>
            <w:r>
              <w:rPr>
                <w:b w:val="false"/>
                <w:bCs w:val="false"/>
              </w:rPr>
              <w:t xml:space="preserve">66.25</w:t>
            </w:r>
          </w:p>
        </w:tc>
        <w:tc>
          <w:tcPr>
            <w:tcW w:type="dxa" w:w="3000"/>
          </w:tcPr>
          <w:p>
            <w:r>
              <w:rPr>
                <w:b w:val="false"/>
                <w:bCs w:val="false"/>
              </w:rPr>
              <w:t xml:space="preserve">1.78</w:t>
            </w:r>
          </w:p>
        </w:tc>
      </w:tr>
      <w:tr>
        <w:tc>
          <w:tcPr>
            <w:tcW w:type="dxa" w:w="3000"/>
          </w:tcPr>
          <w:p>
            <w:r>
              <w:rPr>
                <w:b w:val="false"/>
                <w:bCs w:val="false"/>
              </w:rPr>
              <w:t xml:space="preserve">10000</w:t>
            </w:r>
          </w:p>
        </w:tc>
        <w:tc>
          <w:tcPr>
            <w:tcW w:type="dxa" w:w="3000"/>
          </w:tcPr>
          <w:p>
            <w:r>
              <w:rPr>
                <w:b w:val="false"/>
                <w:bCs w:val="false"/>
              </w:rPr>
              <w:t xml:space="preserve">149.53</w:t>
            </w:r>
          </w:p>
        </w:tc>
        <w:tc>
          <w:tcPr>
            <w:tcW w:type="dxa" w:w="3000"/>
          </w:tcPr>
          <w:p>
            <w:r>
              <w:rPr>
                <w:b w:val="false"/>
                <w:bCs w:val="false"/>
              </w:rPr>
              <w:t xml:space="preserve">2.12</w:t>
            </w:r>
          </w:p>
        </w:tc>
      </w:tr>
      <w:tr>
        <w:tc>
          <w:tcPr>
            <w:tcW w:type="dxa" w:w="3000"/>
          </w:tcPr>
          <w:p>
            <w:r>
              <w:rPr>
                <w:b w:val="false"/>
                <w:bCs w:val="false"/>
              </w:rPr>
              <w:t xml:space="preserve">50000</w:t>
            </w:r>
          </w:p>
        </w:tc>
        <w:tc>
          <w:tcPr>
            <w:tcW w:type="dxa" w:w="3000"/>
          </w:tcPr>
          <w:p>
            <w:r>
              <w:rPr>
                <w:b w:val="false"/>
                <w:bCs w:val="false"/>
              </w:rPr>
              <w:t xml:space="preserve">757.89</w:t>
            </w:r>
          </w:p>
        </w:tc>
        <w:tc>
          <w:tcPr>
            <w:tcW w:type="dxa" w:w="3000"/>
          </w:tcPr>
          <w:p>
            <w:r>
              <w:rPr>
                <w:b w:val="false"/>
                <w:bCs w:val="false"/>
              </w:rPr>
              <w:t xml:space="preserve">3.12</w:t>
            </w:r>
          </w:p>
        </w:tc>
      </w:tr>
      <w:tr>
        <w:tc>
          <w:tcPr>
            <w:tcW w:type="dxa" w:w="3000"/>
          </w:tcPr>
          <w:p>
            <w:r>
              <w:rPr>
                <w:b w:val="false"/>
                <w:bCs w:val="false"/>
              </w:rPr>
              <w:t xml:space="preserve">100000</w:t>
            </w:r>
          </w:p>
        </w:tc>
        <w:tc>
          <w:tcPr>
            <w:tcW w:type="dxa" w:w="3000"/>
          </w:tcPr>
          <w:p>
            <w:r>
              <w:rPr>
                <w:b w:val="false"/>
                <w:bCs w:val="false"/>
              </w:rPr>
              <w:t xml:space="preserve">1691.50</w:t>
            </w:r>
          </w:p>
        </w:tc>
        <w:tc>
          <w:tcPr>
            <w:tcW w:type="dxa" w:w="3000"/>
          </w:tcPr>
          <w:p>
            <w:r>
              <w:rPr>
                <w:b w:val="false"/>
                <w:bCs w:val="false"/>
              </w:rPr>
              <w:t xml:space="preserve">3.24</w:t>
            </w:r>
          </w:p>
        </w:tc>
      </w:tr>
    </w:tbl>
    <w:p>
      <w:pPr>
        <w:spacing w:after="120"/>
      </w:pPr>
    </w:p>
    <w:p>
      <w:pPr>
        <w:spacing w:after="120"/>
      </w:pPr>
      <w:r>
        <w:drawing>
          <wp:inline distT="0" distB="0" distL="0" distR="0">
            <wp:extent cx="5238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714750"/>
                    </a:xfrm>
                    <a:prstGeom prst="rect">
                      <a:avLst/>
                    </a:prstGeom>
                  </pic:spPr>
                </pic:pic>
              </a:graphicData>
            </a:graphic>
          </wp:inline>
        </w:drawing>
      </w:r>
    </w:p>
    <w:p>
      <w:pPr>
        <w:spacing w:after="120"/>
      </w:pPr>
      <w:r>
        <w:t xml:space="preserve">Analysis: Linear search time grows proportionally with n (O(n)) — at 100,000 requests it takes about 1,690 microseconds per search. Binary search stays almost flat (O(log n)) — only about 3.2 microseconds at the same size, roughly 520x faster at scale. This confirms the expected complexity difference; the trade-off is that binary search requires the request list to stay sorted by ID, which has its own maintenance cost the team should account for when requests are inserted continuously.</w:t>
      </w:r>
    </w:p>
    <w:p>
      <w:pPr>
        <w:pStyle w:val="Heading1"/>
        <w:spacing w:after="120" w:before="240"/>
      </w:pPr>
      <w:r>
        <w:t xml:space="preserve">3. Experiment 2 — Sorting Algorithm Comparison</w:t>
      </w:r>
    </w:p>
    <w:p>
      <w:pPr>
        <w:spacing w:after="120"/>
      </w:pPr>
      <w:r>
        <w:t xml:space="preserve">Scenario: Ordering service requests by deadline before dispatch, comparing all four sorting algorithms the team implemented (Lilian: Selection, Insertion, Merge, Quicksort).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2200"/>
      </w:tblGrid>
      <w:tr>
        <w:tc>
          <w:tcPr>
            <w:tcW w:type="dxa" w:w="2200"/>
            <w:shd w:fill="DDEBF7" w:val="clear"/>
          </w:tcPr>
          <w:p>
            <w:r>
              <w:rPr>
                <w:b/>
                <w:bCs/>
              </w:rPr>
              <w:t xml:space="preserve">n (requests)</w:t>
            </w:r>
          </w:p>
        </w:tc>
        <w:tc>
          <w:tcPr>
            <w:tcW w:type="dxa" w:w="2200"/>
            <w:shd w:fill="DDEBF7" w:val="clear"/>
          </w:tcPr>
          <w:p>
            <w:r>
              <w:rPr>
                <w:b/>
                <w:bCs/>
              </w:rPr>
              <w:t xml:space="preserve">Selection (ms)</w:t>
            </w:r>
          </w:p>
        </w:tc>
        <w:tc>
          <w:tcPr>
            <w:tcW w:type="dxa" w:w="2200"/>
            <w:shd w:fill="DDEBF7" w:val="clear"/>
          </w:tcPr>
          <w:p>
            <w:r>
              <w:rPr>
                <w:b/>
                <w:bCs/>
              </w:rPr>
              <w:t xml:space="preserve">Insertion (ms)</w:t>
            </w:r>
          </w:p>
        </w:tc>
        <w:tc>
          <w:tcPr>
            <w:tcW w:type="dxa" w:w="2200"/>
            <w:shd w:fill="DDEBF7" w:val="clear"/>
          </w:tcPr>
          <w:p>
            <w:r>
              <w:rPr>
                <w:b/>
                <w:bCs/>
              </w:rPr>
              <w:t xml:space="preserve">Merge (ms)</w:t>
            </w:r>
          </w:p>
        </w:tc>
        <w:tc>
          <w:tcPr>
            <w:tcW w:type="dxa" w:w="2200"/>
            <w:shd w:fill="DDEBF7" w:val="clear"/>
          </w:tcPr>
          <w:p>
            <w:r>
              <w:rPr>
                <w:b/>
                <w:bCs/>
              </w:rPr>
              <w:t xml:space="preserve">Quicksort (ms)</w:t>
            </w:r>
          </w:p>
        </w:tc>
      </w:tr>
      <w:tr>
        <w:tc>
          <w:tcPr>
            <w:tcW w:type="dxa" w:w="2200"/>
          </w:tcPr>
          <w:p>
            <w:r>
              <w:rPr>
                <w:b w:val="false"/>
                <w:bCs w:val="false"/>
              </w:rPr>
              <w:t xml:space="preserve">100</w:t>
            </w:r>
          </w:p>
        </w:tc>
        <w:tc>
          <w:tcPr>
            <w:tcW w:type="dxa" w:w="2200"/>
          </w:tcPr>
          <w:p>
            <w:r>
              <w:rPr>
                <w:b w:val="false"/>
                <w:bCs w:val="false"/>
              </w:rPr>
              <w:t xml:space="preserve">0.68</w:t>
            </w:r>
          </w:p>
        </w:tc>
        <w:tc>
          <w:tcPr>
            <w:tcW w:type="dxa" w:w="2200"/>
          </w:tcPr>
          <w:p>
            <w:r>
              <w:rPr>
                <w:b w:val="false"/>
                <w:bCs w:val="false"/>
              </w:rPr>
              <w:t xml:space="preserve">0.36</w:t>
            </w:r>
          </w:p>
        </w:tc>
        <w:tc>
          <w:tcPr>
            <w:tcW w:type="dxa" w:w="2200"/>
          </w:tcPr>
          <w:p>
            <w:r>
              <w:rPr>
                <w:b w:val="false"/>
                <w:bCs w:val="false"/>
              </w:rPr>
              <w:t xml:space="preserve">0.20</w:t>
            </w:r>
          </w:p>
        </w:tc>
        <w:tc>
          <w:tcPr>
            <w:tcW w:type="dxa" w:w="2200"/>
          </w:tcPr>
          <w:p>
            <w:r>
              <w:rPr>
                <w:b w:val="false"/>
                <w:bCs w:val="false"/>
              </w:rPr>
              <w:t xml:space="preserve">0.21</w:t>
            </w:r>
          </w:p>
        </w:tc>
      </w:tr>
      <w:tr>
        <w:tc>
          <w:tcPr>
            <w:tcW w:type="dxa" w:w="2200"/>
          </w:tcPr>
          <w:p>
            <w:r>
              <w:rPr>
                <w:b w:val="false"/>
                <w:bCs w:val="false"/>
              </w:rPr>
              <w:t xml:space="preserve">500</w:t>
            </w:r>
          </w:p>
        </w:tc>
        <w:tc>
          <w:tcPr>
            <w:tcW w:type="dxa" w:w="2200"/>
          </w:tcPr>
          <w:p>
            <w:r>
              <w:rPr>
                <w:b w:val="false"/>
                <w:bCs w:val="false"/>
              </w:rPr>
              <w:t xml:space="preserve">17.83</w:t>
            </w:r>
          </w:p>
        </w:tc>
        <w:tc>
          <w:tcPr>
            <w:tcW w:type="dxa" w:w="2200"/>
          </w:tcPr>
          <w:p>
            <w:r>
              <w:rPr>
                <w:b w:val="false"/>
                <w:bCs w:val="false"/>
              </w:rPr>
              <w:t xml:space="preserve">9.98</w:t>
            </w:r>
          </w:p>
        </w:tc>
        <w:tc>
          <w:tcPr>
            <w:tcW w:type="dxa" w:w="2200"/>
          </w:tcPr>
          <w:p>
            <w:r>
              <w:rPr>
                <w:b w:val="false"/>
                <w:bCs w:val="false"/>
              </w:rPr>
              <w:t xml:space="preserve">1.25</w:t>
            </w:r>
          </w:p>
        </w:tc>
        <w:tc>
          <w:tcPr>
            <w:tcW w:type="dxa" w:w="2200"/>
          </w:tcPr>
          <w:p>
            <w:r>
              <w:rPr>
                <w:b w:val="false"/>
                <w:bCs w:val="false"/>
              </w:rPr>
              <w:t xml:space="preserve">1.18</w:t>
            </w:r>
          </w:p>
        </w:tc>
      </w:tr>
      <w:tr>
        <w:tc>
          <w:tcPr>
            <w:tcW w:type="dxa" w:w="2200"/>
          </w:tcPr>
          <w:p>
            <w:r>
              <w:rPr>
                <w:b w:val="false"/>
                <w:bCs w:val="false"/>
              </w:rPr>
              <w:t xml:space="preserve">1000</w:t>
            </w:r>
          </w:p>
        </w:tc>
        <w:tc>
          <w:tcPr>
            <w:tcW w:type="dxa" w:w="2200"/>
          </w:tcPr>
          <w:p>
            <w:r>
              <w:rPr>
                <w:b w:val="false"/>
                <w:bCs w:val="false"/>
              </w:rPr>
              <w:t xml:space="preserve">73.45</w:t>
            </w:r>
          </w:p>
        </w:tc>
        <w:tc>
          <w:tcPr>
            <w:tcW w:type="dxa" w:w="2200"/>
          </w:tcPr>
          <w:p>
            <w:r>
              <w:rPr>
                <w:b w:val="false"/>
                <w:bCs w:val="false"/>
              </w:rPr>
              <w:t xml:space="preserve">43.73</w:t>
            </w:r>
          </w:p>
        </w:tc>
        <w:tc>
          <w:tcPr>
            <w:tcW w:type="dxa" w:w="2200"/>
          </w:tcPr>
          <w:p>
            <w:r>
              <w:rPr>
                <w:b w:val="false"/>
                <w:bCs w:val="false"/>
              </w:rPr>
              <w:t xml:space="preserve">2.78</w:t>
            </w:r>
          </w:p>
        </w:tc>
        <w:tc>
          <w:tcPr>
            <w:tcW w:type="dxa" w:w="2200"/>
          </w:tcPr>
          <w:p>
            <w:r>
              <w:rPr>
                <w:b w:val="false"/>
                <w:bCs w:val="false"/>
              </w:rPr>
              <w:t xml:space="preserve">3.55</w:t>
            </w:r>
          </w:p>
        </w:tc>
      </w:tr>
      <w:tr>
        <w:tc>
          <w:tcPr>
            <w:tcW w:type="dxa" w:w="2200"/>
          </w:tcPr>
          <w:p>
            <w:r>
              <w:rPr>
                <w:b w:val="false"/>
                <w:bCs w:val="false"/>
              </w:rPr>
              <w:t xml:space="preserve">2000</w:t>
            </w:r>
          </w:p>
        </w:tc>
        <w:tc>
          <w:tcPr>
            <w:tcW w:type="dxa" w:w="2200"/>
          </w:tcPr>
          <w:p>
            <w:r>
              <w:rPr>
                <w:b w:val="false"/>
                <w:bCs w:val="false"/>
              </w:rPr>
              <w:t xml:space="preserve">318.62</w:t>
            </w:r>
          </w:p>
        </w:tc>
        <w:tc>
          <w:tcPr>
            <w:tcW w:type="dxa" w:w="2200"/>
          </w:tcPr>
          <w:p>
            <w:r>
              <w:rPr>
                <w:b w:val="false"/>
                <w:bCs w:val="false"/>
              </w:rPr>
              <w:t xml:space="preserve">185.49</w:t>
            </w:r>
          </w:p>
        </w:tc>
        <w:tc>
          <w:tcPr>
            <w:tcW w:type="dxa" w:w="2200"/>
          </w:tcPr>
          <w:p>
            <w:r>
              <w:rPr>
                <w:b w:val="false"/>
                <w:bCs w:val="false"/>
              </w:rPr>
              <w:t xml:space="preserve">6.22</w:t>
            </w:r>
          </w:p>
        </w:tc>
        <w:tc>
          <w:tcPr>
            <w:tcW w:type="dxa" w:w="2200"/>
          </w:tcPr>
          <w:p>
            <w:r>
              <w:rPr>
                <w:b w:val="false"/>
                <w:bCs w:val="false"/>
              </w:rPr>
              <w:t xml:space="preserve">12.46</w:t>
            </w:r>
          </w:p>
        </w:tc>
      </w:tr>
      <w:tr>
        <w:tc>
          <w:tcPr>
            <w:tcW w:type="dxa" w:w="2200"/>
          </w:tcPr>
          <w:p>
            <w:r>
              <w:rPr>
                <w:b w:val="false"/>
                <w:bCs w:val="false"/>
              </w:rPr>
              <w:t xml:space="preserve">4000</w:t>
            </w:r>
          </w:p>
        </w:tc>
        <w:tc>
          <w:tcPr>
            <w:tcW w:type="dxa" w:w="2200"/>
          </w:tcPr>
          <w:p>
            <w:r>
              <w:rPr>
                <w:b w:val="false"/>
                <w:bCs w:val="false"/>
              </w:rPr>
              <w:t xml:space="preserve">1380.63</w:t>
            </w:r>
          </w:p>
        </w:tc>
        <w:tc>
          <w:tcPr>
            <w:tcW w:type="dxa" w:w="2200"/>
          </w:tcPr>
          <w:p>
            <w:r>
              <w:rPr>
                <w:b w:val="false"/>
                <w:bCs w:val="false"/>
              </w:rPr>
              <w:t xml:space="preserve">786.25</w:t>
            </w:r>
          </w:p>
        </w:tc>
        <w:tc>
          <w:tcPr>
            <w:tcW w:type="dxa" w:w="2200"/>
          </w:tcPr>
          <w:p>
            <w:r>
              <w:rPr>
                <w:b w:val="false"/>
                <w:bCs w:val="false"/>
              </w:rPr>
              <w:t xml:space="preserve">13.60</w:t>
            </w:r>
          </w:p>
        </w:tc>
        <w:tc>
          <w:tcPr>
            <w:tcW w:type="dxa" w:w="2200"/>
          </w:tcPr>
          <w:p>
            <w:r>
              <w:rPr>
                <w:b w:val="false"/>
                <w:bCs w:val="false"/>
              </w:rPr>
              <w:t xml:space="preserve">60.86</w:t>
            </w:r>
          </w:p>
        </w:tc>
      </w:tr>
    </w:tbl>
    <w:p>
      <w:pPr>
        <w:spacing w:after="120"/>
      </w:pPr>
    </w:p>
    <w:p>
      <w:pPr>
        <w:spacing w:after="120"/>
      </w:pPr>
      <w:r>
        <w:drawing>
          <wp:inline distT="0" distB="0" distL="0" distR="0">
            <wp:extent cx="5238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714750"/>
                    </a:xfrm>
                    <a:prstGeom prst="rect">
                      <a:avLst/>
                    </a:prstGeom>
                  </pic:spPr>
                </pic:pic>
              </a:graphicData>
            </a:graphic>
          </wp:inline>
        </w:drawing>
      </w:r>
    </w:p>
    <w:p>
      <w:pPr>
        <w:spacing w:after="120"/>
      </w:pPr>
      <w:r>
        <w:t xml:space="preserve">Analysis: Selection and Insertion Sort show clear O(n²) curves — Selection Sort takes 1,380 ms at n=4,000, about 100x slower than at n=500 despite only an 8x increase in n, confirming quadratic growth. Merge Sort and Quicksort both show O(n log n) growth and stay under 61 ms even at n=4,000. Since the team's real dataset is only ~320-500 requests, Insertion Sort's simplicity is acceptable at that scale, but Merge Sort or Quicksort should be used if the request queue is expected to grow past a few thousand entries (e.g., across a full semester).</w:t>
      </w:r>
    </w:p>
    <w:p>
      <w:pPr>
        <w:pStyle w:val="Heading1"/>
        <w:spacing w:after="120" w:before="240"/>
      </w:pPr>
      <w:r>
        <w:t xml:space="preserve">4. Experiment 3 — Hash Table Load Factor Analysis</w:t>
      </w:r>
    </w:p>
    <w:p>
      <w:pPr>
        <w:spacing w:after="120"/>
      </w:pPr>
      <w:r>
        <w:t xml:space="preserve">Scenario: Michael's Hash Table is used for instant lookup of requests/resources by ID. This experiment measures how lookup speed degrades as the table fills up (load factor = number of keys / table capacity), using separate chaining for collision handling.</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DEBF7" w:val="clear"/>
          </w:tcPr>
          <w:p>
            <w:r>
              <w:rPr>
                <w:b/>
                <w:bCs/>
              </w:rPr>
              <w:t xml:space="preserve">Load factor</w:t>
            </w:r>
          </w:p>
        </w:tc>
        <w:tc>
          <w:tcPr>
            <w:tcW w:type="dxa" w:w="3000"/>
            <w:shd w:fill="DDEBF7" w:val="clear"/>
          </w:tcPr>
          <w:p>
            <w:r>
              <w:rPr>
                <w:b/>
                <w:bCs/>
              </w:rPr>
              <w:t xml:space="preserve">Avg get() time (µs)</w:t>
            </w:r>
          </w:p>
        </w:tc>
      </w:tr>
      <w:tr>
        <w:tc>
          <w:tcPr>
            <w:tcW w:type="dxa" w:w="3000"/>
          </w:tcPr>
          <w:p>
            <w:r>
              <w:rPr>
                <w:b w:val="false"/>
                <w:bCs w:val="false"/>
              </w:rPr>
              <w:t xml:space="preserve">0.5</w:t>
            </w:r>
          </w:p>
        </w:tc>
        <w:tc>
          <w:tcPr>
            <w:tcW w:type="dxa" w:w="3000"/>
          </w:tcPr>
          <w:p>
            <w:r>
              <w:rPr>
                <w:b w:val="false"/>
                <w:bCs w:val="false"/>
              </w:rPr>
              <w:t xml:space="preserve">0.251</w:t>
            </w:r>
          </w:p>
        </w:tc>
      </w:tr>
      <w:tr>
        <w:tc>
          <w:tcPr>
            <w:tcW w:type="dxa" w:w="3000"/>
          </w:tcPr>
          <w:p>
            <w:r>
              <w:rPr>
                <w:b w:val="false"/>
                <w:bCs w:val="false"/>
              </w:rPr>
              <w:t xml:space="preserve">1.0</w:t>
            </w:r>
          </w:p>
        </w:tc>
        <w:tc>
          <w:tcPr>
            <w:tcW w:type="dxa" w:w="3000"/>
          </w:tcPr>
          <w:p>
            <w:r>
              <w:rPr>
                <w:b w:val="false"/>
                <w:bCs w:val="false"/>
              </w:rPr>
              <w:t xml:space="preserve">0.239</w:t>
            </w:r>
          </w:p>
        </w:tc>
      </w:tr>
      <w:tr>
        <w:tc>
          <w:tcPr>
            <w:tcW w:type="dxa" w:w="3000"/>
          </w:tcPr>
          <w:p>
            <w:r>
              <w:rPr>
                <w:b w:val="false"/>
                <w:bCs w:val="false"/>
              </w:rPr>
              <w:t xml:space="preserve">2.0</w:t>
            </w:r>
          </w:p>
        </w:tc>
        <w:tc>
          <w:tcPr>
            <w:tcW w:type="dxa" w:w="3000"/>
          </w:tcPr>
          <w:p>
            <w:r>
              <w:rPr>
                <w:b w:val="false"/>
                <w:bCs w:val="false"/>
              </w:rPr>
              <w:t xml:space="preserve">0.276</w:t>
            </w:r>
          </w:p>
        </w:tc>
      </w:tr>
      <w:tr>
        <w:tc>
          <w:tcPr>
            <w:tcW w:type="dxa" w:w="3000"/>
          </w:tcPr>
          <w:p>
            <w:r>
              <w:rPr>
                <w:b w:val="false"/>
                <w:bCs w:val="false"/>
              </w:rPr>
              <w:t xml:space="preserve">4.0</w:t>
            </w:r>
          </w:p>
        </w:tc>
        <w:tc>
          <w:tcPr>
            <w:tcW w:type="dxa" w:w="3000"/>
          </w:tcPr>
          <w:p>
            <w:r>
              <w:rPr>
                <w:b w:val="false"/>
                <w:bCs w:val="false"/>
              </w:rPr>
              <w:t xml:space="preserve">0.294</w:t>
            </w:r>
          </w:p>
        </w:tc>
      </w:tr>
      <w:tr>
        <w:tc>
          <w:tcPr>
            <w:tcW w:type="dxa" w:w="3000"/>
          </w:tcPr>
          <w:p>
            <w:r>
              <w:rPr>
                <w:b w:val="false"/>
                <w:bCs w:val="false"/>
              </w:rPr>
              <w:t xml:space="preserve">6.0</w:t>
            </w:r>
          </w:p>
        </w:tc>
        <w:tc>
          <w:tcPr>
            <w:tcW w:type="dxa" w:w="3000"/>
          </w:tcPr>
          <w:p>
            <w:r>
              <w:rPr>
                <w:b w:val="false"/>
                <w:bCs w:val="false"/>
              </w:rPr>
              <w:t xml:space="preserve">0.335</w:t>
            </w:r>
          </w:p>
        </w:tc>
      </w:tr>
      <w:tr>
        <w:tc>
          <w:tcPr>
            <w:tcW w:type="dxa" w:w="3000"/>
          </w:tcPr>
          <w:p>
            <w:r>
              <w:rPr>
                <w:b w:val="false"/>
                <w:bCs w:val="false"/>
              </w:rPr>
              <w:t xml:space="preserve">8.0</w:t>
            </w:r>
          </w:p>
        </w:tc>
        <w:tc>
          <w:tcPr>
            <w:tcW w:type="dxa" w:w="3000"/>
          </w:tcPr>
          <w:p>
            <w:r>
              <w:rPr>
                <w:b w:val="false"/>
                <w:bCs w:val="false"/>
              </w:rPr>
              <w:t xml:space="preserve">0.353</w:t>
            </w:r>
          </w:p>
        </w:tc>
      </w:tr>
      <w:tr>
        <w:tc>
          <w:tcPr>
            <w:tcW w:type="dxa" w:w="3000"/>
          </w:tcPr>
          <w:p>
            <w:r>
              <w:rPr>
                <w:b w:val="false"/>
                <w:bCs w:val="false"/>
              </w:rPr>
              <w:t xml:space="preserve">12.0</w:t>
            </w:r>
          </w:p>
        </w:tc>
        <w:tc>
          <w:tcPr>
            <w:tcW w:type="dxa" w:w="3000"/>
          </w:tcPr>
          <w:p>
            <w:r>
              <w:rPr>
                <w:b w:val="false"/>
                <w:bCs w:val="false"/>
              </w:rPr>
              <w:t xml:space="preserve">0.420</w:t>
            </w:r>
          </w:p>
        </w:tc>
      </w:tr>
    </w:tbl>
    <w:p>
      <w:pPr>
        <w:spacing w:after="120"/>
      </w:pPr>
    </w:p>
    <w:p>
      <w:pPr>
        <w:spacing w:after="120"/>
      </w:pPr>
      <w:r>
        <w:drawing>
          <wp:inline distT="0" distB="0" distL="0" distR="0">
            <wp:extent cx="5238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714750"/>
                    </a:xfrm>
                    <a:prstGeom prst="rect">
                      <a:avLst/>
                    </a:prstGeom>
                  </pic:spPr>
                </pic:pic>
              </a:graphicData>
            </a:graphic>
          </wp:inline>
        </w:drawing>
      </w:r>
    </w:p>
    <w:p>
      <w:pPr>
        <w:spacing w:after="120"/>
      </w:pPr>
      <w:r>
        <w:t xml:space="preserve">Analysis: Lookup time increases roughly linearly with load factor once it passes 1.0, growing from about 0.24 microseconds at load factor 1.0 to 0.42 microseconds at load factor 12 — a ~75% slowdown as the table gets nearly 12x over-full. This matches chaining theory (average chain length ≈ load factor). Recommendation for Michael's implementation: resize (rehash) the table once load factor exceeds roughly 0.75-1.0 to keep lookups close to O(1), rather than letting it grow unbounded.</w:t>
      </w:r>
    </w:p>
    <w:p>
      <w:pPr>
        <w:pStyle w:val="Heading1"/>
        <w:spacing w:after="120" w:before="240"/>
      </w:pPr>
      <w:r>
        <w:t xml:space="preserve">5. Experiment 4 — Binary Search Tree vs Red-Black Tree</w:t>
      </w:r>
    </w:p>
    <w:p>
      <w:pPr>
        <w:spacing w:after="120"/>
      </w:pPr>
      <w:r>
        <w:t xml:space="preserve">Scenario: Comparing Benjamin's plain BST and Red-Black Tree for indexing locations, under the worst case for a plain BST: inserting keys already in sorted order (e.g., loading locations.csv in location_id order).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00"/>
      </w:tblGrid>
      <w:tr>
        <w:tc>
          <w:tcPr>
            <w:tcW w:type="dxa" w:w="3000"/>
            <w:shd w:fill="DDEBF7" w:val="clear"/>
          </w:tcPr>
          <w:p>
            <w:r>
              <w:rPr>
                <w:b/>
                <w:bCs/>
              </w:rPr>
              <w:t xml:space="preserve">n (locations indexed)</w:t>
            </w:r>
          </w:p>
        </w:tc>
        <w:tc>
          <w:tcPr>
            <w:tcW w:type="dxa" w:w="3300"/>
            <w:shd w:fill="DDEBF7" w:val="clear"/>
          </w:tcPr>
          <w:p>
            <w:r>
              <w:rPr>
                <w:b/>
                <w:bCs/>
              </w:rPr>
              <w:t xml:space="preserve">Plain BST (µs/search)</w:t>
            </w:r>
          </w:p>
        </w:tc>
        <w:tc>
          <w:tcPr>
            <w:tcW w:type="dxa" w:w="3300"/>
            <w:shd w:fill="DDEBF7" w:val="clear"/>
          </w:tcPr>
          <w:p>
            <w:r>
              <w:rPr>
                <w:b/>
                <w:bCs/>
              </w:rPr>
              <w:t xml:space="preserve">Red-Black Tree (µs/search)</w:t>
            </w:r>
          </w:p>
        </w:tc>
      </w:tr>
      <w:tr>
        <w:tc>
          <w:tcPr>
            <w:tcW w:type="dxa" w:w="3000"/>
          </w:tcPr>
          <w:p>
            <w:r>
              <w:rPr>
                <w:b w:val="false"/>
                <w:bCs w:val="false"/>
              </w:rPr>
              <w:t xml:space="preserve">100</w:t>
            </w:r>
          </w:p>
        </w:tc>
        <w:tc>
          <w:tcPr>
            <w:tcW w:type="dxa" w:w="3300"/>
          </w:tcPr>
          <w:p>
            <w:r>
              <w:rPr>
                <w:b w:val="false"/>
                <w:bCs w:val="false"/>
              </w:rPr>
              <w:t xml:space="preserve">2.09</w:t>
            </w:r>
          </w:p>
        </w:tc>
        <w:tc>
          <w:tcPr>
            <w:tcW w:type="dxa" w:w="3300"/>
          </w:tcPr>
          <w:p>
            <w:r>
              <w:rPr>
                <w:b w:val="false"/>
                <w:bCs w:val="false"/>
              </w:rPr>
              <w:t xml:space="preserve">0.29</w:t>
            </w:r>
          </w:p>
        </w:tc>
      </w:tr>
      <w:tr>
        <w:tc>
          <w:tcPr>
            <w:tcW w:type="dxa" w:w="3000"/>
          </w:tcPr>
          <w:p>
            <w:r>
              <w:rPr>
                <w:b w:val="false"/>
                <w:bCs w:val="false"/>
              </w:rPr>
              <w:t xml:space="preserve">500</w:t>
            </w:r>
          </w:p>
        </w:tc>
        <w:tc>
          <w:tcPr>
            <w:tcW w:type="dxa" w:w="3300"/>
          </w:tcPr>
          <w:p>
            <w:r>
              <w:rPr>
                <w:b w:val="false"/>
                <w:bCs w:val="false"/>
              </w:rPr>
              <w:t xml:space="preserve">10.39</w:t>
            </w:r>
          </w:p>
        </w:tc>
        <w:tc>
          <w:tcPr>
            <w:tcW w:type="dxa" w:w="3300"/>
          </w:tcPr>
          <w:p>
            <w:r>
              <w:rPr>
                <w:b w:val="false"/>
                <w:bCs w:val="false"/>
              </w:rPr>
              <w:t xml:space="preserve">0.40</w:t>
            </w:r>
          </w:p>
        </w:tc>
      </w:tr>
      <w:tr>
        <w:tc>
          <w:tcPr>
            <w:tcW w:type="dxa" w:w="3000"/>
          </w:tcPr>
          <w:p>
            <w:r>
              <w:rPr>
                <w:b w:val="false"/>
                <w:bCs w:val="false"/>
              </w:rPr>
              <w:t xml:space="preserve">1000</w:t>
            </w:r>
          </w:p>
        </w:tc>
        <w:tc>
          <w:tcPr>
            <w:tcW w:type="dxa" w:w="3300"/>
          </w:tcPr>
          <w:p>
            <w:r>
              <w:rPr>
                <w:b w:val="false"/>
                <w:bCs w:val="false"/>
              </w:rPr>
              <w:t xml:space="preserve">22.02</w:t>
            </w:r>
          </w:p>
        </w:tc>
        <w:tc>
          <w:tcPr>
            <w:tcW w:type="dxa" w:w="3300"/>
          </w:tcPr>
          <w:p>
            <w:r>
              <w:rPr>
                <w:b w:val="false"/>
                <w:bCs w:val="false"/>
              </w:rPr>
              <w:t xml:space="preserve">0.53</w:t>
            </w:r>
          </w:p>
        </w:tc>
      </w:tr>
      <w:tr>
        <w:tc>
          <w:tcPr>
            <w:tcW w:type="dxa" w:w="3000"/>
          </w:tcPr>
          <w:p>
            <w:r>
              <w:rPr>
                <w:b w:val="false"/>
                <w:bCs w:val="false"/>
              </w:rPr>
              <w:t xml:space="preserve">2000</w:t>
            </w:r>
          </w:p>
        </w:tc>
        <w:tc>
          <w:tcPr>
            <w:tcW w:type="dxa" w:w="3300"/>
          </w:tcPr>
          <w:p>
            <w:r>
              <w:rPr>
                <w:b w:val="false"/>
                <w:bCs w:val="false"/>
              </w:rPr>
              <w:t xml:space="preserve">43.41</w:t>
            </w:r>
          </w:p>
        </w:tc>
        <w:tc>
          <w:tcPr>
            <w:tcW w:type="dxa" w:w="3300"/>
          </w:tcPr>
          <w:p>
            <w:r>
              <w:rPr>
                <w:b w:val="false"/>
                <w:bCs w:val="false"/>
              </w:rPr>
              <w:t xml:space="preserve">0.57</w:t>
            </w:r>
          </w:p>
        </w:tc>
      </w:tr>
      <w:tr>
        <w:tc>
          <w:tcPr>
            <w:tcW w:type="dxa" w:w="3000"/>
          </w:tcPr>
          <w:p>
            <w:r>
              <w:rPr>
                <w:b w:val="false"/>
                <w:bCs w:val="false"/>
              </w:rPr>
              <w:t xml:space="preserve">4000</w:t>
            </w:r>
          </w:p>
        </w:tc>
        <w:tc>
          <w:tcPr>
            <w:tcW w:type="dxa" w:w="3300"/>
          </w:tcPr>
          <w:p>
            <w:r>
              <w:rPr>
                <w:b w:val="false"/>
                <w:bCs w:val="false"/>
              </w:rPr>
              <w:t xml:space="preserve">85.48</w:t>
            </w:r>
          </w:p>
        </w:tc>
        <w:tc>
          <w:tcPr>
            <w:tcW w:type="dxa" w:w="3300"/>
          </w:tcPr>
          <w:p>
            <w:r>
              <w:rPr>
                <w:b w:val="false"/>
                <w:bCs w:val="false"/>
              </w:rPr>
              <w:t xml:space="preserve">0.67</w:t>
            </w:r>
          </w:p>
        </w:tc>
      </w:tr>
      <w:tr>
        <w:tc>
          <w:tcPr>
            <w:tcW w:type="dxa" w:w="3000"/>
          </w:tcPr>
          <w:p>
            <w:r>
              <w:rPr>
                <w:b w:val="false"/>
                <w:bCs w:val="false"/>
              </w:rPr>
              <w:t xml:space="preserve">8000</w:t>
            </w:r>
          </w:p>
        </w:tc>
        <w:tc>
          <w:tcPr>
            <w:tcW w:type="dxa" w:w="3300"/>
          </w:tcPr>
          <w:p>
            <w:r>
              <w:rPr>
                <w:b w:val="false"/>
                <w:bCs w:val="false"/>
              </w:rPr>
              <w:t xml:space="preserve">188.05</w:t>
            </w:r>
          </w:p>
        </w:tc>
        <w:tc>
          <w:tcPr>
            <w:tcW w:type="dxa" w:w="3300"/>
          </w:tcPr>
          <w:p>
            <w:r>
              <w:rPr>
                <w:b w:val="false"/>
                <w:bCs w:val="false"/>
              </w:rPr>
              <w:t xml:space="preserve">0.57</w:t>
            </w:r>
          </w:p>
        </w:tc>
      </w:tr>
    </w:tbl>
    <w:p>
      <w:pPr>
        <w:spacing w:after="120"/>
      </w:pPr>
    </w:p>
    <w:p>
      <w:pPr>
        <w:spacing w:after="120"/>
      </w:pPr>
      <w:r>
        <w:drawing>
          <wp:inline distT="0" distB="0" distL="0" distR="0">
            <wp:extent cx="5238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714750"/>
                    </a:xfrm>
                    <a:prstGeom prst="rect">
                      <a:avLst/>
                    </a:prstGeom>
                  </pic:spPr>
                </pic:pic>
              </a:graphicData>
            </a:graphic>
          </wp:inline>
        </w:drawing>
      </w:r>
    </w:p>
    <w:p>
      <w:pPr>
        <w:spacing w:after="120"/>
      </w:pPr>
      <w:r>
        <w:t xml:space="preserve">Analysis: This is the clearest result in the report. Under sorted-order insertion, the plain BST degrades into what is effectively a linked list — search time grows linearly with n, reaching 188 microseconds at n=8,000. The Red-Black Tree stays essentially flat (under 1 microsecond) at every size tested because it rebalances on every insert, guaranteeing O(log n) height. Recommendation: since the real pipeline loads locations.csv sequentially by location_id, the plain BST should never be used for this — Benjamin's Red-Black Tree (or inserting into the BST in randomized order) is required to avoid worst-case behavior.</w:t>
      </w:r>
    </w:p>
    <w:p>
      <w:pPr>
        <w:pStyle w:val="Heading1"/>
        <w:spacing w:after="120" w:before="240"/>
      </w:pPr>
      <w:r>
        <w:t xml:space="preserve">6. Experiment 5 — Heap Insert / Extract-Max Performance</w:t>
      </w:r>
    </w:p>
    <w:p>
      <w:pPr>
        <w:spacing w:after="120"/>
      </w:pPr>
      <w:r>
        <w:t xml:space="preserve">Scenario: Benjamin's Heap is used to always dispatch the highest-priority request first (Security/Critical before Grounds/Low).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00"/>
      </w:tblGrid>
      <w:tr>
        <w:tc>
          <w:tcPr>
            <w:tcW w:type="dxa" w:w="3000"/>
            <w:shd w:fill="DDEBF7" w:val="clear"/>
          </w:tcPr>
          <w:p>
            <w:r>
              <w:rPr>
                <w:b/>
                <w:bCs/>
              </w:rPr>
              <w:t xml:space="preserve">n (requests in heap)</w:t>
            </w:r>
          </w:p>
        </w:tc>
        <w:tc>
          <w:tcPr>
            <w:tcW w:type="dxa" w:w="3300"/>
            <w:shd w:fill="DDEBF7" w:val="clear"/>
          </w:tcPr>
          <w:p>
            <w:r>
              <w:rPr>
                <w:b/>
                <w:bCs/>
              </w:rPr>
              <w:t xml:space="preserve">Insert (µs/op)</w:t>
            </w:r>
          </w:p>
        </w:tc>
        <w:tc>
          <w:tcPr>
            <w:tcW w:type="dxa" w:w="3300"/>
            <w:shd w:fill="DDEBF7" w:val="clear"/>
          </w:tcPr>
          <w:p>
            <w:r>
              <w:rPr>
                <w:b/>
                <w:bCs/>
              </w:rPr>
              <w:t xml:space="preserve">Extract-Max (µs/op)</w:t>
            </w:r>
          </w:p>
        </w:tc>
      </w:tr>
      <w:tr>
        <w:tc>
          <w:tcPr>
            <w:tcW w:type="dxa" w:w="3000"/>
          </w:tcPr>
          <w:p>
            <w:r>
              <w:rPr>
                <w:b w:val="false"/>
                <w:bCs w:val="false"/>
              </w:rPr>
              <w:t xml:space="preserve">100</w:t>
            </w:r>
          </w:p>
        </w:tc>
        <w:tc>
          <w:tcPr>
            <w:tcW w:type="dxa" w:w="3300"/>
          </w:tcPr>
          <w:p>
            <w:r>
              <w:rPr>
                <w:b w:val="false"/>
                <w:bCs w:val="false"/>
              </w:rPr>
              <w:t xml:space="preserve">0.735</w:t>
            </w:r>
          </w:p>
        </w:tc>
        <w:tc>
          <w:tcPr>
            <w:tcW w:type="dxa" w:w="3300"/>
          </w:tcPr>
          <w:p>
            <w:r>
              <w:rPr>
                <w:b w:val="false"/>
                <w:bCs w:val="false"/>
              </w:rPr>
              <w:t xml:space="preserve">1.176</w:t>
            </w:r>
          </w:p>
        </w:tc>
      </w:tr>
      <w:tr>
        <w:tc>
          <w:tcPr>
            <w:tcW w:type="dxa" w:w="3000"/>
          </w:tcPr>
          <w:p>
            <w:r>
              <w:rPr>
                <w:b w:val="false"/>
                <w:bCs w:val="false"/>
              </w:rPr>
              <w:t xml:space="preserve">1000</w:t>
            </w:r>
          </w:p>
        </w:tc>
        <w:tc>
          <w:tcPr>
            <w:tcW w:type="dxa" w:w="3300"/>
          </w:tcPr>
          <w:p>
            <w:r>
              <w:rPr>
                <w:b w:val="false"/>
                <w:bCs w:val="false"/>
              </w:rPr>
              <w:t xml:space="preserve">0.651</w:t>
            </w:r>
          </w:p>
        </w:tc>
        <w:tc>
          <w:tcPr>
            <w:tcW w:type="dxa" w:w="3300"/>
          </w:tcPr>
          <w:p>
            <w:r>
              <w:rPr>
                <w:b w:val="false"/>
                <w:bCs w:val="false"/>
              </w:rPr>
              <w:t xml:space="preserve">1.638</w:t>
            </w:r>
          </w:p>
        </w:tc>
      </w:tr>
      <w:tr>
        <w:tc>
          <w:tcPr>
            <w:tcW w:type="dxa" w:w="3000"/>
          </w:tcPr>
          <w:p>
            <w:r>
              <w:rPr>
                <w:b w:val="false"/>
                <w:bCs w:val="false"/>
              </w:rPr>
              <w:t xml:space="preserve">10000</w:t>
            </w:r>
          </w:p>
        </w:tc>
        <w:tc>
          <w:tcPr>
            <w:tcW w:type="dxa" w:w="3300"/>
          </w:tcPr>
          <w:p>
            <w:r>
              <w:rPr>
                <w:b w:val="false"/>
                <w:bCs w:val="false"/>
              </w:rPr>
              <w:t xml:space="preserve">2.462</w:t>
            </w:r>
          </w:p>
        </w:tc>
        <w:tc>
          <w:tcPr>
            <w:tcW w:type="dxa" w:w="3300"/>
          </w:tcPr>
          <w:p>
            <w:r>
              <w:rPr>
                <w:b w:val="false"/>
                <w:bCs w:val="false"/>
              </w:rPr>
              <w:t xml:space="preserve">2.653</w:t>
            </w:r>
          </w:p>
        </w:tc>
      </w:tr>
      <w:tr>
        <w:tc>
          <w:tcPr>
            <w:tcW w:type="dxa" w:w="3000"/>
          </w:tcPr>
          <w:p>
            <w:r>
              <w:rPr>
                <w:b w:val="false"/>
                <w:bCs w:val="false"/>
              </w:rPr>
              <w:t xml:space="preserve">50000</w:t>
            </w:r>
          </w:p>
        </w:tc>
        <w:tc>
          <w:tcPr>
            <w:tcW w:type="dxa" w:w="3300"/>
          </w:tcPr>
          <w:p>
            <w:r>
              <w:rPr>
                <w:b w:val="false"/>
                <w:bCs w:val="false"/>
              </w:rPr>
              <w:t xml:space="preserve">0.750</w:t>
            </w:r>
          </w:p>
        </w:tc>
        <w:tc>
          <w:tcPr>
            <w:tcW w:type="dxa" w:w="3300"/>
          </w:tcPr>
          <w:p>
            <w:r>
              <w:rPr>
                <w:b w:val="false"/>
                <w:bCs w:val="false"/>
              </w:rPr>
              <w:t xml:space="preserve">3.241</w:t>
            </w:r>
          </w:p>
        </w:tc>
      </w:tr>
      <w:tr>
        <w:tc>
          <w:tcPr>
            <w:tcW w:type="dxa" w:w="3000"/>
          </w:tcPr>
          <w:p>
            <w:r>
              <w:rPr>
                <w:b w:val="false"/>
                <w:bCs w:val="false"/>
              </w:rPr>
              <w:t xml:space="preserve">100000</w:t>
            </w:r>
          </w:p>
        </w:tc>
        <w:tc>
          <w:tcPr>
            <w:tcW w:type="dxa" w:w="3300"/>
          </w:tcPr>
          <w:p>
            <w:r>
              <w:rPr>
                <w:b w:val="false"/>
                <w:bCs w:val="false"/>
              </w:rPr>
              <w:t xml:space="preserve">0.818</w:t>
            </w:r>
          </w:p>
        </w:tc>
        <w:tc>
          <w:tcPr>
            <w:tcW w:type="dxa" w:w="3300"/>
          </w:tcPr>
          <w:p>
            <w:r>
              <w:rPr>
                <w:b w:val="false"/>
                <w:bCs w:val="false"/>
              </w:rPr>
              <w:t xml:space="preserve">3.282</w:t>
            </w:r>
          </w:p>
        </w:tc>
      </w:tr>
    </w:tbl>
    <w:p>
      <w:pPr>
        <w:spacing w:after="120"/>
      </w:pPr>
    </w:p>
    <w:p>
      <w:pPr>
        <w:spacing w:after="120"/>
      </w:pPr>
      <w:r>
        <w:drawing>
          <wp:inline distT="0" distB="0" distL="0" distR="0">
            <wp:extent cx="5238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3714750"/>
                    </a:xfrm>
                    <a:prstGeom prst="rect">
                      <a:avLst/>
                    </a:prstGeom>
                  </pic:spPr>
                </pic:pic>
              </a:graphicData>
            </a:graphic>
          </wp:inline>
        </w:drawing>
      </w:r>
    </w:p>
    <w:p>
      <w:pPr>
        <w:spacing w:after="120"/>
      </w:pPr>
      <w:r>
        <w:t xml:space="preserve">Analysis: Both operations stayed close to the low single-digit microsecond range even at 100,000 requests, consistent with O(log n) per operation — log n barely grows even as n grows 1000x. One anomaly worth flagging: insert time actually appeared to drop between n=10,000 and n=50,000 in this run. This is very likely measurement noise from Python/OS-level timing overhead dominating at these already-tiny durations, not a real algorithmic effect. Per the team's guidance to run experiments at least twice, this was re-run and the dip persisted at a smaller magnitude — recommend re-measuring with a higher-resolution profiler once the Java implementation is available, and average over more repeats (10+) rather than 2-3.</w:t>
      </w:r>
    </w:p>
    <w:p>
      <w:pPr>
        <w:pStyle w:val="Heading1"/>
        <w:spacing w:after="120" w:before="240"/>
      </w:pPr>
      <w:r>
        <w:t xml:space="preserve">7. Experiment 6 — Graph Algorithm Comparison</w:t>
      </w:r>
    </w:p>
    <w:p>
      <w:pPr>
        <w:spacing w:after="120"/>
      </w:pPr>
      <w:r>
        <w:t xml:space="preserve">Scenario: Ekow's Graph structure holds the campus network (buildings as nodes, pathways as weighted edges). This compares Nana K.'s BFS, DFS, Dijkstra, Prim, and Kruskal as the campus network scales up.</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00"/>
        <w:gridCol w:w="1600"/>
        <w:gridCol w:w="1600"/>
      </w:tblGrid>
      <w:tr>
        <w:tc>
          <w:tcPr>
            <w:tcW w:type="dxa" w:w="1600"/>
            <w:shd w:fill="DDEBF7" w:val="clear"/>
          </w:tcPr>
          <w:p>
            <w:r>
              <w:rPr>
                <w:b/>
                <w:bCs/>
              </w:rPr>
              <w:t xml:space="preserve">n (nodes)</w:t>
            </w:r>
          </w:p>
        </w:tc>
        <w:tc>
          <w:tcPr>
            <w:tcW w:type="dxa" w:w="1600"/>
            <w:shd w:fill="DDEBF7" w:val="clear"/>
          </w:tcPr>
          <w:p>
            <w:r>
              <w:rPr>
                <w:b/>
                <w:bCs/>
              </w:rPr>
              <w:t xml:space="preserve">BFS (ms)</w:t>
            </w:r>
          </w:p>
        </w:tc>
        <w:tc>
          <w:tcPr>
            <w:tcW w:type="dxa" w:w="1600"/>
            <w:shd w:fill="DDEBF7" w:val="clear"/>
          </w:tcPr>
          <w:p>
            <w:r>
              <w:rPr>
                <w:b/>
                <w:bCs/>
              </w:rPr>
              <w:t xml:space="preserve">DFS (ms)</w:t>
            </w:r>
          </w:p>
        </w:tc>
        <w:tc>
          <w:tcPr>
            <w:tcW w:type="dxa" w:w="1700"/>
            <w:shd w:fill="DDEBF7" w:val="clear"/>
          </w:tcPr>
          <w:p>
            <w:r>
              <w:rPr>
                <w:b/>
                <w:bCs/>
              </w:rPr>
              <w:t xml:space="preserve">Dijkstra (ms)</w:t>
            </w:r>
          </w:p>
        </w:tc>
        <w:tc>
          <w:tcPr>
            <w:tcW w:type="dxa" w:w="1600"/>
            <w:shd w:fill="DDEBF7" w:val="clear"/>
          </w:tcPr>
          <w:p>
            <w:r>
              <w:rPr>
                <w:b/>
                <w:bCs/>
              </w:rPr>
              <w:t xml:space="preserve">Prim (ms)</w:t>
            </w:r>
          </w:p>
        </w:tc>
        <w:tc>
          <w:tcPr>
            <w:tcW w:type="dxa" w:w="1600"/>
            <w:shd w:fill="DDEBF7" w:val="clear"/>
          </w:tcPr>
          <w:p>
            <w:r>
              <w:rPr>
                <w:b/>
                <w:bCs/>
              </w:rPr>
              <w:t xml:space="preserve">Kruskal (ms)</w:t>
            </w:r>
          </w:p>
        </w:tc>
      </w:tr>
      <w:tr>
        <w:tc>
          <w:tcPr>
            <w:tcW w:type="dxa" w:w="1600"/>
          </w:tcPr>
          <w:p>
            <w:r>
              <w:rPr>
                <w:b w:val="false"/>
                <w:bCs w:val="false"/>
              </w:rPr>
              <w:t xml:space="preserve">50</w:t>
            </w:r>
          </w:p>
        </w:tc>
        <w:tc>
          <w:tcPr>
            <w:tcW w:type="dxa" w:w="1600"/>
          </w:tcPr>
          <w:p>
            <w:r>
              <w:rPr>
                <w:b w:val="false"/>
                <w:bCs w:val="false"/>
              </w:rPr>
              <w:t xml:space="preserve">0.017</w:t>
            </w:r>
          </w:p>
        </w:tc>
        <w:tc>
          <w:tcPr>
            <w:tcW w:type="dxa" w:w="1600"/>
          </w:tcPr>
          <w:p>
            <w:r>
              <w:rPr>
                <w:b w:val="false"/>
                <w:bCs w:val="false"/>
              </w:rPr>
              <w:t xml:space="preserve">0.017</w:t>
            </w:r>
          </w:p>
        </w:tc>
        <w:tc>
          <w:tcPr>
            <w:tcW w:type="dxa" w:w="1700"/>
          </w:tcPr>
          <w:p>
            <w:r>
              <w:rPr>
                <w:b w:val="false"/>
                <w:bCs w:val="false"/>
              </w:rPr>
              <w:t xml:space="preserve">0.047</w:t>
            </w:r>
          </w:p>
        </w:tc>
        <w:tc>
          <w:tcPr>
            <w:tcW w:type="dxa" w:w="1600"/>
          </w:tcPr>
          <w:p>
            <w:r>
              <w:rPr>
                <w:b w:val="false"/>
                <w:bCs w:val="false"/>
              </w:rPr>
              <w:t xml:space="preserve">0.074</w:t>
            </w:r>
          </w:p>
        </w:tc>
        <w:tc>
          <w:tcPr>
            <w:tcW w:type="dxa" w:w="1600"/>
          </w:tcPr>
          <w:p>
            <w:r>
              <w:rPr>
                <w:b w:val="false"/>
                <w:bCs w:val="false"/>
              </w:rPr>
              <w:t xml:space="preserve">0.188</w:t>
            </w:r>
          </w:p>
        </w:tc>
      </w:tr>
      <w:tr>
        <w:tc>
          <w:tcPr>
            <w:tcW w:type="dxa" w:w="1600"/>
          </w:tcPr>
          <w:p>
            <w:r>
              <w:rPr>
                <w:b w:val="false"/>
                <w:bCs w:val="false"/>
              </w:rPr>
              <w:t xml:space="preserve">100</w:t>
            </w:r>
          </w:p>
        </w:tc>
        <w:tc>
          <w:tcPr>
            <w:tcW w:type="dxa" w:w="1600"/>
          </w:tcPr>
          <w:p>
            <w:r>
              <w:rPr>
                <w:b w:val="false"/>
                <w:bCs w:val="false"/>
              </w:rPr>
              <w:t xml:space="preserve">0.033</w:t>
            </w:r>
          </w:p>
        </w:tc>
        <w:tc>
          <w:tcPr>
            <w:tcW w:type="dxa" w:w="1600"/>
          </w:tcPr>
          <w:p>
            <w:r>
              <w:rPr>
                <w:b w:val="false"/>
                <w:bCs w:val="false"/>
              </w:rPr>
              <w:t xml:space="preserve">0.032</w:t>
            </w:r>
          </w:p>
        </w:tc>
        <w:tc>
          <w:tcPr>
            <w:tcW w:type="dxa" w:w="1700"/>
          </w:tcPr>
          <w:p>
            <w:r>
              <w:rPr>
                <w:b w:val="false"/>
                <w:bCs w:val="false"/>
              </w:rPr>
              <w:t xml:space="preserve">0.101</w:t>
            </w:r>
          </w:p>
        </w:tc>
        <w:tc>
          <w:tcPr>
            <w:tcW w:type="dxa" w:w="1600"/>
          </w:tcPr>
          <w:p>
            <w:r>
              <w:rPr>
                <w:b w:val="false"/>
                <w:bCs w:val="false"/>
              </w:rPr>
              <w:t xml:space="preserve">0.150</w:t>
            </w:r>
          </w:p>
        </w:tc>
        <w:tc>
          <w:tcPr>
            <w:tcW w:type="dxa" w:w="1600"/>
          </w:tcPr>
          <w:p>
            <w:r>
              <w:rPr>
                <w:b w:val="false"/>
                <w:bCs w:val="false"/>
              </w:rPr>
              <w:t xml:space="preserve">0.319</w:t>
            </w:r>
          </w:p>
        </w:tc>
      </w:tr>
      <w:tr>
        <w:tc>
          <w:tcPr>
            <w:tcW w:type="dxa" w:w="1600"/>
          </w:tcPr>
          <w:p>
            <w:r>
              <w:rPr>
                <w:b w:val="false"/>
                <w:bCs w:val="false"/>
              </w:rPr>
              <w:t xml:space="preserve">200</w:t>
            </w:r>
          </w:p>
        </w:tc>
        <w:tc>
          <w:tcPr>
            <w:tcW w:type="dxa" w:w="1600"/>
          </w:tcPr>
          <w:p>
            <w:r>
              <w:rPr>
                <w:b w:val="false"/>
                <w:bCs w:val="false"/>
              </w:rPr>
              <w:t xml:space="preserve">0.062</w:t>
            </w:r>
          </w:p>
        </w:tc>
        <w:tc>
          <w:tcPr>
            <w:tcW w:type="dxa" w:w="1600"/>
          </w:tcPr>
          <w:p>
            <w:r>
              <w:rPr>
                <w:b w:val="false"/>
                <w:bCs w:val="false"/>
              </w:rPr>
              <w:t xml:space="preserve">0.140</w:t>
            </w:r>
          </w:p>
        </w:tc>
        <w:tc>
          <w:tcPr>
            <w:tcW w:type="dxa" w:w="1700"/>
          </w:tcPr>
          <w:p>
            <w:r>
              <w:rPr>
                <w:b w:val="false"/>
                <w:bCs w:val="false"/>
              </w:rPr>
              <w:t xml:space="preserve">0.217</w:t>
            </w:r>
          </w:p>
        </w:tc>
        <w:tc>
          <w:tcPr>
            <w:tcW w:type="dxa" w:w="1600"/>
          </w:tcPr>
          <w:p>
            <w:r>
              <w:rPr>
                <w:b w:val="false"/>
                <w:bCs w:val="false"/>
              </w:rPr>
              <w:t xml:space="preserve">0.298</w:t>
            </w:r>
          </w:p>
        </w:tc>
        <w:tc>
          <w:tcPr>
            <w:tcW w:type="dxa" w:w="1600"/>
          </w:tcPr>
          <w:p>
            <w:r>
              <w:rPr>
                <w:b w:val="false"/>
                <w:bCs w:val="false"/>
              </w:rPr>
              <w:t xml:space="preserve">0.640</w:t>
            </w:r>
          </w:p>
        </w:tc>
      </w:tr>
      <w:tr>
        <w:tc>
          <w:tcPr>
            <w:tcW w:type="dxa" w:w="1600"/>
          </w:tcPr>
          <w:p>
            <w:r>
              <w:rPr>
                <w:b w:val="false"/>
                <w:bCs w:val="false"/>
              </w:rPr>
              <w:t xml:space="preserve">500</w:t>
            </w:r>
          </w:p>
        </w:tc>
        <w:tc>
          <w:tcPr>
            <w:tcW w:type="dxa" w:w="1600"/>
          </w:tcPr>
          <w:p>
            <w:r>
              <w:rPr>
                <w:b w:val="false"/>
                <w:bCs w:val="false"/>
              </w:rPr>
              <w:t xml:space="preserve">0.259</w:t>
            </w:r>
          </w:p>
        </w:tc>
        <w:tc>
          <w:tcPr>
            <w:tcW w:type="dxa" w:w="1600"/>
          </w:tcPr>
          <w:p>
            <w:r>
              <w:rPr>
                <w:b w:val="false"/>
                <w:bCs w:val="false"/>
              </w:rPr>
              <w:t xml:space="preserve">0.340</w:t>
            </w:r>
          </w:p>
        </w:tc>
        <w:tc>
          <w:tcPr>
            <w:tcW w:type="dxa" w:w="1700"/>
          </w:tcPr>
          <w:p>
            <w:r>
              <w:rPr>
                <w:b w:val="false"/>
                <w:bCs w:val="false"/>
              </w:rPr>
              <w:t xml:space="preserve">0.733</w:t>
            </w:r>
          </w:p>
        </w:tc>
        <w:tc>
          <w:tcPr>
            <w:tcW w:type="dxa" w:w="1600"/>
          </w:tcPr>
          <w:p>
            <w:r>
              <w:rPr>
                <w:b w:val="false"/>
                <w:bCs w:val="false"/>
              </w:rPr>
              <w:t xml:space="preserve">1.014</w:t>
            </w:r>
          </w:p>
        </w:tc>
        <w:tc>
          <w:tcPr>
            <w:tcW w:type="dxa" w:w="1600"/>
          </w:tcPr>
          <w:p>
            <w:r>
              <w:rPr>
                <w:b w:val="false"/>
                <w:bCs w:val="false"/>
              </w:rPr>
              <w:t xml:space="preserve">1.895</w:t>
            </w:r>
          </w:p>
        </w:tc>
      </w:tr>
      <w:tr>
        <w:tc>
          <w:tcPr>
            <w:tcW w:type="dxa" w:w="1600"/>
          </w:tcPr>
          <w:p>
            <w:r>
              <w:rPr>
                <w:b w:val="false"/>
                <w:bCs w:val="false"/>
              </w:rPr>
              <w:t xml:space="preserve">1000</w:t>
            </w:r>
          </w:p>
        </w:tc>
        <w:tc>
          <w:tcPr>
            <w:tcW w:type="dxa" w:w="1600"/>
          </w:tcPr>
          <w:p>
            <w:r>
              <w:rPr>
                <w:b w:val="false"/>
                <w:bCs w:val="false"/>
              </w:rPr>
              <w:t xml:space="preserve">0.848</w:t>
            </w:r>
          </w:p>
        </w:tc>
        <w:tc>
          <w:tcPr>
            <w:tcW w:type="dxa" w:w="1600"/>
          </w:tcPr>
          <w:p>
            <w:r>
              <w:rPr>
                <w:b w:val="false"/>
                <w:bCs w:val="false"/>
              </w:rPr>
              <w:t xml:space="preserve">0.933</w:t>
            </w:r>
          </w:p>
        </w:tc>
        <w:tc>
          <w:tcPr>
            <w:tcW w:type="dxa" w:w="1700"/>
          </w:tcPr>
          <w:p>
            <w:r>
              <w:rPr>
                <w:b w:val="false"/>
                <w:bCs w:val="false"/>
              </w:rPr>
              <w:t xml:space="preserve">2.178</w:t>
            </w:r>
          </w:p>
        </w:tc>
        <w:tc>
          <w:tcPr>
            <w:tcW w:type="dxa" w:w="1600"/>
          </w:tcPr>
          <w:p>
            <w:r>
              <w:rPr>
                <w:b w:val="false"/>
                <w:bCs w:val="false"/>
              </w:rPr>
              <w:t xml:space="preserve">3.387</w:t>
            </w:r>
          </w:p>
        </w:tc>
        <w:tc>
          <w:tcPr>
            <w:tcW w:type="dxa" w:w="1600"/>
          </w:tcPr>
          <w:p>
            <w:r>
              <w:rPr>
                <w:b w:val="false"/>
                <w:bCs w:val="false"/>
              </w:rPr>
              <w:t xml:space="preserve">7.288</w:t>
            </w:r>
          </w:p>
        </w:tc>
      </w:tr>
    </w:tbl>
    <w:p>
      <w:pPr>
        <w:spacing w:after="120"/>
      </w:pPr>
    </w:p>
    <w:p>
      <w:pPr>
        <w:spacing w:after="120"/>
      </w:pPr>
      <w:r>
        <w:drawing>
          <wp:inline distT="0" distB="0" distL="0" distR="0">
            <wp:extent cx="52387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3714750"/>
                    </a:xfrm>
                    <a:prstGeom prst="rect">
                      <a:avLst/>
                    </a:prstGeom>
                  </pic:spPr>
                </pic:pic>
              </a:graphicData>
            </a:graphic>
          </wp:inline>
        </w:drawing>
      </w:r>
    </w:p>
    <w:p>
      <w:pPr>
        <w:spacing w:after="120"/>
      </w:pPr>
      <w:r>
        <w:t xml:space="preserve">Analysis: BFS and DFS (both O(V+E)) are cheapest and scale nearly linearly, useful for the team's simple reachability checks (e.g., "can Security reach every building from Gate 1"). Dijkstra costs more (O(E log V) with a priority queue) but is still fast at campus scale (2.2 ms at 1,000 nodes) — appropriate for real-time routing since the real campus only has 50 buildings. Prim and Kruskal (both for minimum spanning tree / infrastructure planning) were the most expensive at scale, with Kruskal costing the most due to its edge-sorting step (O(E log E)); Prim's priority-queue approach scaled somewhat better on this denser synthetic graph. At the real project's scale (50 nodes, 110 edges) all five algorithms complete in well under 1 millisecond, so algorithm choice will not be a bottleneck for the actual deliverable — this comparison matters more if the team later extends the dataset city-wide.</w:t>
      </w:r>
    </w:p>
    <w:p>
      <w:pPr>
        <w:pStyle w:val="Heading1"/>
        <w:spacing w:after="120" w:before="240"/>
      </w:pPr>
      <w:r>
        <w:t xml:space="preserve">8. Summary of Recommendations</w:t>
      </w:r>
    </w:p>
    <w:p>
      <w:pPr>
        <w:pStyle w:val="ListParagraph"/>
        <w:numPr>
          <w:ilvl w:val="0"/>
          <w:numId w:val="1"/>
        </w:numPr>
        <w:spacing w:after="60"/>
      </w:pPr>
      <w:r>
        <w:t xml:space="preserve">Use Binary Search (not Linear) once the request list is sorted by ID — over 500x faster at scale with negligible extra complexity.</w:t>
      </w:r>
    </w:p>
    <w:p>
      <w:pPr>
        <w:pStyle w:val="ListParagraph"/>
        <w:numPr>
          <w:ilvl w:val="0"/>
          <w:numId w:val="1"/>
        </w:numPr>
        <w:spacing w:after="60"/>
      </w:pPr>
      <w:r>
        <w:t xml:space="preserve">Prefer Merge Sort or Quicksort over Selection/Insertion Sort if the request queue is expected to exceed a few thousand entries.</w:t>
      </w:r>
    </w:p>
    <w:p>
      <w:pPr>
        <w:pStyle w:val="ListParagraph"/>
        <w:numPr>
          <w:ilvl w:val="0"/>
          <w:numId w:val="1"/>
        </w:numPr>
        <w:spacing w:after="60"/>
      </w:pPr>
      <w:r>
        <w:t xml:space="preserve">Resize Michael's Hash Table once load factor passes ~0.75-1.0 to keep lookups close to O(1).</w:t>
      </w:r>
    </w:p>
    <w:p>
      <w:pPr>
        <w:pStyle w:val="ListParagraph"/>
        <w:numPr>
          <w:ilvl w:val="0"/>
          <w:numId w:val="1"/>
        </w:numPr>
        <w:spacing w:after="60"/>
      </w:pPr>
      <w:r>
        <w:t xml:space="preserve">Avoid inserting into the plain BST in sorted order — use the Red-Black Tree (or randomize insert order) to prevent worst-case O(n) degradation.</w:t>
      </w:r>
    </w:p>
    <w:p>
      <w:pPr>
        <w:pStyle w:val="ListParagraph"/>
        <w:numPr>
          <w:ilvl w:val="0"/>
          <w:numId w:val="1"/>
        </w:numPr>
        <w:spacing w:after="60"/>
      </w:pPr>
      <w:r>
        <w:t xml:space="preserve">Heap operations are cheap and not a performance concern at any realistic project scale; re-measure with more repeats once ported to Java for the final report.</w:t>
      </w:r>
    </w:p>
    <w:p>
      <w:pPr>
        <w:pStyle w:val="ListParagraph"/>
        <w:numPr>
          <w:ilvl w:val="0"/>
          <w:numId w:val="1"/>
        </w:numPr>
        <w:spacing w:after="60"/>
      </w:pPr>
      <w:r>
        <w:t xml:space="preserve">At the real project's scale (50 buildings), all graph algorithms are effectively instant — algorithm choice should be driven by correctness/use-case fit (BFS/DFS for reachability, Dijkstra for routing, Prim/Kruskal for infrastructure planning) rather than speed.</w:t>
      </w:r>
    </w:p>
    <w:p>
      <w:pPr>
        <w:pStyle w:val="Heading1"/>
        <w:spacing w:after="120" w:before="240"/>
      </w:pPr>
      <w:r>
        <w:t xml:space="preserve">9. Methodology Notes &amp; Limitations</w:t>
      </w:r>
    </w:p>
    <w:p>
      <w:pPr>
        <w:pStyle w:val="ListParagraph"/>
        <w:numPr>
          <w:ilvl w:val="0"/>
          <w:numId w:val="1"/>
        </w:numPr>
        <w:spacing w:after="60"/>
      </w:pPr>
      <w:r>
        <w:t xml:space="preserve">Benchmarks were run on a Python harness mirroring the team's Java structures' operations and complexity, not the team's actual Java code — timings are illustrative of relative/asymptotic behavior, not absolute Java performance.</w:t>
      </w:r>
    </w:p>
    <w:p>
      <w:pPr>
        <w:pStyle w:val="ListParagraph"/>
        <w:numPr>
          <w:ilvl w:val="0"/>
          <w:numId w:val="1"/>
        </w:numPr>
        <w:spacing w:after="60"/>
      </w:pPr>
      <w:r>
        <w:t xml:space="preserve">The dataset used was synthetically generated from the real 50 Legon building names and the project's CSV schema, since the final dataset from Samuella/Patience was not yet available.</w:t>
      </w:r>
    </w:p>
    <w:p>
      <w:pPr>
        <w:pStyle w:val="ListParagraph"/>
        <w:numPr>
          <w:ilvl w:val="0"/>
          <w:numId w:val="1"/>
        </w:numPr>
        <w:spacing w:after="60"/>
      </w:pPr>
      <w:r>
        <w:t xml:space="preserve">Each data point is the median of 2-5 repeated runs, per the team's 'run experiments at least twice' guidance.</w:t>
      </w:r>
    </w:p>
    <w:p>
      <w:pPr>
        <w:pStyle w:val="ListParagraph"/>
        <w:numPr>
          <w:ilvl w:val="0"/>
          <w:numId w:val="1"/>
        </w:numPr>
        <w:spacing w:after="60"/>
      </w:pPr>
      <w:r>
        <w:t xml:space="preserve">Next step: re-run all six experiments against the team's actual Java implementation and the final Ghana dataset once Week 3-4 integration is complete, and substitute these graphs into the final technical report (Nana O.'s deliverable).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94f137ffcdd8845a16b58ee885fa35fdf71645.png"/><Relationship Id="rId8" Type="http://schemas.openxmlformats.org/officeDocument/2006/relationships/image" Target="media/6f3edeee4da67c636e2e8aaa5ae9d46aead19879.png"/><Relationship Id="rId9" Type="http://schemas.openxmlformats.org/officeDocument/2006/relationships/image" Target="media/fc1195722aac3b0c438a44790843c7b1b15dface.png"/><Relationship Id="rId10" Type="http://schemas.openxmlformats.org/officeDocument/2006/relationships/image" Target="media/7b02c2f5cc17ff2b6e293587dedca4b60578b247.png"/><Relationship Id="rId11" Type="http://schemas.openxmlformats.org/officeDocument/2006/relationships/image" Target="media/cca5218f1bba052eb7ea881f220097f0c9fedb23.png"/><Relationship Id="rId12" Type="http://schemas.openxmlformats.org/officeDocument/2006/relationships/image" Target="media/e6207155ad2192071de568ab69d30cd791266e0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2026-08-04T08:41:49.545Z</dcterms:created>
  <dcterms:modified xsi:type="dcterms:W3CDTF">2026-08-04T08:41:49.568Z</dcterms:modified>
</cp:coreProperties>
</file>

<file path=docProps/custom.xml><?xml version="1.0" encoding="utf-8"?>
<Properties xmlns="http://schemas.openxmlformats.org/officeDocument/2006/custom-properties" xmlns:vt="http://schemas.openxmlformats.org/officeDocument/2006/docPropsVTypes"/>
</file>