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Concomitant Medication and Therapeutic Effects of TMS</w:t>
      </w:r>
    </w:p>
    <w:p>
      <w:pPr>
        <w:pStyle w:val="Heading2"/>
      </w:pPr>
      <w:r>
        <w:t>Introduction</w:t>
      </w:r>
    </w:p>
    <w:p>
      <w:r>
        <w:t>Transcranial magnetic stimulation (TMS) is a non-invasive brain stimulation technique whose therapeutic efficacy is strongly state-dependent. Increasing evidence suggests that concomitant medications modulate TMS-induced plasticity and clinical outcomes in non-linear and drug-specific ways. This narrative review synthesizes experimental, clinical, and theoretical literature (2012–2025) on how pharmacotherapy interacts with TMS.</w:t>
      </w:r>
    </w:p>
    <w:p>
      <w:pPr>
        <w:pStyle w:val="Heading2"/>
      </w:pPr>
      <w:r>
        <w:t>Neuroplasticity and Metaplasticity as a Framework</w:t>
      </w:r>
    </w:p>
    <w:p>
      <w:r>
        <w:t>TMS induces synaptic plasticity through mechanisms resembling LTP/LTD. However, its effects are gated by metaplasticity, which determines the direction and magnitude of plastic change. Pharmacological agents can bias this metaplastic state, thereby amplifying or suppressing TMS effects.</w:t>
      </w:r>
    </w:p>
    <w:p>
      <w:pPr>
        <w:pStyle w:val="Heading2"/>
      </w:pPr>
      <w:r>
        <w:t>Pharmacological Modulation of TMS-Induced Plasticity</w:t>
      </w:r>
    </w:p>
    <w:p>
      <w:r>
        <w:t>NMDA receptor antagonists abolish excitatory aftereffects of rTMS, while SSRIs and dopaminergic agents can enhance facilitatory plasticity. Benzodiazepines and anticonvulsants generally reduce TMS efficacy by increasing inhibitory tone and seizure threshold.</w:t>
      </w:r>
    </w:p>
    <w:p>
      <w:pPr>
        <w:pStyle w:val="Heading2"/>
      </w:pPr>
      <w:r>
        <w:t>Clinical Evidence in Depression</w:t>
      </w:r>
    </w:p>
    <w:p>
      <w:r>
        <w:t>Large cohort studies show that antidepressant load modulates response to rTMS. Hunter et al. (2019) reported that benzodiazepine use predicted poorer outcomes, whereas antidepressants did not uniformly attenuate response. Recent studies suggest medication-TMS interactions are protocol-dependent.</w:t>
      </w:r>
    </w:p>
    <w:p>
      <w:pPr>
        <w:pStyle w:val="Heading2"/>
      </w:pPr>
      <w:r>
        <w:t>Schizophrenia and Other Disorders</w:t>
      </w:r>
    </w:p>
    <w:p>
      <w:r>
        <w:t>In schizophrenia, antipsychotic modulation of cortical excitability complicates interpretation of TMS effects. However, adjunctive TMS can still induce clinically meaningful improvements, suggesting partial independence from dopaminergic blockade.</w:t>
      </w:r>
    </w:p>
    <w:p>
      <w:pPr>
        <w:pStyle w:val="Heading2"/>
      </w:pPr>
      <w:r>
        <w:t>Dynamic Systems Interpretation</w:t>
      </w:r>
    </w:p>
    <w:p>
      <w:r>
        <w:t>From a dynamical systems perspective, medications alter the depth and topology of attractor basins, whereas TMS acts as a perturbation. Concomitant drugs thus shape whether TMS-induced perturbations lead to durable transitions.</w:t>
      </w:r>
    </w:p>
    <w:p>
      <w:pPr>
        <w:pStyle w:val="Heading2"/>
      </w:pPr>
      <w:r>
        <w:t>Clinical Implications</w:t>
      </w:r>
    </w:p>
    <w:p>
      <w:r>
        <w:t>Rather than controlling for medications as confounds, future protocols should explicitly leverage pharmacological state to optimize TMS efficacy. Sequential and synergistic designs are warranted.</w:t>
      </w:r>
    </w:p>
    <w:p>
      <w:pPr>
        <w:pStyle w:val="Heading2"/>
      </w:pPr>
      <w:r>
        <w:t>Conclusion</w:t>
      </w:r>
    </w:p>
    <w:p>
      <w:r>
        <w:t>Concomitant medications are not passive background variables but active modulators of TMS-induced plasticity. A metaplasticity-informed framework can reconcile heterogeneous findings and guide precision neuromodulation.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