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Neuroplasticity-Based Combination Therapies for Treatment-Resistant Depression</w:t>
      </w:r>
    </w:p>
    <w:p>
      <w:pPr>
        <w:pStyle w:val="Author"/>
      </w:pPr>
      <w:r>
        <w:t xml:space="preserve">Anselm Jeong</w:t>
      </w:r>
    </w:p>
    <w:p>
      <w:pPr>
        <w:pStyle w:val="Date"/>
      </w:pPr>
      <w:r>
        <w:t xml:space="preserve">2026-02-03</w:t>
      </w:r>
    </w:p>
    <w:p>
      <w:pPr>
        <w:pStyle w:val="FirstParagraph"/>
      </w:pPr>
      <w:r>
        <w:t xml:space="preserve">The treatment modalities discussed in this review all owe their therapeutic effects to modulating neuroplasticity. Consequently, it might be assumed that combining these interventions would yield only additive effects or that outcomes would be dominated by the more potent modality. However, clinical evidence suggests that combination therapies yield unforseen effect.</w:t>
      </w:r>
    </w:p>
    <w:p>
      <w:pPr>
        <w:pStyle w:val="BodyText"/>
      </w:pPr>
      <w:r>
        <w:t xml:space="preserve">The most unexpected finding may be seen from the combination of ECT and ketamine. Across multiple RCTs, ketamine anesthesia during ECT fails to improve outcomes and may actively interfere with therapeutic mechanisms</w:t>
      </w:r>
      <w:r>
        <w:t xml:space="preserve"> </w:t>
      </w:r>
      <w:r>
        <w:t xml:space="preserve">(Liu, Yang, and Liu 2024; Fernie et al. 2017; Anderson et al. 2017)</w:t>
      </w:r>
      <w:r>
        <w:t xml:space="preserve">. This pattern challenges the naive assumption of</w:t>
      </w:r>
      <w:r>
        <w:t xml:space="preserve"> </w:t>
      </w:r>
      <w:r>
        <w:t xml:space="preserve">“the more the better”</w:t>
      </w:r>
      <w:r>
        <w:t xml:space="preserve"> </w:t>
      </w:r>
      <w:r>
        <w:t xml:space="preserve">and suggests that the timing and order of combination therapy matter as much as their individual potency.</w:t>
      </w:r>
    </w:p>
    <w:p>
      <w:pPr>
        <w:pStyle w:val="BodyText"/>
      </w:pPr>
      <w:r>
        <w:t xml:space="preserve">Other combination therapies that have shown success paints a more positive picture. Antidepressant use before rTMS induces a priming of cortical excitability which augment stimulation-induced plasticity</w:t>
      </w:r>
      <w:r>
        <w:t xml:space="preserve"> </w:t>
      </w:r>
      <w:r>
        <w:t xml:space="preserve">(Zaidi et al. 2024)</w:t>
      </w:r>
      <w:r>
        <w:t xml:space="preserve">. The SELECT-TDCS trial established that concurrent tDCS-sertraline initiation produces effects exceeding either intervention alone</w:t>
      </w:r>
      <w:r>
        <w:t xml:space="preserve"> </w:t>
      </w:r>
      <w:r>
        <w:t xml:space="preserve">(Brunoni et al. 2013)</w:t>
      </w:r>
      <w:r>
        <w:t xml:space="preserve">. Esketamine achieved FDA approval specifically as a combination protocol with newly initiated oral antidepressants</w:t>
      </w:r>
      <w:r>
        <w:t xml:space="preserve"> </w:t>
      </w:r>
      <w:r>
        <w:t xml:space="preserve">(Popova et al. 2019)</w:t>
      </w:r>
      <w:r>
        <w:t xml:space="preserve">. Meanwhile, preliminary evidence comes from sequential rTMS-ketamine protocols, where 2-year sustained remissions suggest effects beyond simple additivity</w:t>
      </w:r>
      <w:r>
        <w:t xml:space="preserve"> </w:t>
      </w:r>
      <w:r>
        <w:t xml:space="preserve">(Best, Pavel, and Haustrup 2019)</w:t>
      </w:r>
      <w:r>
        <w:t xml:space="preserve">.</w:t>
      </w:r>
    </w:p>
    <w:p>
      <w:pPr>
        <w:pStyle w:val="BodyText"/>
      </w:pPr>
      <w:r>
        <w:t xml:space="preserve">These patterns suggest a unified framework in which these therapeutic modalities occupy distinct positions along axes of disruption, metaplasticity, and rewiring. Consequently, the more pressing question is how to identify the optimal combination and the order in which they are delivered. This strategy may prove more productive than simply maximizing the intensity of any single intervention.</w:t>
      </w:r>
    </w:p>
    <w:bookmarkStart w:id="20" w:name="X8a0c35adb99fb5201406143919815d9d520357a"/>
    <w:p>
      <w:pPr>
        <w:pStyle w:val="Heading3"/>
      </w:pPr>
      <w:r>
        <w:t xml:space="preserve">ECT and Psychedelic/Esketamine Combinations</w:t>
      </w:r>
    </w:p>
    <w:p>
      <w:pPr>
        <w:pStyle w:val="FirstParagraph"/>
      </w:pPr>
      <w:r>
        <w:t xml:space="preserve">The theoretical appeal of combining ECT and esketamine was considerable. Both interventions produce rapid antidepressant effects, both engage glutamatergic signaling, and trigger downstream BDNF-TrkB cascades. Ketamine’s NMDA receptor antagonism of GABA interneurons was hypothesized to potentiate ECT-induced synaptic plasticity. However, the actual clinical data did not support this hypothesis.</w:t>
      </w:r>
    </w:p>
    <w:p>
      <w:pPr>
        <w:pStyle w:val="BodyText"/>
      </w:pPr>
      <w:r>
        <w:t xml:space="preserve">Liu et al.’s network meta-analysis of 17 RCTs (N=1,370) established that combining ketamine with ECT does not confer additional therapeutic benefits but does increase the risk of adverse events</w:t>
      </w:r>
      <w:r>
        <w:t xml:space="preserve"> </w:t>
      </w:r>
      <w:r>
        <w:t xml:space="preserve">(Liu, Yang, and Liu 2024)</w:t>
      </w:r>
      <w:r>
        <w:t xml:space="preserve">. This conclusion is reinforced by major individual trials: the KANECT study found no difference in outcomes or cognitive side effects when using ketamine versus propofol anesthesia</w:t>
      </w:r>
      <w:r>
        <w:t xml:space="preserve"> </w:t>
      </w:r>
      <w:r>
        <w:t xml:space="preserve">(Fernie et al. 2017)</w:t>
      </w:r>
      <w:r>
        <w:t xml:space="preserve">, and similar negative results were reported by Anderson et al.(10.1016/S2215-0366(17)30077-9) and Carspecken et al.</w:t>
      </w:r>
      <w:r>
        <w:t xml:space="preserve">(Carspecken et al. 2018)</w:t>
      </w:r>
      <w:r>
        <w:t xml:space="preserve">. Intriguingly, ketamine was the only anesthetic agent that elevated plasma BDNF levels, where other anesthetics did not, yet this biochemical signal failed to produce a clinical advantage. It is worth noting that the use of racemic ketamine as an anesthetic adjunct may not be directly comparable to the FDA-approved esketamine nasal spray.</w:t>
      </w:r>
    </w:p>
    <w:p>
      <w:pPr>
        <w:pStyle w:val="BodyText"/>
      </w:pPr>
      <w:r>
        <w:t xml:space="preserve">Esketamine presents a more nuanced picture. Zeng et al.’s non-inferiority trial found comparable HAMD-17 reductions between esketamine and propofol when used as anesthetic agents; while response (80% vs. 70%) and remission (65% vs. 55%) rates were numerically higher in the esketamine group, these differences did not reach statistical significance</w:t>
      </w:r>
      <w:r>
        <w:t xml:space="preserve"> </w:t>
      </w:r>
      <w:r>
        <w:t xml:space="preserve">(Zeng et al. 2025)</w:t>
      </w:r>
      <w:r>
        <w:t xml:space="preserve">.</w:t>
      </w:r>
    </w:p>
    <w:p>
      <w:pPr>
        <w:pStyle w:val="BodyText"/>
      </w:pPr>
      <w:r>
        <w:t xml:space="preserve">Other investigations have explored esketamine as a distinct treatment modality rather than a mere anesthetic adjunct. A case series demonstrated that pairing ECT with intranasal esketamine on non-ECT days facilitated sustained clinical improvement and allowed for extended intervals between maintenance ECT sessions in severe TRD</w:t>
      </w:r>
      <w:r>
        <w:t xml:space="preserve"> </w:t>
      </w:r>
      <w:r>
        <w:t xml:space="preserve">(López-Rodríguez et al. 2026)</w:t>
      </w:r>
      <w:r>
        <w:t xml:space="preserve">. Another study evaluating esketamine’s efficacy in patients with a history of failed ECT found that while prior ECT exposure did not enhance treatment response, a significant proportion of these patients still achieved remission</w:t>
      </w:r>
      <w:r>
        <w:t xml:space="preserve"> </w:t>
      </w:r>
      <w:r>
        <w:t xml:space="preserve">(Kavakbasi et al. 2025)</w:t>
      </w:r>
      <w:r>
        <w:t xml:space="preserve">.</w:t>
      </w:r>
    </w:p>
    <w:bookmarkEnd w:id="20"/>
    <w:bookmarkStart w:id="21" w:name="ect-and-rtms-combinations"/>
    <w:p>
      <w:pPr>
        <w:pStyle w:val="Heading3"/>
      </w:pPr>
      <w:r>
        <w:t xml:space="preserve">ECT and rTMS Combinations</w:t>
      </w:r>
    </w:p>
    <w:p>
      <w:pPr>
        <w:pStyle w:val="FirstParagraph"/>
      </w:pPr>
      <w:r>
        <w:t xml:space="preserve">The limited efficacy of combined ECT and ketamine may be attributed to their shared mechanism of abruptly opening a metaplastic window. Since rTMS utilizes slightly different pathways, it would less likely to impede the therapeutic effects of ECT. While ECT induces structural neuroplasticity across the larger brain area, rTMS promotes circuit-level reorganization without macroscopic structural changes</w:t>
      </w:r>
      <w:r>
        <w:t xml:space="preserve"> </w:t>
      </w:r>
      <w:r>
        <w:t xml:space="preserve">(Xie et al. 2023)</w:t>
      </w:r>
      <w:r>
        <w:t xml:space="preserve">. These are complementary processes operating at different scales of neural organization.</w:t>
      </w:r>
    </w:p>
    <w:p>
      <w:pPr>
        <w:pStyle w:val="BodyText"/>
      </w:pPr>
      <w:r>
        <w:t xml:space="preserve">rTMS can serve as a priming intervention for ECT. For instance, a randomized, sham-controlled trial found that five sessions of left-DLPFC rTMS prior to ECT improved early clinical response</w:t>
      </w:r>
      <w:r>
        <w:t xml:space="preserve"> </w:t>
      </w:r>
      <w:r>
        <w:t xml:space="preserve">(Rothärmel et al. 2023)</w:t>
      </w:r>
      <w:r>
        <w:t xml:space="preserve">. However, the specific frequency used appears to be critical. Hansen et al. found that adding low-frequency (1 Hz) right prefrontal rTMS to ECT showed a trend toward worse outcomes, perhaps because the suppression of cortical excitability counteracts the activation effect of ECT</w:t>
      </w:r>
      <w:r>
        <w:t xml:space="preserve"> </w:t>
      </w:r>
      <w:r>
        <w:t xml:space="preserve">(Hansen et al. 2011)</w:t>
      </w:r>
      <w:r>
        <w:t xml:space="preserve">. Conversely, high-frequency rTMS may provide a synergistic or protective effect; a recent retrospective study (N=116) found that combining ECT with high-frequency rTMS preserved cognitive function while maintaining equivalent efficacy, whereas the ECT-only group showed significant cognitive decline</w:t>
      </w:r>
      <w:r>
        <w:t xml:space="preserve"> </w:t>
      </w:r>
      <w:r>
        <w:t xml:space="preserve">(Faran, Bergman, and Klonover 2024)</w:t>
      </w:r>
      <w:r>
        <w:t xml:space="preserve">.</w:t>
      </w:r>
    </w:p>
    <w:p>
      <w:pPr>
        <w:pStyle w:val="BodyText"/>
      </w:pPr>
      <w:r>
        <w:t xml:space="preserve">According to the Disruption-Metaplasticity-Stabilization (DMS) hypothesis, initiating global disruption via ECT followed by refined neural reorganization via rTMS may offer advantages in both efficacy and safety over repetitive ECT. In clinical practice, rTMS is increasingly utilized as a less invasive maintenance strategy following an acute ECT course. Noda et al. followed six TRD patients who transitioned to sequential bilateral rTMS after responding to ECT; five maintained their response for 6–13 months</w:t>
      </w:r>
      <w:r>
        <w:t xml:space="preserve"> </w:t>
      </w:r>
      <w:r>
        <w:t xml:space="preserve">(Noda et al. 2013)</w:t>
      </w:r>
      <w:r>
        <w:t xml:space="preserve">. Similarly, Cristancho et al. reported that 67% of patients transitioned from maintenance ECT to rTMS remained stable for 7–23 months, a relapse rate that compares favorably to historical data for continuation ECT alone</w:t>
      </w:r>
      <w:r>
        <w:t xml:space="preserve"> </w:t>
      </w:r>
      <w:r>
        <w:t xml:space="preserve">(Cristancho et al. 2013)</w:t>
      </w:r>
      <w:r>
        <w:t xml:space="preserve">.</w:t>
      </w:r>
    </w:p>
    <w:p>
      <w:pPr>
        <w:pStyle w:val="BodyText"/>
      </w:pPr>
      <w:r>
        <w:t xml:space="preserve">While current evidence is hardly sufficient to substantiate the hypothesis that rTMS steers a system escaping a pathological attractor toward a healthy state through targeted rewiring, it remains a promising strategy to combine rTMS after ECT. Operating at a different scale of neural organization, rTMS holds the potential to prime networks prior to ECT, provide complementary neuroplastic modulation, and stabilize the reorganized state without the cumulative burden of repeated ECT.</w:t>
      </w:r>
    </w:p>
    <w:bookmarkEnd w:id="21"/>
    <w:bookmarkStart w:id="22" w:name="rtms-and-ssri-combinations"/>
    <w:p>
      <w:pPr>
        <w:pStyle w:val="Heading3"/>
      </w:pPr>
      <w:r>
        <w:t xml:space="preserve">rTMS and SSRI Combinations</w:t>
      </w:r>
    </w:p>
    <w:p>
      <w:pPr>
        <w:pStyle w:val="FirstParagraph"/>
      </w:pPr>
      <w:r>
        <w:t xml:space="preserve">Among all combination therapies reviewed here, neuromodulation paired with serotonergic antidepressants provides the most robust evidence. Interestingly, a recent meta-analysis of 14 RCTs revealed that SSRIs significantly improve rTMS outcomes, whereas SNRIs do not</w:t>
      </w:r>
      <w:r>
        <w:t xml:space="preserve"> </w:t>
      </w:r>
      <w:r>
        <w:t xml:space="preserve">(Zaidi et al. 2024)</w:t>
      </w:r>
      <w:r>
        <w:t xml:space="preserve">. Both classes increase synaptic serotonin, but SNRIs also increase norepinephrine, which raises cortical excitability. While increasing norepinephrine before rTMS with stimulants has been shown to enhance its effects</w:t>
      </w:r>
      <w:r>
        <w:t xml:space="preserve"> </w:t>
      </w:r>
      <w:r>
        <w:t xml:space="preserve">(Paulus et al. 2008; Hunter et al. 2019; Wilke et al. 2022)</w:t>
      </w:r>
      <w:r>
        <w:t xml:space="preserve">, the finding that adding SNRIs after rTMS provides little benefit is counterintuitive. However, this may be explained by the hypothesis that increased cortical excitability is necessary only for the initial disruption phase, while suppression of excitability may be more beneficial during the subsequent metaplasticity-rewiring phase.</w:t>
      </w:r>
    </w:p>
    <w:p>
      <w:pPr>
        <w:pStyle w:val="BodyText"/>
      </w:pPr>
      <w:r>
        <w:t xml:space="preserve">Additional meta-analytic evidence reinforces the combination’s efficacy. Active rTMS concurrent with antidepressants consistently outperforms sham rTMS with the same medications</w:t>
      </w:r>
      <w:r>
        <w:t xml:space="preserve"> </w:t>
      </w:r>
      <w:r>
        <w:t xml:space="preserve">(Rakesh et al. 2024)</w:t>
      </w:r>
      <w:r>
        <w:t xml:space="preserve">.</w:t>
      </w:r>
    </w:p>
    <w:p>
      <w:pPr>
        <w:pStyle w:val="BodyText"/>
      </w:pPr>
      <w:r>
        <w:t xml:space="preserve">The ASCERTAIN-TRD study extends these findings to treatment-resistant populations. Papakostas et al.</w:t>
      </w:r>
      <w:r>
        <w:t xml:space="preserve"> </w:t>
      </w:r>
      <w:r>
        <w:t xml:space="preserve">(Papakostas et al. 2024)</w:t>
      </w:r>
      <w:r>
        <w:t xml:space="preserve"> </w:t>
      </w:r>
      <w:r>
        <w:t xml:space="preserve">compared three augmentation strategies in patients who had failed at least two antidepressant trials: rTMS augmentation, aripiprazole augmentation, and medication switch. In this large multicenter trial (N=278), rTMS augmentation outperformed both aripiprazole augmentation and medication switch in terms of MADRS change and response rates.</w:t>
      </w:r>
    </w:p>
    <w:p>
      <w:pPr>
        <w:pStyle w:val="BodyText"/>
      </w:pPr>
      <w:r>
        <w:t xml:space="preserve">The synergy between SSRIs and rTMS likely arises from convergent yet non-redundant neuroplastic pathways. SSRIs modulate synaptic plasticity by altering global neuromodulatory tone—a</w:t>
      </w:r>
      <w:r>
        <w:t xml:space="preserve"> </w:t>
      </w:r>
      <w:r>
        <w:t xml:space="preserve">“bottom-up”</w:t>
      </w:r>
      <w:r>
        <w:t xml:space="preserve"> </w:t>
      </w:r>
      <w:r>
        <w:t xml:space="preserve">process—whereas rTMS facilitates long-term potentiation (LTP) within hippocampal circuits via targeted DLPFC stimulation, representing a</w:t>
      </w:r>
      <w:r>
        <w:t xml:space="preserve"> </w:t>
      </w:r>
      <w:r>
        <w:t xml:space="preserve">“top-down”</w:t>
      </w:r>
      <w:r>
        <w:t xml:space="preserve"> </w:t>
      </w:r>
      <w:r>
        <w:t xml:space="preserve">enhancement of prefrontal-limbic regulation. While both modalities converge on neuroplastic mechanisms, their distinct anatomical targets and temporal dynamics may provide a complementary framework for clinical recovery.</w:t>
      </w:r>
    </w:p>
    <w:bookmarkEnd w:id="22"/>
    <w:bookmarkStart w:id="23" w:name="rtms-and-ketamine-combinations"/>
    <w:p>
      <w:pPr>
        <w:pStyle w:val="Heading3"/>
      </w:pPr>
      <w:r>
        <w:t xml:space="preserve">rTMS and Ketamine Combinations</w:t>
      </w:r>
    </w:p>
    <w:p>
      <w:pPr>
        <w:pStyle w:val="FirstParagraph"/>
      </w:pPr>
      <w:r>
        <w:t xml:space="preserve">The combination of rTMS and ketamine is theoretically compelling, though the empirical evidence is scant. Both modalities share a common molecular cascade, upregulating BDNF, activating the mTOR pathway, and potentiating AMPA-mediated glutamatergic transmission. Dębowska et al.</w:t>
      </w:r>
      <w:r>
        <w:t xml:space="preserve">(Dębowska et al. 2023)</w:t>
      </w:r>
      <w:r>
        <w:t xml:space="preserve"> </w:t>
      </w:r>
      <w:r>
        <w:t xml:space="preserve">elucidated a potential mechanism of action underlying combined treatment. Ketamine facilitates widespread neurochemical enhancements through increased glutaminergic and dopaminergic transmission and elevated BDNF expression, while rTMS delivers specific modulation to targeted brain structures such as the dlPFC and limbic regions, thereby working together to normalize functional connectivity and restore the balance disrupted by depressive disorders. Notably, while the ECT-ketamine pairing is complicated by NMDA antagonism potentially interfering with seizure-induced plasticity, the rTMS-ketamine combination does not have such a problem.</w:t>
      </w:r>
    </w:p>
    <w:p>
      <w:pPr>
        <w:pStyle w:val="BodyText"/>
      </w:pPr>
      <w:r>
        <w:t xml:space="preserve">Arubuolawe et al.</w:t>
      </w:r>
      <w:r>
        <w:t xml:space="preserve"> </w:t>
      </w:r>
      <w:r>
        <w:t xml:space="preserve">(Arubuolawe et al. 2024)</w:t>
      </w:r>
      <w:r>
        <w:t xml:space="preserve"> </w:t>
      </w:r>
      <w:r>
        <w:t xml:space="preserve">synthesized the sparse available evidence, concluding tentatively that the rTMS-ketamine combination yields superior improvements in TRD compared to monotherapy. However, Shanok et al.</w:t>
      </w:r>
      <w:r>
        <w:t xml:space="preserve">(Shanok et al. 2024)</w:t>
      </w:r>
      <w:r>
        <w:t xml:space="preserve"> </w:t>
      </w:r>
      <w:r>
        <w:t xml:space="preserve">compared rTMS plus IV ketamine (N=66) against TMS alone (N=169) and found no significant differences in symptom reduction or response rates. The lack of standardized protocols, such as timing, dosage, and delivery method (IV ketamine vs. intranasal esketamine), currently precludes an objective comparison.</w:t>
      </w:r>
    </w:p>
    <w:p>
      <w:pPr>
        <w:pStyle w:val="BodyText"/>
      </w:pPr>
      <w:r>
        <w:t xml:space="preserve">Psilocybin with rTMS combination might be a logical extension of these strategies. An ongoing clinical trial (NCT06132178) is currently investigating this combination, leveraging the finding that psychedelics can reopen critical period plasticity</w:t>
      </w:r>
      <w:r>
        <w:t xml:space="preserve"> </w:t>
      </w:r>
      <w:r>
        <w:t xml:space="preserve">(Nardou et al. 2023)</w:t>
      </w:r>
      <w:r>
        <w:t xml:space="preserve">. This framework maps directly onto the DMS hypothesis: psilocybin reopens the metaplasticity window, and rTMS provides the spatially targeted input required for the rewiring phase. Delivering rTMS within this window may facilitate consolidation effects that are typically difficult to achieve under the constraints of mature adult plasticity.</w:t>
      </w:r>
    </w:p>
    <w:bookmarkEnd w:id="23"/>
    <w:bookmarkStart w:id="24" w:name="psychedelics-and-ssri-combinations"/>
    <w:p>
      <w:pPr>
        <w:pStyle w:val="Heading3"/>
      </w:pPr>
      <w:r>
        <w:t xml:space="preserve">Psychedelics and SSRI Combinations</w:t>
      </w:r>
    </w:p>
    <w:p>
      <w:pPr>
        <w:pStyle w:val="FirstParagraph"/>
      </w:pPr>
      <w:r>
        <w:t xml:space="preserve">Theoretically, the interaction between psychedelics and SSRIs is often viewed as antagonistic; while both increase serotonergic tone, chronic SSRI administration typically leads to 5-HT₂ₐ receptor downregulation, which could dampen the therapeutic effects of psychedelics. Consequently, a sequential approach, in which psychedelic treatment is followed by SSRI maintenance might be more advantageous than concurrent administration.</w:t>
      </w:r>
    </w:p>
    <w:p>
      <w:pPr>
        <w:pStyle w:val="BodyText"/>
      </w:pPr>
      <w:r>
        <w:t xml:space="preserve">In this context, the combination of esketamine nasal spray and oral antidepressants is already approved by FDA as a treatment strategy for TRD. In a pivotal randomized controlled trial of 227 TRD patients, the addition of esketamine to a newly initiated oral antidepressant resulted in a 4.0-point greater reduction in MADRS scores compared to placebo spray</w:t>
      </w:r>
      <w:r>
        <w:t xml:space="preserve"> </w:t>
      </w:r>
      <w:r>
        <w:t xml:space="preserve">(Popova et al. 2019)</w:t>
      </w:r>
      <w:r>
        <w:t xml:space="preserve">. The ESCAPE-TRD study</w:t>
      </w:r>
      <w:r>
        <w:t xml:space="preserve"> </w:t>
      </w:r>
      <w:r>
        <w:t xml:space="preserve">(Reif et al. 2023)</w:t>
      </w:r>
      <w:r>
        <w:t xml:space="preserve"> </w:t>
      </w:r>
      <w:r>
        <w:t xml:space="preserve">further validated this approach in a larger cohort (N=676), demonstrating that simultaneously initiating esketamine with an SSRI/SNRI was significantly superior to quetiapine XR + SSRI/SNRI augmentation.</w:t>
      </w:r>
    </w:p>
    <w:p>
      <w:pPr>
        <w:pStyle w:val="BodyText"/>
      </w:pPr>
      <w:r>
        <w:t xml:space="preserve">Emerging evidence regarding psilocybin likewise challenges the assumption that SSRIs necessarily block psychedelic efficacy. In an open-label study involving 19 TRD patients who maintained their stable SSRI regimens, a single 25 mg dose of psilocybin led to a mean MADRS reduction of 14.9 points at week three, with both response and remission rates reaching 42.1%</w:t>
      </w:r>
      <w:r>
        <w:t xml:space="preserve"> </w:t>
      </w:r>
      <w:r>
        <w:t xml:space="preserve">(Goodwin et al. 2022)</w:t>
      </w:r>
      <w:r>
        <w:t xml:space="preserve">.</w:t>
      </w:r>
      <w:r>
        <w:t xml:space="preserve"> </w:t>
      </w:r>
      <w:r>
        <w:t xml:space="preserve">On the contrary, an intriguing finding from a post-hoc RCT analysis indicates that SSRI/SNRI discontinuation prior to psilocybin therapy was associated with reduced rather than enhanced treatment effects compared with unmedicated patients</w:t>
      </w:r>
      <w:r>
        <w:t xml:space="preserve"> </w:t>
      </w:r>
      <w:r>
        <w:t xml:space="preserve">(Erritzoe et al. 2024)</w:t>
      </w:r>
      <w:r>
        <w:t xml:space="preserve">. While withdrawal-induced relapse may confound baseline severity, making it difficult to draw definitive conclusions, the observation that maintaining rather than discontinuing SSRIs/SNRIs yields better outcomes suggests a potential synergistic effect between the two treatments.</w:t>
      </w:r>
    </w:p>
    <w:bookmarkEnd w:id="24"/>
    <w:bookmarkStart w:id="85" w:name="interpreting-the-evidence"/>
    <w:p>
      <w:pPr>
        <w:pStyle w:val="Heading3"/>
      </w:pPr>
      <w:r>
        <w:t xml:space="preserve">Interpreting the Evidence</w:t>
      </w:r>
    </w:p>
    <w:tbl>
      <w:tblPr>
        <w:tblStyle w:val="Table"/>
        <w:tblW w:type="pct" w:w="5000"/>
        <w:tblLayout w:type="fixed"/>
        <w:tblLook w:firstRow="0" w:lastRow="0" w:firstColumn="0" w:lastColumn="0" w:noHBand="0" w:noVBand="0" w:val="0000"/>
      </w:tblPr>
      <w:tblGrid>
        <w:gridCol w:w="7920"/>
      </w:tblGrid>
      <w:tr>
        <w:tc>
          <w:tcPr/>
          <w:bookmarkStart w:id="25" w:name="tbl-modalities"/>
          <w:p>
            <w:pPr>
              <w:jc w:val="center"/>
            </w:pPr>
            <w:pPr>
              <w:jc w:val="left"/>
              <w:spacing w:before="200"/>
              <w:pStyle w:val="ImageCaption"/>
            </w:pPr>
            <w:r>
              <w:t xml:space="preserve">Table 1: Different treatment modalities occupy different positions on these dimensions</w:t>
            </w:r>
          </w:p>
          <w:tbl>
            <w:tblPr>
              <w:tblStyle w:val="Table"/>
              <w:tblW w:type="pct" w:w="5000"/>
              <w:tblLayout w:type="fixed"/>
              <w:tblLook w:firstRow="1" w:lastRow="0" w:firstColumn="0" w:lastColumn="0" w:noHBand="0" w:noVBand="0" w:val="0020"/>
            </w:tblPr>
            <w:tblGrid>
              <w:gridCol w:w="1089"/>
              <w:gridCol w:w="1188"/>
              <w:gridCol w:w="2079"/>
              <w:gridCol w:w="2079"/>
              <w:gridCol w:w="1485"/>
            </w:tblGrid>
            <w:tr>
              <w:trPr>
                <w:tblHeader w:val="on"/>
              </w:trPr>
              <w:tc>
                <w:tcPr/>
                <w:p>
                  <w:pPr>
                    <w:pStyle w:val="Compact"/>
                    <w:jc w:val="center"/>
                  </w:pPr>
                  <w:r>
                    <w:t xml:space="preserve">Treatment</w:t>
                  </w:r>
                </w:p>
              </w:tc>
              <w:tc>
                <w:tcPr/>
                <w:p>
                  <w:pPr>
                    <w:pStyle w:val="Compact"/>
                    <w:jc w:val="center"/>
                  </w:pPr>
                  <w:r>
                    <w:t xml:space="preserve">Disruption</w:t>
                  </w:r>
                </w:p>
              </w:tc>
              <w:tc>
                <w:tcPr/>
                <w:p>
                  <w:pPr>
                    <w:pStyle w:val="Compact"/>
                    <w:jc w:val="center"/>
                  </w:pPr>
                  <w:r>
                    <w:t xml:space="preserve">Plasticity Duration</w:t>
                  </w:r>
                </w:p>
              </w:tc>
              <w:tc>
                <w:tcPr/>
                <w:p>
                  <w:pPr>
                    <w:pStyle w:val="Compact"/>
                    <w:jc w:val="center"/>
                  </w:pPr>
                  <w:r>
                    <w:t xml:space="preserve">Guidance Specificity</w:t>
                  </w:r>
                </w:p>
              </w:tc>
              <w:tc>
                <w:tcPr/>
                <w:p>
                  <w:pPr>
                    <w:pStyle w:val="Compact"/>
                    <w:jc w:val="center"/>
                  </w:pPr>
                  <w:r>
                    <w:t xml:space="preserve">Stabilization</w:t>
                  </w:r>
                </w:p>
              </w:tc>
            </w:tr>
            <w:tr>
              <w:tc>
                <w:tcPr/>
                <w:p>
                  <w:pPr>
                    <w:pStyle w:val="Compact"/>
                    <w:jc w:val="center"/>
                  </w:pPr>
                  <w:r>
                    <w:t xml:space="preserve">ECT</w:t>
                  </w:r>
                </w:p>
              </w:tc>
              <w:tc>
                <w:tcPr/>
                <w:p>
                  <w:pPr>
                    <w:pStyle w:val="Compact"/>
                    <w:jc w:val="center"/>
                  </w:pPr>
                  <w:r>
                    <w:t xml:space="preserve">Very High</w:t>
                  </w:r>
                </w:p>
              </w:tc>
              <w:tc>
                <w:tcPr/>
                <w:p>
                  <w:pPr>
                    <w:pStyle w:val="Compact"/>
                    <w:jc w:val="center"/>
                  </w:pPr>
                  <w:r>
                    <w:t xml:space="preserve">Days-Weeks</w:t>
                  </w:r>
                </w:p>
              </w:tc>
              <w:tc>
                <w:tcPr/>
                <w:p>
                  <w:pPr>
                    <w:pStyle w:val="Compact"/>
                    <w:jc w:val="center"/>
                  </w:pPr>
                  <w:r>
                    <w:t xml:space="preserve">Low</w:t>
                  </w:r>
                </w:p>
              </w:tc>
              <w:tc>
                <w:tcPr/>
                <w:p>
                  <w:pPr>
                    <w:pStyle w:val="Compact"/>
                    <w:jc w:val="center"/>
                  </w:pPr>
                  <w:r>
                    <w:t xml:space="preserve">Low</w:t>
                  </w:r>
                </w:p>
              </w:tc>
            </w:tr>
            <w:tr>
              <w:tc>
                <w:tcPr/>
                <w:p>
                  <w:pPr>
                    <w:pStyle w:val="Compact"/>
                    <w:jc w:val="center"/>
                  </w:pPr>
                  <w:r>
                    <w:t xml:space="preserve">Ketamine</w:t>
                  </w:r>
                </w:p>
              </w:tc>
              <w:tc>
                <w:tcPr/>
                <w:p>
                  <w:pPr>
                    <w:pStyle w:val="Compact"/>
                    <w:jc w:val="center"/>
                  </w:pPr>
                  <w:r>
                    <w:t xml:space="preserve">High</w:t>
                  </w:r>
                </w:p>
              </w:tc>
              <w:tc>
                <w:tcPr/>
                <w:p>
                  <w:pPr>
                    <w:pStyle w:val="Compact"/>
                    <w:jc w:val="center"/>
                  </w:pPr>
                  <w:r>
                    <w:t xml:space="preserve">Hours-Days</w:t>
                  </w:r>
                </w:p>
              </w:tc>
              <w:tc>
                <w:tcPr/>
                <w:p>
                  <w:pPr>
                    <w:pStyle w:val="Compact"/>
                    <w:jc w:val="center"/>
                  </w:pPr>
                  <w:r>
                    <w:t xml:space="preserve">Low</w:t>
                  </w:r>
                </w:p>
              </w:tc>
              <w:tc>
                <w:tcPr/>
                <w:p>
                  <w:pPr>
                    <w:pStyle w:val="Compact"/>
                    <w:jc w:val="center"/>
                  </w:pPr>
                  <w:r>
                    <w:t xml:space="preserve">Low</w:t>
                  </w:r>
                </w:p>
              </w:tc>
            </w:tr>
            <w:tr>
              <w:tc>
                <w:tcPr/>
                <w:p>
                  <w:pPr>
                    <w:pStyle w:val="Compact"/>
                    <w:jc w:val="center"/>
                  </w:pPr>
                  <w:r>
                    <w:t xml:space="preserve">Psilocybin</w:t>
                  </w:r>
                </w:p>
              </w:tc>
              <w:tc>
                <w:tcPr/>
                <w:p>
                  <w:pPr>
                    <w:pStyle w:val="Compact"/>
                    <w:jc w:val="center"/>
                  </w:pPr>
                  <w:r>
                    <w:t xml:space="preserve">High</w:t>
                  </w:r>
                </w:p>
              </w:tc>
              <w:tc>
                <w:tcPr/>
                <w:p>
                  <w:pPr>
                    <w:pStyle w:val="Compact"/>
                    <w:jc w:val="center"/>
                  </w:pPr>
                  <w:r>
                    <w:t xml:space="preserve">Hours-Weeks</w:t>
                  </w:r>
                </w:p>
              </w:tc>
              <w:tc>
                <w:tcPr/>
                <w:p>
                  <w:pPr>
                    <w:pStyle w:val="Compact"/>
                    <w:jc w:val="center"/>
                  </w:pPr>
                  <w:r>
                    <w:t xml:space="preserve">Low (without therapy)</w:t>
                  </w:r>
                </w:p>
              </w:tc>
              <w:tc>
                <w:tcPr/>
                <w:p>
                  <w:pPr>
                    <w:pStyle w:val="Compact"/>
                    <w:jc w:val="center"/>
                  </w:pPr>
                  <w:r>
                    <w:t xml:space="preserve">Low</w:t>
                  </w:r>
                </w:p>
              </w:tc>
            </w:tr>
            <w:tr>
              <w:tc>
                <w:tcPr/>
                <w:p>
                  <w:pPr>
                    <w:pStyle w:val="Compact"/>
                    <w:jc w:val="center"/>
                  </w:pPr>
                  <w:r>
                    <w:t xml:space="preserve">rTMS</w:t>
                  </w:r>
                </w:p>
              </w:tc>
              <w:tc>
                <w:tcPr/>
                <w:p>
                  <w:pPr>
                    <w:pStyle w:val="Compact"/>
                    <w:jc w:val="center"/>
                  </w:pPr>
                  <w:r>
                    <w:t xml:space="preserve">Moderate</w:t>
                  </w:r>
                </w:p>
              </w:tc>
              <w:tc>
                <w:tcPr/>
                <w:p>
                  <w:pPr>
                    <w:pStyle w:val="Compact"/>
                    <w:jc w:val="center"/>
                  </w:pPr>
                  <w:r>
                    <w:t xml:space="preserve">Days</w:t>
                  </w:r>
                </w:p>
              </w:tc>
              <w:tc>
                <w:tcPr/>
                <w:p>
                  <w:pPr>
                    <w:pStyle w:val="Compact"/>
                    <w:jc w:val="center"/>
                  </w:pPr>
                  <w:r>
                    <w:t xml:space="preserve">Moderate</w:t>
                  </w:r>
                </w:p>
              </w:tc>
              <w:tc>
                <w:tcPr/>
                <w:p>
                  <w:pPr>
                    <w:pStyle w:val="Compact"/>
                    <w:jc w:val="center"/>
                  </w:pPr>
                  <w:r>
                    <w:t xml:space="preserve">Low</w:t>
                  </w:r>
                </w:p>
              </w:tc>
            </w:tr>
            <w:tr>
              <w:tc>
                <w:tcPr/>
                <w:p>
                  <w:pPr>
                    <w:pStyle w:val="Compact"/>
                    <w:jc w:val="center"/>
                  </w:pPr>
                  <w:r>
                    <w:t xml:space="preserve">tDCS</w:t>
                  </w:r>
                </w:p>
              </w:tc>
              <w:tc>
                <w:tcPr/>
                <w:p>
                  <w:pPr>
                    <w:pStyle w:val="Compact"/>
                    <w:jc w:val="center"/>
                  </w:pPr>
                  <w:r>
                    <w:t xml:space="preserve">Low</w:t>
                  </w:r>
                </w:p>
              </w:tc>
              <w:tc>
                <w:tcPr/>
                <w:p>
                  <w:pPr>
                    <w:pStyle w:val="Compact"/>
                    <w:jc w:val="center"/>
                  </w:pPr>
                  <w:r>
                    <w:t xml:space="preserve">Hours</w:t>
                  </w:r>
                </w:p>
              </w:tc>
              <w:tc>
                <w:tcPr/>
                <w:p>
                  <w:pPr>
                    <w:pStyle w:val="Compact"/>
                    <w:jc w:val="center"/>
                  </w:pPr>
                  <w:r>
                    <w:t xml:space="preserve">Moderate</w:t>
                  </w:r>
                </w:p>
              </w:tc>
              <w:tc>
                <w:tcPr/>
                <w:p>
                  <w:pPr>
                    <w:pStyle w:val="Compact"/>
                    <w:jc w:val="center"/>
                  </w:pPr>
                  <w:r>
                    <w:t xml:space="preserve">Low</w:t>
                  </w:r>
                </w:p>
              </w:tc>
            </w:tr>
            <w:tr>
              <w:tc>
                <w:tcPr/>
                <w:p>
                  <w:pPr>
                    <w:pStyle w:val="Compact"/>
                    <w:jc w:val="center"/>
                  </w:pPr>
                  <w:r>
                    <w:t xml:space="preserve">SSRIs</w:t>
                  </w:r>
                </w:p>
              </w:tc>
              <w:tc>
                <w:tcPr/>
                <w:p>
                  <w:pPr>
                    <w:pStyle w:val="Compact"/>
                    <w:jc w:val="center"/>
                  </w:pPr>
                  <w:r>
                    <w:t xml:space="preserve">Low</w:t>
                  </w:r>
                </w:p>
              </w:tc>
              <w:tc>
                <w:tcPr/>
                <w:p>
                  <w:pPr>
                    <w:pStyle w:val="Compact"/>
                    <w:jc w:val="center"/>
                  </w:pPr>
                  <w:r>
                    <w:t xml:space="preserve">Weeks-Months</w:t>
                  </w:r>
                </w:p>
              </w:tc>
              <w:tc>
                <w:tcPr/>
                <w:p>
                  <w:pPr>
                    <w:pStyle w:val="Compact"/>
                    <w:jc w:val="center"/>
                  </w:pPr>
                  <w:r>
                    <w:t xml:space="preserve">Moderate</w:t>
                  </w:r>
                </w:p>
              </w:tc>
              <w:tc>
                <w:tcPr/>
                <w:p>
                  <w:pPr>
                    <w:pStyle w:val="Compact"/>
                    <w:jc w:val="center"/>
                  </w:pPr>
                  <w:r>
                    <w:t xml:space="preserve">High</w:t>
                  </w:r>
                </w:p>
              </w:tc>
            </w:tr>
            <w:tr>
              <w:tc>
                <w:tcPr/>
                <w:p>
                  <w:pPr>
                    <w:pStyle w:val="Compact"/>
                    <w:jc w:val="center"/>
                  </w:pPr>
                  <w:r>
                    <w:t xml:space="preserve">Psychotherapy</w:t>
                  </w:r>
                </w:p>
              </w:tc>
              <w:tc>
                <w:tcPr/>
                <w:p>
                  <w:pPr>
                    <w:pStyle w:val="Compact"/>
                    <w:jc w:val="center"/>
                  </w:pPr>
                  <w:r>
                    <w:t xml:space="preserve">Low</w:t>
                  </w:r>
                </w:p>
              </w:tc>
              <w:tc>
                <w:tcPr/>
                <w:p>
                  <w:pPr>
                    <w:pStyle w:val="Compact"/>
                    <w:jc w:val="center"/>
                  </w:pPr>
                  <w:r>
                    <w:t xml:space="preserve">Variable</w:t>
                  </w:r>
                </w:p>
              </w:tc>
              <w:tc>
                <w:tcPr/>
                <w:p>
                  <w:pPr>
                    <w:pStyle w:val="Compact"/>
                    <w:jc w:val="center"/>
                  </w:pPr>
                  <w:r>
                    <w:t xml:space="preserve">Very High</w:t>
                  </w:r>
                </w:p>
              </w:tc>
              <w:tc>
                <w:tcPr/>
                <w:p>
                  <w:pPr>
                    <w:pStyle w:val="Compact"/>
                    <w:jc w:val="center"/>
                  </w:pPr>
                  <w:r>
                    <w:t xml:space="preserve">Moderate</w:t>
                  </w:r>
                </w:p>
              </w:tc>
            </w:tr>
          </w:tbl>
          <w:bookmarkEnd w:id="25"/>
          <w:p/>
        </w:tc>
      </w:tr>
    </w:tbl>
    <w:p>
      <w:pPr>
        <w:pStyle w:val="BodyText"/>
      </w:pPr>
      <w:r>
        <w:t xml:space="preserve">The rationale underlying these combination therapies has rested on a very simple assumption: if two interventions individually promote neuroplasticity and produce therapeutic effects, their combination should yield additive or synergistic benefits. However, the results of clinical studies reveal that this assumption is rather inadequate. The failure of ketamine as an ECT anesthetic exemplifies how mechanistic overlap can produce redundancy or interference rather than synergy. Integrating these seemingly disparate findings demands more sophisticated theoretical frameworks that account for the temporal dynamics, directional specificity, and stabilization requirements of neural reorganization.</w:t>
      </w:r>
    </w:p>
    <w:p>
      <w:pPr>
        <w:pStyle w:val="BodyText"/>
      </w:pPr>
      <w:r>
        <w:t xml:space="preserve">The DMR framework offers one such framework, proposing that effective intervention requires sequential or concurrent operations: destabilizing pathological network configurations, opening windows of enhanced plasticity, and providing directed input to guide adaptive reorganization. This framework explains why ECT without continuation pharmacotherapy yields higher relapse rates and why the PRIDE study’s success with early SSRI initiation with ECT diverges so sharply from ketamine-ECT combination failures. The critical insight is that disruption alone proves insufficient without subsequent guidance toward adaptive configurations.</w:t>
      </w:r>
    </w:p>
    <w:p>
      <w:pPr>
        <w:pStyle w:val="BodyText"/>
      </w:pPr>
      <w:r>
        <w:t xml:space="preserve">An alternative</w:t>
      </w:r>
      <w:r>
        <w:t xml:space="preserve"> </w:t>
      </w:r>
      <w:r>
        <w:t xml:space="preserve">“Scaffold and Stabilize”</w:t>
      </w:r>
      <w:r>
        <w:t xml:space="preserve"> </w:t>
      </w:r>
      <w:r>
        <w:t xml:space="preserve">framework accentuates the activity-dependent rewiring of neural circuits during the metaplastic window. This phase can consolidate either adaptive or maladaptive patterns depending on dominant inputs during the plastic period. From this perspective, SSRIs combined with rTMS or ECT do not merely add plasticity but rather bias its directionality by providing sustained serotonergic tone. Similarly, esketamine’s requirement for oral antidepressant reflects the need for sustained directional input to stabilize acute therapeutic effects before the metaplasticity window closes. In attractor dynamics terms, effective combinations must both flatten the energy landscape and simultaneously tilt it toward adaptive configurations. ECT and ketamine excel at flattening but provide no inherent directional bias, while SSRIs and psychotherapy serve as tilting interventions that probabilistically guide settling into healthier basins.</w:t>
      </w:r>
    </w:p>
    <w:p>
      <w:pPr>
        <w:pStyle w:val="BodyText"/>
      </w:pPr>
      <w:r>
        <w:t xml:space="preserve">These perspectives provide heuristic guideline that can optimize combination therapy. Effective combination requires calibrated alignment between disruption intensity, plasticity window duration, and stabilization strength. High-disruption interventions like ECT and ketamine open profound but temporally limited windows while providing minimal directional guidance. SSRIs and psychotherapy offer sustained, specific guidance but limited destabilization of entrenched pathological states. Optimal combinations therefore pair high-disruption/low-guidance interventions with sustained-guidance/high-stabilization approaches, ensuring systems are sufficiently destabilized to escape pathological attractors while directional input biases reorganization toward adaptive configurations and consolidation mechanisms preserve gains before plasticity windows close. This framework explains both the successes and failures across the combination therapy literature while providing principled guidance for future protocol development.</w:t>
      </w:r>
    </w:p>
    <w:bookmarkStart w:id="84" w:name="refs"/>
    <w:bookmarkStart w:id="27" w:name="ref-Anderson2017"/>
    <w:p>
      <w:pPr>
        <w:pStyle w:val="Bibliography"/>
      </w:pPr>
      <w:r>
        <w:t xml:space="preserve">Anderson, Ian M, Andrew Blamire, Tim Branton, Ross Clark, Darragh Downey, Graham Dunn, Andrew Easton, et al. 2017.</w:t>
      </w:r>
      <w:r>
        <w:t xml:space="preserve"> </w:t>
      </w:r>
      <w:r>
        <w:t xml:space="preserve">“Ketamine Augmentation of Electroconvulsive Therapy to Improve Neuropsychological and Clinical Outcomes in Depression (Ketamine-ECT): A Multicentre, Double-Blind, Randomised, Parallel-Group, Superiority Trial.”</w:t>
      </w:r>
      <w:r>
        <w:t xml:space="preserve"> </w:t>
      </w:r>
      <w:r>
        <w:rPr>
          <w:i/>
          <w:iCs/>
        </w:rPr>
        <w:t xml:space="preserve">The Lancet Psychiatry</w:t>
      </w:r>
      <w:r>
        <w:t xml:space="preserve"> </w:t>
      </w:r>
      <w:r>
        <w:t xml:space="preserve">4 (5): 365–77.</w:t>
      </w:r>
      <w:r>
        <w:t xml:space="preserve"> </w:t>
      </w:r>
      <w:hyperlink r:id="rId26">
        <w:r>
          <w:rPr>
            <w:rStyle w:val="Hyperlink"/>
          </w:rPr>
          <w:t xml:space="preserve">https://doi.org/10.1016/S2215-0366(17)30077-9</w:t>
        </w:r>
      </w:hyperlink>
      <w:r>
        <w:t xml:space="preserve">.</w:t>
      </w:r>
    </w:p>
    <w:bookmarkEnd w:id="27"/>
    <w:bookmarkStart w:id="29" w:name="ref-Arubuolawe2024"/>
    <w:p>
      <w:pPr>
        <w:pStyle w:val="Bibliography"/>
      </w:pPr>
      <w:r>
        <w:t xml:space="preserve">Arubuolawe, Oluwatosin O, Ibrahim L Folorunsho, Adeniyi K Busari, Chidalu Ibeneme, Amarachukwu B Diala, Victory I Afolabi, Nkechinyere M Harry, et al. 2024.</w:t>
      </w:r>
      <w:r>
        <w:t xml:space="preserve"> </w:t>
      </w:r>
      <w:r>
        <w:t xml:space="preserve">“Combination of Transcranial Magnetic Stimulation and Ketamine in Treatment-Resistant Depression: A Systematic Review.”</w:t>
      </w:r>
      <w:r>
        <w:t xml:space="preserve"> </w:t>
      </w:r>
      <w:r>
        <w:rPr>
          <w:i/>
          <w:iCs/>
        </w:rPr>
        <w:t xml:space="preserve">Cureus</w:t>
      </w:r>
      <w:r>
        <w:t xml:space="preserve">.</w:t>
      </w:r>
      <w:r>
        <w:t xml:space="preserve"> </w:t>
      </w:r>
      <w:hyperlink r:id="rId28">
        <w:r>
          <w:rPr>
            <w:rStyle w:val="Hyperlink"/>
          </w:rPr>
          <w:t xml:space="preserve">https://doi.org/10.7759/cureus.64712</w:t>
        </w:r>
      </w:hyperlink>
      <w:r>
        <w:t xml:space="preserve">.</w:t>
      </w:r>
    </w:p>
    <w:bookmarkEnd w:id="29"/>
    <w:bookmarkStart w:id="31" w:name="ref-Best2019"/>
    <w:p>
      <w:pPr>
        <w:pStyle w:val="Bibliography"/>
      </w:pPr>
      <w:r>
        <w:t xml:space="preserve">Best, Steven R. D., Dan G. Pavel, and Natalie Haustrup. 2019.</w:t>
      </w:r>
      <w:r>
        <w:t xml:space="preserve"> </w:t>
      </w:r>
      <w:r>
        <w:t xml:space="preserve">“Combination Therapy with Transcranial Magnetic Stimulation and Ketamine for Treatment-Resistant Depression: A Long-Term Retrospective Review of Clinical Use.”</w:t>
      </w:r>
      <w:r>
        <w:t xml:space="preserve"> </w:t>
      </w:r>
      <w:r>
        <w:rPr>
          <w:i/>
          <w:iCs/>
        </w:rPr>
        <w:t xml:space="preserve">Heliyon</w:t>
      </w:r>
      <w:r>
        <w:t xml:space="preserve"> </w:t>
      </w:r>
      <w:r>
        <w:t xml:space="preserve">5 (8): e02187.</w:t>
      </w:r>
      <w:r>
        <w:t xml:space="preserve"> </w:t>
      </w:r>
      <w:hyperlink r:id="rId30">
        <w:r>
          <w:rPr>
            <w:rStyle w:val="Hyperlink"/>
          </w:rPr>
          <w:t xml:space="preserve">https://doi.org/10.1016/j.heliyon.2019.e02187</w:t>
        </w:r>
      </w:hyperlink>
      <w:r>
        <w:t xml:space="preserve">.</w:t>
      </w:r>
    </w:p>
    <w:bookmarkEnd w:id="31"/>
    <w:bookmarkStart w:id="33" w:name="ref-Brunoni2013"/>
    <w:p>
      <w:pPr>
        <w:pStyle w:val="Bibliography"/>
      </w:pPr>
      <w:r>
        <w:t xml:space="preserve">Brunoni, Andre R., Leandro Valiengo, Alessandra Baccaro, Tamires A. Zanão, Janaina F. de Oliveira, Alessandra Goulart, Paulo S. Boggio, Paulo A. Lotufo, Isabela M. Benseñor, and Felipe Fregni. 2013.</w:t>
      </w:r>
      <w:r>
        <w:t xml:space="preserve"> </w:t>
      </w:r>
      <w:r>
        <w:t xml:space="preserve">“The Sertraline Vs Electrical Current Therapy for Treating Depression Clinical Study.”</w:t>
      </w:r>
      <w:r>
        <w:t xml:space="preserve"> </w:t>
      </w:r>
      <w:r>
        <w:rPr>
          <w:i/>
          <w:iCs/>
        </w:rPr>
        <w:t xml:space="preserve">JAMA Psychiatry</w:t>
      </w:r>
      <w:r>
        <w:t xml:space="preserve"> </w:t>
      </w:r>
      <w:r>
        <w:t xml:space="preserve">70 (4): 383.</w:t>
      </w:r>
      <w:r>
        <w:t xml:space="preserve"> </w:t>
      </w:r>
      <w:hyperlink r:id="rId32">
        <w:r>
          <w:rPr>
            <w:rStyle w:val="Hyperlink"/>
          </w:rPr>
          <w:t xml:space="preserve">https://doi.org/10.1001/2013.jamapsychiatry.32</w:t>
        </w:r>
      </w:hyperlink>
      <w:r>
        <w:t xml:space="preserve">.</w:t>
      </w:r>
    </w:p>
    <w:bookmarkEnd w:id="33"/>
    <w:bookmarkStart w:id="35" w:name="ref-Carspecken2018"/>
    <w:p>
      <w:pPr>
        <w:pStyle w:val="Bibliography"/>
      </w:pPr>
      <w:r>
        <w:t xml:space="preserve">Carspecken, Charles William, Anna Borisovskaya, Shu-Tsui Lan, Katherine Heller, Jonathan Buchholz, David Ruskin, and Irene Rozet. 2018.</w:t>
      </w:r>
      <w:r>
        <w:t xml:space="preserve"> </w:t>
      </w:r>
      <w:r>
        <w:t xml:space="preserve">“Ketamine Anesthesia Does Not Improve Depression Scores in Electroconvulsive Therapy: A Randomized Clinical Trial.”</w:t>
      </w:r>
      <w:r>
        <w:t xml:space="preserve"> </w:t>
      </w:r>
      <w:r>
        <w:rPr>
          <w:i/>
          <w:iCs/>
        </w:rPr>
        <w:t xml:space="preserve">Journal of Neurosurgical Anesthesiology</w:t>
      </w:r>
      <w:r>
        <w:t xml:space="preserve"> </w:t>
      </w:r>
      <w:r>
        <w:t xml:space="preserve">30 (4): 305–13.</w:t>
      </w:r>
      <w:r>
        <w:t xml:space="preserve"> </w:t>
      </w:r>
      <w:hyperlink r:id="rId34">
        <w:r>
          <w:rPr>
            <w:rStyle w:val="Hyperlink"/>
          </w:rPr>
          <w:t xml:space="preserve">https://doi.org/10.1097/ANA.0000000000000511</w:t>
        </w:r>
      </w:hyperlink>
      <w:r>
        <w:t xml:space="preserve">.</w:t>
      </w:r>
    </w:p>
    <w:bookmarkEnd w:id="35"/>
    <w:bookmarkStart w:id="37" w:name="ref-Cristancho2013"/>
    <w:p>
      <w:pPr>
        <w:pStyle w:val="Bibliography"/>
      </w:pPr>
      <w:r>
        <w:t xml:space="preserve">Cristancho, Mario A., Amanda Helmer, Ryan Connolly, Pilar Cristancho, and John P. O’Reardon. 2013.</w:t>
      </w:r>
      <w:r>
        <w:t xml:space="preserve"> </w:t>
      </w:r>
      <w:r>
        <w:t xml:space="preserve">“Transcranial Magnetic Stimulation Maintenance as a Substitute for Maintenance Electroconvulsive Therapy.”</w:t>
      </w:r>
      <w:r>
        <w:t xml:space="preserve"> </w:t>
      </w:r>
      <w:r>
        <w:rPr>
          <w:i/>
          <w:iCs/>
        </w:rPr>
        <w:t xml:space="preserve">The Journal of ECT</w:t>
      </w:r>
      <w:r>
        <w:t xml:space="preserve"> </w:t>
      </w:r>
      <w:r>
        <w:t xml:space="preserve">29 (2): 106–8.</w:t>
      </w:r>
      <w:r>
        <w:t xml:space="preserve"> </w:t>
      </w:r>
      <w:hyperlink r:id="rId36">
        <w:r>
          <w:rPr>
            <w:rStyle w:val="Hyperlink"/>
          </w:rPr>
          <w:t xml:space="preserve">https://doi.org/10.1097/YCT.0b013e31827a70ba</w:t>
        </w:r>
      </w:hyperlink>
      <w:r>
        <w:t xml:space="preserve">.</w:t>
      </w:r>
    </w:p>
    <w:bookmarkEnd w:id="37"/>
    <w:bookmarkStart w:id="39" w:name="ref-Dbowska2023"/>
    <w:p>
      <w:pPr>
        <w:pStyle w:val="Bibliography"/>
      </w:pPr>
      <w:r>
        <w:t xml:space="preserve">Dębowska, Weronika, Magdalena Więdłocha, Marta Dębowska, Zuzanna Kownacka, Piotr Marcinowicz, and Agata Szulc. 2023.</w:t>
      </w:r>
      <w:r>
        <w:t xml:space="preserve"> </w:t>
      </w:r>
      <w:r>
        <w:t xml:space="preserve">“Transcranial Magnetic Stimulation and Ketamine: Implications for Combined Treatment in Depression.”</w:t>
      </w:r>
      <w:r>
        <w:t xml:space="preserve"> </w:t>
      </w:r>
      <w:r>
        <w:rPr>
          <w:i/>
          <w:iCs/>
        </w:rPr>
        <w:t xml:space="preserve">Frontiers in Neuroscience</w:t>
      </w:r>
      <w:r>
        <w:t xml:space="preserve"> </w:t>
      </w:r>
      <w:r>
        <w:t xml:space="preserve">17.</w:t>
      </w:r>
      <w:r>
        <w:t xml:space="preserve"> </w:t>
      </w:r>
      <w:hyperlink r:id="rId38">
        <w:r>
          <w:rPr>
            <w:rStyle w:val="Hyperlink"/>
          </w:rPr>
          <w:t xml:space="preserve">https://doi.org/10.3389/fnins.2023.1267647</w:t>
        </w:r>
      </w:hyperlink>
      <w:r>
        <w:t xml:space="preserve">.</w:t>
      </w:r>
    </w:p>
    <w:bookmarkEnd w:id="39"/>
    <w:bookmarkStart w:id="41" w:name="ref-Erritzoe2024"/>
    <w:p>
      <w:pPr>
        <w:pStyle w:val="Bibliography"/>
      </w:pPr>
      <w:r>
        <w:t xml:space="preserve">Erritzoe, David, Tommaso Barba, Meg J Spriggs, Fernando E Rosas, David J Nutt, and Robin Carhart-Harris. 2024.</w:t>
      </w:r>
      <w:r>
        <w:t xml:space="preserve"> </w:t>
      </w:r>
      <w:r>
        <w:t xml:space="preserve">“Effects of Discontinuation of Serotonergic Antidepressants Prior to Psilocybin Therapy Versus Escitalopram for Major Depression.”</w:t>
      </w:r>
      <w:r>
        <w:t xml:space="preserve"> </w:t>
      </w:r>
      <w:r>
        <w:rPr>
          <w:i/>
          <w:iCs/>
        </w:rPr>
        <w:t xml:space="preserve">Journal of Psychopharmacology</w:t>
      </w:r>
      <w:r>
        <w:t xml:space="preserve"> </w:t>
      </w:r>
      <w:r>
        <w:t xml:space="preserve">38 (5): 458–70.</w:t>
      </w:r>
      <w:r>
        <w:t xml:space="preserve"> </w:t>
      </w:r>
      <w:hyperlink r:id="rId40">
        <w:r>
          <w:rPr>
            <w:rStyle w:val="Hyperlink"/>
          </w:rPr>
          <w:t xml:space="preserve">https://doi.org/10.1177/02698811241237870</w:t>
        </w:r>
      </w:hyperlink>
      <w:r>
        <w:t xml:space="preserve">.</w:t>
      </w:r>
    </w:p>
    <w:bookmarkEnd w:id="41"/>
    <w:bookmarkStart w:id="43" w:name="ref-Faran2024"/>
    <w:p>
      <w:pPr>
        <w:pStyle w:val="Bibliography"/>
      </w:pPr>
      <w:r>
        <w:t xml:space="preserve">Faran, Yifat, Yoav S. Bergman, and Eyal Klonover. 2024.</w:t>
      </w:r>
      <w:r>
        <w:t xml:space="preserve"> </w:t>
      </w:r>
      <w:r>
        <w:t xml:space="preserve">“The Mediating Role of Loneliness in the Association Between Exposure to Terror and Psychological Distress in Older Adults.”</w:t>
      </w:r>
      <w:r>
        <w:t xml:space="preserve"> </w:t>
      </w:r>
      <w:r>
        <w:rPr>
          <w:i/>
          <w:iCs/>
        </w:rPr>
        <w:t xml:space="preserve">Journal of Psychiatric Research</w:t>
      </w:r>
      <w:r>
        <w:t xml:space="preserve"> </w:t>
      </w:r>
      <w:r>
        <w:t xml:space="preserve">170: 195–99.</w:t>
      </w:r>
      <w:r>
        <w:t xml:space="preserve"> </w:t>
      </w:r>
      <w:hyperlink r:id="rId42">
        <w:r>
          <w:rPr>
            <w:rStyle w:val="Hyperlink"/>
          </w:rPr>
          <w:t xml:space="preserve">https://doi.org/10.1016/j.jpsychires.2023.12.022</w:t>
        </w:r>
      </w:hyperlink>
      <w:r>
        <w:t xml:space="preserve">.</w:t>
      </w:r>
    </w:p>
    <w:bookmarkEnd w:id="43"/>
    <w:bookmarkStart w:id="45" w:name="ref-Fernie2017"/>
    <w:p>
      <w:pPr>
        <w:pStyle w:val="Bibliography"/>
      </w:pPr>
      <w:r>
        <w:t xml:space="preserve">Fernie, Gordon, James Currie, Jennifer S. Perrin, Caroline A. Stewart, Virginica Anderson, Daniel M. Bennett, Steven Hay, and Ian C. Reid. 2017.</w:t>
      </w:r>
      <w:r>
        <w:t xml:space="preserve"> </w:t>
      </w:r>
      <w:r>
        <w:t xml:space="preserve">“Ketamine as the Anaesthetic for Electroconvulsive Therapy: The KANECT Randomised Controlled Trial.”</w:t>
      </w:r>
      <w:r>
        <w:t xml:space="preserve"> </w:t>
      </w:r>
      <w:r>
        <w:rPr>
          <w:i/>
          <w:iCs/>
        </w:rPr>
        <w:t xml:space="preserve">British Journal of Psychiatry</w:t>
      </w:r>
      <w:r>
        <w:t xml:space="preserve"> </w:t>
      </w:r>
      <w:r>
        <w:t xml:space="preserve">210 (6): 422–28.</w:t>
      </w:r>
      <w:r>
        <w:t xml:space="preserve"> </w:t>
      </w:r>
      <w:hyperlink r:id="rId44">
        <w:r>
          <w:rPr>
            <w:rStyle w:val="Hyperlink"/>
          </w:rPr>
          <w:t xml:space="preserve">https://doi.org/10.1192/bjp.bp.116.189134</w:t>
        </w:r>
      </w:hyperlink>
      <w:r>
        <w:t xml:space="preserve">.</w:t>
      </w:r>
    </w:p>
    <w:bookmarkEnd w:id="45"/>
    <w:bookmarkStart w:id="47" w:name="ref-Goodwin2022"/>
    <w:p>
      <w:pPr>
        <w:pStyle w:val="Bibliography"/>
      </w:pPr>
      <w:r>
        <w:t xml:space="preserve">Goodwin, Guy M., Scott T. Aaronson, Oscar Alvarez, Peter C. Arden, Annie Baker, James C. Bennett, Catherine Bird, et al. 2022.</w:t>
      </w:r>
      <w:r>
        <w:t xml:space="preserve"> </w:t>
      </w:r>
      <w:r>
        <w:t xml:space="preserve">“Single-Dose Psilocybin for a Treatment-Resistant Episode of Major Depression.”</w:t>
      </w:r>
      <w:r>
        <w:t xml:space="preserve"> </w:t>
      </w:r>
      <w:r>
        <w:rPr>
          <w:i/>
          <w:iCs/>
        </w:rPr>
        <w:t xml:space="preserve">New England Journal of Medicine</w:t>
      </w:r>
      <w:r>
        <w:t xml:space="preserve"> </w:t>
      </w:r>
      <w:r>
        <w:t xml:space="preserve">387 (18): 1637–48.</w:t>
      </w:r>
      <w:r>
        <w:t xml:space="preserve"> </w:t>
      </w:r>
      <w:hyperlink r:id="rId46">
        <w:r>
          <w:rPr>
            <w:rStyle w:val="Hyperlink"/>
          </w:rPr>
          <w:t xml:space="preserve">https://doi.org/10.1056/NEJMoa2206443</w:t>
        </w:r>
      </w:hyperlink>
      <w:r>
        <w:t xml:space="preserve">.</w:t>
      </w:r>
    </w:p>
    <w:bookmarkEnd w:id="47"/>
    <w:bookmarkStart w:id="49" w:name="ref-Hansen2011"/>
    <w:p>
      <w:pPr>
        <w:pStyle w:val="Bibliography"/>
      </w:pPr>
      <w:r>
        <w:t xml:space="preserve">Hansen, Poul Erik Buchholtz, Barbara Ravnkilde, Poul Videbech, Karin Clemmensen, Runa Sturlason, Mads Reiner, Erik Parner, Raben Rosenberg, and Per Vestergaard. 2011.</w:t>
      </w:r>
      <w:r>
        <w:t xml:space="preserve"> </w:t>
      </w:r>
      <w:r>
        <w:t xml:space="preserve">“Low-Frequency Repetitive Transcranial Magnetic Stimulation Inferior to Electroconvulsive Therapy in Treating Depression.”</w:t>
      </w:r>
      <w:r>
        <w:t xml:space="preserve"> </w:t>
      </w:r>
      <w:r>
        <w:rPr>
          <w:i/>
          <w:iCs/>
        </w:rPr>
        <w:t xml:space="preserve">The Journal of ECT</w:t>
      </w:r>
      <w:r>
        <w:t xml:space="preserve"> </w:t>
      </w:r>
      <w:r>
        <w:t xml:space="preserve">27 (1): 26–32.</w:t>
      </w:r>
      <w:r>
        <w:t xml:space="preserve"> </w:t>
      </w:r>
      <w:hyperlink r:id="rId48">
        <w:r>
          <w:rPr>
            <w:rStyle w:val="Hyperlink"/>
          </w:rPr>
          <w:t xml:space="preserve">https://doi.org/10.1097/YCT.0b013e3181d77645</w:t>
        </w:r>
      </w:hyperlink>
      <w:r>
        <w:t xml:space="preserve">.</w:t>
      </w:r>
    </w:p>
    <w:bookmarkEnd w:id="49"/>
    <w:bookmarkStart w:id="51" w:name="ref-Hunter2019"/>
    <w:p>
      <w:pPr>
        <w:pStyle w:val="Bibliography"/>
      </w:pPr>
      <w:r>
        <w:t xml:space="preserve">Hunter, Aimee M., Michael J. Minzenberg, Ian A. Cook, David E. Krantz, Jennifer G. Levitt, Natalie M. Rotstein, Shweta A. Chawla, and Andrew F. Leuchter. 2019.</w:t>
      </w:r>
      <w:r>
        <w:t xml:space="preserve"> </w:t>
      </w:r>
      <w:r>
        <w:t xml:space="preserve">“Concomitant Medication Use and Clinical Outcome of Repetitive Transcranial Magnetic Stimulation (rTMS) Treatment of Major Depressive Disorder.”</w:t>
      </w:r>
      <w:r>
        <w:t xml:space="preserve"> </w:t>
      </w:r>
      <w:r>
        <w:rPr>
          <w:i/>
          <w:iCs/>
        </w:rPr>
        <w:t xml:space="preserve">Brain and Behavior</w:t>
      </w:r>
      <w:r>
        <w:t xml:space="preserve"> </w:t>
      </w:r>
      <w:r>
        <w:t xml:space="preserve">9 (5).</w:t>
      </w:r>
      <w:r>
        <w:t xml:space="preserve"> </w:t>
      </w:r>
      <w:hyperlink r:id="rId50">
        <w:r>
          <w:rPr>
            <w:rStyle w:val="Hyperlink"/>
          </w:rPr>
          <w:t xml:space="preserve">https://doi.org/10.1002/brb3.1275</w:t>
        </w:r>
      </w:hyperlink>
      <w:r>
        <w:t xml:space="preserve">.</w:t>
      </w:r>
    </w:p>
    <w:bookmarkEnd w:id="51"/>
    <w:bookmarkStart w:id="53" w:name="ref-Kavakbasi2025"/>
    <w:p>
      <w:pPr>
        <w:pStyle w:val="Bibliography"/>
      </w:pPr>
      <w:r>
        <w:t xml:space="preserve">Kavakbasi, Erhan, Kevin Rosemann, Mert Yilmaz, Helmut Berndt, and Bernhard T. Baune. 2025.</w:t>
      </w:r>
      <w:r>
        <w:t xml:space="preserve"> </w:t>
      </w:r>
      <w:r>
        <w:t xml:space="preserve">“Intranasal Esketamine Significantly Alleviates Depression Severity and Suicidal Ideations in Electroconvulsive Therapy (ECT) Non-Responders.”</w:t>
      </w:r>
      <w:r>
        <w:t xml:space="preserve"> </w:t>
      </w:r>
      <w:r>
        <w:rPr>
          <w:i/>
          <w:iCs/>
        </w:rPr>
        <w:t xml:space="preserve">European Archives of Psychiatry and Clinical Neuroscience</w:t>
      </w:r>
      <w:r>
        <w:t xml:space="preserve"> </w:t>
      </w:r>
      <w:r>
        <w:t xml:space="preserve">275 (8): 2379–87.</w:t>
      </w:r>
      <w:r>
        <w:t xml:space="preserve"> </w:t>
      </w:r>
      <w:hyperlink r:id="rId52">
        <w:r>
          <w:rPr>
            <w:rStyle w:val="Hyperlink"/>
          </w:rPr>
          <w:t xml:space="preserve">https://doi.org/10.1007/s00406-025-02041-9</w:t>
        </w:r>
      </w:hyperlink>
      <w:r>
        <w:t xml:space="preserve">.</w:t>
      </w:r>
    </w:p>
    <w:bookmarkEnd w:id="53"/>
    <w:bookmarkStart w:id="55" w:name="ref-Liu2024"/>
    <w:p>
      <w:pPr>
        <w:pStyle w:val="Bibliography"/>
      </w:pPr>
      <w:r>
        <w:t xml:space="preserve">Liu, Yecun, Jiguo Yang, and Yuanxiang Liu. 2024.</w:t>
      </w:r>
      <w:r>
        <w:t xml:space="preserve"> </w:t>
      </w:r>
      <w:r>
        <w:t xml:space="preserve">“Ketamine and Electroconvulsive Therapy for Severe Depression: A Network Meta-Analysis of Efficacy and Safety.”</w:t>
      </w:r>
      <w:r>
        <w:t xml:space="preserve"> </w:t>
      </w:r>
      <w:r>
        <w:rPr>
          <w:i/>
          <w:iCs/>
        </w:rPr>
        <w:t xml:space="preserve">Journal of Psychiatric Research</w:t>
      </w:r>
      <w:r>
        <w:t xml:space="preserve"> </w:t>
      </w:r>
      <w:r>
        <w:t xml:space="preserve">175: 218–26.</w:t>
      </w:r>
      <w:r>
        <w:t xml:space="preserve"> </w:t>
      </w:r>
      <w:hyperlink r:id="rId54">
        <w:r>
          <w:rPr>
            <w:rStyle w:val="Hyperlink"/>
          </w:rPr>
          <w:t xml:space="preserve">https://doi.org/10.1016/j.jpsychires.2024.05.022</w:t>
        </w:r>
      </w:hyperlink>
      <w:r>
        <w:t xml:space="preserve">.</w:t>
      </w:r>
    </w:p>
    <w:bookmarkEnd w:id="55"/>
    <w:bookmarkStart w:id="57" w:name="ref-LpezRodrguez2026"/>
    <w:p>
      <w:pPr>
        <w:pStyle w:val="Bibliography"/>
      </w:pPr>
      <w:r>
        <w:t xml:space="preserve">López-Rodríguez, Sergi, Aida de Arriba-Arnau, José Manuel Menchón, Pino Alonso, and Mikel Urretavizcaya. 2026.</w:t>
      </w:r>
      <w:r>
        <w:t xml:space="preserve"> </w:t>
      </w:r>
      <w:r>
        <w:t xml:space="preserve">“Combining Intranasal Esketamine and Electroconvulsive Therapy in Severe Treatment‑resistant Depression.”</w:t>
      </w:r>
      <w:r>
        <w:t xml:space="preserve"> </w:t>
      </w:r>
      <w:r>
        <w:rPr>
          <w:i/>
          <w:iCs/>
        </w:rPr>
        <w:t xml:space="preserve">The Journal of ECT</w:t>
      </w:r>
      <w:r>
        <w:t xml:space="preserve">.</w:t>
      </w:r>
      <w:r>
        <w:t xml:space="preserve"> </w:t>
      </w:r>
      <w:hyperlink r:id="rId56">
        <w:r>
          <w:rPr>
            <w:rStyle w:val="Hyperlink"/>
          </w:rPr>
          <w:t xml:space="preserve">https://doi.org/10.1097/YCT.0000000000001233</w:t>
        </w:r>
      </w:hyperlink>
      <w:r>
        <w:t xml:space="preserve">.</w:t>
      </w:r>
    </w:p>
    <w:bookmarkEnd w:id="57"/>
    <w:bookmarkStart w:id="59" w:name="ref-Nardou2023"/>
    <w:p>
      <w:pPr>
        <w:pStyle w:val="Bibliography"/>
      </w:pPr>
      <w:r>
        <w:t xml:space="preserve">Nardou, Romain, Edward Sawyer, Young Jun Song, Makenzie Wilkinson, Yasmin Padovan-Hernandez, Júnia Lara de Deus, Noelle Wright, et al. 2023.</w:t>
      </w:r>
      <w:r>
        <w:t xml:space="preserve"> </w:t>
      </w:r>
      <w:r>
        <w:t xml:space="preserve">“Psychedelics Reopen the Social Reward Learning Critical Period.”</w:t>
      </w:r>
      <w:r>
        <w:t xml:space="preserve"> </w:t>
      </w:r>
      <w:r>
        <w:rPr>
          <w:i/>
          <w:iCs/>
        </w:rPr>
        <w:t xml:space="preserve">Nature</w:t>
      </w:r>
      <w:r>
        <w:t xml:space="preserve"> </w:t>
      </w:r>
      <w:r>
        <w:t xml:space="preserve">618 (7966): 790–98.</w:t>
      </w:r>
      <w:r>
        <w:t xml:space="preserve"> </w:t>
      </w:r>
      <w:hyperlink r:id="rId58">
        <w:r>
          <w:rPr>
            <w:rStyle w:val="Hyperlink"/>
          </w:rPr>
          <w:t xml:space="preserve">https://doi.org/10.1038/s41586-023-06204-3</w:t>
        </w:r>
      </w:hyperlink>
      <w:r>
        <w:t xml:space="preserve">.</w:t>
      </w:r>
    </w:p>
    <w:bookmarkEnd w:id="59"/>
    <w:bookmarkStart w:id="61" w:name="ref-Noda2013"/>
    <w:p>
      <w:pPr>
        <w:pStyle w:val="Bibliography"/>
      </w:pPr>
      <w:r>
        <w:t xml:space="preserve">Noda, Yoshihiro, Zafiris J. Daskalakis, Cinthia Ramos, and Daniel M. Blumberger. 2013.</w:t>
      </w:r>
      <w:r>
        <w:t xml:space="preserve"> </w:t>
      </w:r>
      <w:r>
        <w:t xml:space="preserve">“Repetitive Transcranial Magnetic Stimulation to Maintain Treatment Response to Electroconvulsive Therapy in Depression: A Case Series.”</w:t>
      </w:r>
      <w:r>
        <w:t xml:space="preserve"> </w:t>
      </w:r>
      <w:r>
        <w:rPr>
          <w:i/>
          <w:iCs/>
        </w:rPr>
        <w:t xml:space="preserve">Frontiers in Psychiatry</w:t>
      </w:r>
      <w:r>
        <w:t xml:space="preserve"> </w:t>
      </w:r>
      <w:r>
        <w:t xml:space="preserve">4.</w:t>
      </w:r>
      <w:r>
        <w:t xml:space="preserve"> </w:t>
      </w:r>
      <w:hyperlink r:id="rId60">
        <w:r>
          <w:rPr>
            <w:rStyle w:val="Hyperlink"/>
          </w:rPr>
          <w:t xml:space="preserve">https://doi.org/10.3389/fpsyt.2013.00073</w:t>
        </w:r>
      </w:hyperlink>
      <w:r>
        <w:t xml:space="preserve">.</w:t>
      </w:r>
    </w:p>
    <w:bookmarkEnd w:id="61"/>
    <w:bookmarkStart w:id="63" w:name="ref-Papakostas2024"/>
    <w:p>
      <w:pPr>
        <w:pStyle w:val="Bibliography"/>
      </w:pPr>
      <w:r>
        <w:t xml:space="preserve">Papakostas, George I., Madhukar H. Trivedi, Richard C. Shelton, Dan V. Iosifescu, Michael E. Thase, Manish K. Jha, Sanjay J. Mathew, et al. 2024.</w:t>
      </w:r>
      <w:r>
        <w:t xml:space="preserve"> </w:t>
      </w:r>
      <w:r>
        <w:t xml:space="preserve">“Comparative Effectiveness Research Trial for Antidepressant Incomplete and Non-Responders with Treatment Resistant Depression (ASCERTAIN-TRD) a Randomized Clinical Trial.”</w:t>
      </w:r>
      <w:r>
        <w:t xml:space="preserve"> </w:t>
      </w:r>
      <w:r>
        <w:rPr>
          <w:i/>
          <w:iCs/>
        </w:rPr>
        <w:t xml:space="preserve">Molecular Psychiatry</w:t>
      </w:r>
      <w:r>
        <w:t xml:space="preserve"> </w:t>
      </w:r>
      <w:r>
        <w:t xml:space="preserve">29 (8): 2287–95.</w:t>
      </w:r>
      <w:r>
        <w:t xml:space="preserve"> </w:t>
      </w:r>
      <w:hyperlink r:id="rId62">
        <w:r>
          <w:rPr>
            <w:rStyle w:val="Hyperlink"/>
          </w:rPr>
          <w:t xml:space="preserve">https://doi.org/10.1038/s41380-024-02468-x</w:t>
        </w:r>
      </w:hyperlink>
      <w:r>
        <w:t xml:space="preserve">.</w:t>
      </w:r>
    </w:p>
    <w:bookmarkEnd w:id="63"/>
    <w:bookmarkStart w:id="65" w:name="ref-Paulus2008"/>
    <w:p>
      <w:pPr>
        <w:pStyle w:val="Bibliography"/>
      </w:pPr>
      <w:r>
        <w:t xml:space="preserve">Paulus, Walter, Joseph Classen, Leonardo G. Cohen, Charles H. Large, Vincenzo Di Lazzaro, Michael Nitsche, Alvaro Pascual-Leone, F. Rosenow, John C. Rothwell, and Ulf Ziemann. 2008.</w:t>
      </w:r>
      <w:r>
        <w:t xml:space="preserve"> </w:t>
      </w:r>
      <w:r>
        <w:t xml:space="preserve">“State of the Art: Pharmacologic Effects on Cortical Excitability Measures Tested by Transcranial Magnetic Stimulation.”</w:t>
      </w:r>
      <w:r>
        <w:t xml:space="preserve"> </w:t>
      </w:r>
      <w:r>
        <w:rPr>
          <w:i/>
          <w:iCs/>
        </w:rPr>
        <w:t xml:space="preserve">Brain Stimulation</w:t>
      </w:r>
      <w:r>
        <w:t xml:space="preserve"> </w:t>
      </w:r>
      <w:r>
        <w:t xml:space="preserve">1 (3): 151–63.</w:t>
      </w:r>
      <w:r>
        <w:t xml:space="preserve"> </w:t>
      </w:r>
      <w:hyperlink r:id="rId64">
        <w:r>
          <w:rPr>
            <w:rStyle w:val="Hyperlink"/>
          </w:rPr>
          <w:t xml:space="preserve">https://doi.org/10.1016/j.brs.2008.06.002</w:t>
        </w:r>
      </w:hyperlink>
      <w:r>
        <w:t xml:space="preserve">.</w:t>
      </w:r>
    </w:p>
    <w:bookmarkEnd w:id="65"/>
    <w:bookmarkStart w:id="67" w:name="ref-Popova2019"/>
    <w:p>
      <w:pPr>
        <w:pStyle w:val="Bibliography"/>
      </w:pPr>
      <w:r>
        <w:t xml:space="preserve">Popova, Vanina, Ella J. Daly, Madhukar Trivedi, Kimberly Cooper, Rosanne Lane, Pilar Lim, Christine Mazzucco, et al. 2019.</w:t>
      </w:r>
      <w:r>
        <w:t xml:space="preserve"> </w:t>
      </w:r>
      <w:r>
        <w:t xml:space="preserve">“Efficacy and Safety of Flexibly Dosed Esketamine Nasal Spray Combined with a Newly Initiated Oral Antidepressant in Treatment-Resistant Depression: A Randomized Double-Blind Active-Controlled Study.”</w:t>
      </w:r>
      <w:r>
        <w:t xml:space="preserve"> </w:t>
      </w:r>
      <w:r>
        <w:rPr>
          <w:i/>
          <w:iCs/>
        </w:rPr>
        <w:t xml:space="preserve">American Journal of Psychiatry</w:t>
      </w:r>
      <w:r>
        <w:t xml:space="preserve"> </w:t>
      </w:r>
      <w:r>
        <w:t xml:space="preserve">176 (6): 428–38.</w:t>
      </w:r>
      <w:r>
        <w:t xml:space="preserve"> </w:t>
      </w:r>
      <w:hyperlink r:id="rId66">
        <w:r>
          <w:rPr>
            <w:rStyle w:val="Hyperlink"/>
          </w:rPr>
          <w:t xml:space="preserve">https://doi.org/10.1176/appi.ajp.2019.19020172</w:t>
        </w:r>
      </w:hyperlink>
      <w:r>
        <w:t xml:space="preserve">.</w:t>
      </w:r>
    </w:p>
    <w:bookmarkEnd w:id="67"/>
    <w:bookmarkStart w:id="69" w:name="ref-Rakesh2024"/>
    <w:p>
      <w:pPr>
        <w:pStyle w:val="Bibliography"/>
      </w:pPr>
      <w:r>
        <w:t xml:space="preserve">Rakesh, Gopalkumar, Patrick Cordero, Rebika Khanal, Seth S. Himelhoch, and Craig R. Rush. 2024.</w:t>
      </w:r>
      <w:r>
        <w:t xml:space="preserve"> </w:t>
      </w:r>
      <w:r>
        <w:t xml:space="preserve">“Optimally Combining Transcranial Magnetic Stimulation with Antidepressants in Major Depressive Disorder: A Systematic Review and Meta-Analysis.”</w:t>
      </w:r>
      <w:r>
        <w:t xml:space="preserve"> </w:t>
      </w:r>
      <w:r>
        <w:rPr>
          <w:i/>
          <w:iCs/>
        </w:rPr>
        <w:t xml:space="preserve">Journal of Affective Disorders</w:t>
      </w:r>
      <w:r>
        <w:t xml:space="preserve"> </w:t>
      </w:r>
      <w:r>
        <w:t xml:space="preserve">358: 432–39.</w:t>
      </w:r>
      <w:r>
        <w:t xml:space="preserve"> </w:t>
      </w:r>
      <w:hyperlink r:id="rId68">
        <w:r>
          <w:rPr>
            <w:rStyle w:val="Hyperlink"/>
          </w:rPr>
          <w:t xml:space="preserve">https://doi.org/10.1016/j.jad.2024.05.037</w:t>
        </w:r>
      </w:hyperlink>
      <w:r>
        <w:t xml:space="preserve">.</w:t>
      </w:r>
    </w:p>
    <w:bookmarkEnd w:id="69"/>
    <w:bookmarkStart w:id="71" w:name="ref-Reif2023"/>
    <w:p>
      <w:pPr>
        <w:pStyle w:val="Bibliography"/>
      </w:pPr>
      <w:r>
        <w:t xml:space="preserve">Reif, Andreas, Istvan Bitter, Jozefien Buyze, Kerstin Cebulla, Richard Frey, Dong-Jing Fu, Tetsuro Ito, et al. 2023.</w:t>
      </w:r>
      <w:r>
        <w:t xml:space="preserve"> </w:t>
      </w:r>
      <w:r>
        <w:t xml:space="preserve">“Esketamine Nasal Spray Versus Quetiapine for Treatment-Resistant Depression.”</w:t>
      </w:r>
      <w:r>
        <w:t xml:space="preserve"> </w:t>
      </w:r>
      <w:r>
        <w:rPr>
          <w:i/>
          <w:iCs/>
        </w:rPr>
        <w:t xml:space="preserve">New England Journal of Medicine</w:t>
      </w:r>
      <w:r>
        <w:t xml:space="preserve"> </w:t>
      </w:r>
      <w:r>
        <w:t xml:space="preserve">389 (14): 1298–1309.</w:t>
      </w:r>
      <w:r>
        <w:t xml:space="preserve"> </w:t>
      </w:r>
      <w:hyperlink r:id="rId70">
        <w:r>
          <w:rPr>
            <w:rStyle w:val="Hyperlink"/>
          </w:rPr>
          <w:t xml:space="preserve">https://doi.org/10.1056/NEJMoa2304145</w:t>
        </w:r>
      </w:hyperlink>
      <w:r>
        <w:t xml:space="preserve">.</w:t>
      </w:r>
    </w:p>
    <w:bookmarkEnd w:id="71"/>
    <w:bookmarkStart w:id="73" w:name="ref-Rothrmel2023"/>
    <w:p>
      <w:pPr>
        <w:pStyle w:val="Bibliography"/>
      </w:pPr>
      <w:r>
        <w:t xml:space="preserve">Rothärmel, Maud, Pierre Quesada, Thomas Husson, Ghina Harika-Germaneau, Clément Nathou, Julien Guehl, Marine Dalmont, et al. 2023.</w:t>
      </w:r>
      <w:r>
        <w:t xml:space="preserve"> </w:t>
      </w:r>
      <w:r>
        <w:t xml:space="preserve">“The Priming Effect of Repetitive Transcranial Magnetic Stimulation on Clinical Response to Electroconvulsive Therapy in Treatment-Resistant Depression: A Randomized, Double-Blind, Sham-Controlled Study.”</w:t>
      </w:r>
      <w:r>
        <w:t xml:space="preserve"> </w:t>
      </w:r>
      <w:r>
        <w:rPr>
          <w:i/>
          <w:iCs/>
        </w:rPr>
        <w:t xml:space="preserve">Psychological Medicine</w:t>
      </w:r>
      <w:r>
        <w:t xml:space="preserve"> </w:t>
      </w:r>
      <w:r>
        <w:t xml:space="preserve">53 (5): 2060–71.</w:t>
      </w:r>
      <w:r>
        <w:t xml:space="preserve"> </w:t>
      </w:r>
      <w:hyperlink r:id="rId72">
        <w:r>
          <w:rPr>
            <w:rStyle w:val="Hyperlink"/>
          </w:rPr>
          <w:t xml:space="preserve">https://doi.org/10.1017/S0033291721003810</w:t>
        </w:r>
      </w:hyperlink>
      <w:r>
        <w:t xml:space="preserve">.</w:t>
      </w:r>
    </w:p>
    <w:bookmarkEnd w:id="73"/>
    <w:bookmarkStart w:id="75" w:name="ref-Shanok2024"/>
    <w:p>
      <w:pPr>
        <w:pStyle w:val="Bibliography"/>
      </w:pPr>
      <w:r>
        <w:t xml:space="preserve">Shanok, Nathaniel A., Sabrina Muzac, Leah Brown, Melissa Barrera, and Raul Rodriguez. 2024.</w:t>
      </w:r>
      <w:r>
        <w:t xml:space="preserve"> </w:t>
      </w:r>
      <w:r>
        <w:t xml:space="preserve">“Synergistic Use of Deep TMS Therapy with IV Ketamine Infusions for Major Depressive Disorder: A Pilot Study.”</w:t>
      </w:r>
      <w:r>
        <w:t xml:space="preserve"> </w:t>
      </w:r>
      <w:r>
        <w:rPr>
          <w:i/>
          <w:iCs/>
        </w:rPr>
        <w:t xml:space="preserve">Psychopharmacology</w:t>
      </w:r>
      <w:r>
        <w:t xml:space="preserve"> </w:t>
      </w:r>
      <w:r>
        <w:t xml:space="preserve">241 (7): 1427–33.</w:t>
      </w:r>
      <w:r>
        <w:t xml:space="preserve"> </w:t>
      </w:r>
      <w:hyperlink r:id="rId74">
        <w:r>
          <w:rPr>
            <w:rStyle w:val="Hyperlink"/>
          </w:rPr>
          <w:t xml:space="preserve">https://doi.org/10.1007/s00213-024-06573-1</w:t>
        </w:r>
      </w:hyperlink>
      <w:r>
        <w:t xml:space="preserve">.</w:t>
      </w:r>
    </w:p>
    <w:bookmarkEnd w:id="75"/>
    <w:bookmarkStart w:id="77" w:name="ref-Wilke2022"/>
    <w:p>
      <w:pPr>
        <w:pStyle w:val="Bibliography"/>
      </w:pPr>
      <w:r>
        <w:t xml:space="preserve">Wilke, Scott A., Crystal L. Johnson, Juliana Corlier, Katharine G. Marder, Andrew C. Wilson, Christopher M. Pleman, and Andrew F. Leuchter. 2022.</w:t>
      </w:r>
      <w:r>
        <w:t xml:space="preserve"> </w:t>
      </w:r>
      <w:r>
        <w:t xml:space="preserve">“Psychostimulant Use and Clinical Outcome of Repetitive Transcranial Magnetic Stimulation Treatment of Major Depressive Disorder.”</w:t>
      </w:r>
      <w:r>
        <w:t xml:space="preserve"> </w:t>
      </w:r>
      <w:r>
        <w:rPr>
          <w:i/>
          <w:iCs/>
        </w:rPr>
        <w:t xml:space="preserve">Depression and Anxiety</w:t>
      </w:r>
      <w:r>
        <w:t xml:space="preserve"> </w:t>
      </w:r>
      <w:r>
        <w:t xml:space="preserve">39 (5): 397–406.</w:t>
      </w:r>
      <w:r>
        <w:t xml:space="preserve"> </w:t>
      </w:r>
      <w:hyperlink r:id="rId76">
        <w:r>
          <w:rPr>
            <w:rStyle w:val="Hyperlink"/>
          </w:rPr>
          <w:t xml:space="preserve">https://doi.org/10.1002/da.23255</w:t>
        </w:r>
      </w:hyperlink>
      <w:r>
        <w:t xml:space="preserve">.</w:t>
      </w:r>
    </w:p>
    <w:bookmarkEnd w:id="77"/>
    <w:bookmarkStart w:id="79" w:name="ref-Xie2023"/>
    <w:p>
      <w:pPr>
        <w:pStyle w:val="Bibliography"/>
      </w:pPr>
      <w:r>
        <w:t xml:space="preserve">Xie, Hongsheng, Yuan Cao, Jiafeng Li, Yichen Lyu, Neil Roberts, and Zhiyun Jia. 2023.</w:t>
      </w:r>
      <w:r>
        <w:t xml:space="preserve"> </w:t>
      </w:r>
      <w:r>
        <w:t xml:space="preserve">“Affective Disorder and Brain Alterations in Children and Adolescents Exposed to Outdoor Air Pollution.”</w:t>
      </w:r>
      <w:r>
        <w:t xml:space="preserve"> </w:t>
      </w:r>
      <w:r>
        <w:rPr>
          <w:i/>
          <w:iCs/>
        </w:rPr>
        <w:t xml:space="preserve">Journal of Affective Disorders</w:t>
      </w:r>
      <w:r>
        <w:t xml:space="preserve"> </w:t>
      </w:r>
      <w:r>
        <w:t xml:space="preserve">331: 413–24.</w:t>
      </w:r>
      <w:r>
        <w:t xml:space="preserve"> </w:t>
      </w:r>
      <w:hyperlink r:id="rId78">
        <w:r>
          <w:rPr>
            <w:rStyle w:val="Hyperlink"/>
          </w:rPr>
          <w:t xml:space="preserve">https://doi.org/10.1016/j.jad.2023.03.082</w:t>
        </w:r>
      </w:hyperlink>
      <w:r>
        <w:t xml:space="preserve">.</w:t>
      </w:r>
    </w:p>
    <w:bookmarkEnd w:id="79"/>
    <w:bookmarkStart w:id="81" w:name="ref-Zaidi2024"/>
    <w:p>
      <w:pPr>
        <w:pStyle w:val="Bibliography"/>
      </w:pPr>
      <w:r>
        <w:t xml:space="preserve">Zaidi, Alina, Rafeya Shami, Isabella J. Sewell, Xingshan Cao, Peter Giacobbe, Jennifer S. Rabin, Maged Goubran, et al. 2024.</w:t>
      </w:r>
      <w:r>
        <w:t xml:space="preserve"> </w:t>
      </w:r>
      <w:r>
        <w:t xml:space="preserve">“Antidepressant Class and Concurrent rTMS Outcomes in Major Depressive Disorder: A Systematic Review and Meta-Analysis.”</w:t>
      </w:r>
      <w:r>
        <w:t xml:space="preserve"> </w:t>
      </w:r>
      <w:r>
        <w:rPr>
          <w:i/>
          <w:iCs/>
        </w:rPr>
        <w:t xml:space="preserve">eClinicalMedicine</w:t>
      </w:r>
      <w:r>
        <w:t xml:space="preserve"> </w:t>
      </w:r>
      <w:r>
        <w:t xml:space="preserve">75: 102760.</w:t>
      </w:r>
      <w:r>
        <w:t xml:space="preserve"> </w:t>
      </w:r>
      <w:hyperlink r:id="rId80">
        <w:r>
          <w:rPr>
            <w:rStyle w:val="Hyperlink"/>
          </w:rPr>
          <w:t xml:space="preserve">https://doi.org/10.1016/j.eclinm.2024.102760</w:t>
        </w:r>
      </w:hyperlink>
      <w:r>
        <w:t xml:space="preserve">.</w:t>
      </w:r>
    </w:p>
    <w:bookmarkEnd w:id="81"/>
    <w:bookmarkStart w:id="83" w:name="ref-Zeng2025"/>
    <w:p>
      <w:pPr>
        <w:pStyle w:val="Bibliography"/>
      </w:pPr>
      <w:r>
        <w:t xml:space="preserve">Zeng, Qing-Bin, De-Cheng Zou, Xing-Bing Huang, De-Wei Shang, Xiong Huang, Xin-Hu Yang, Yu-Ping Ning, Lloyd Balbuena, Yu-Tao Xiang, and Wei Zheng. 2025.</w:t>
      </w:r>
      <w:r>
        <w:t xml:space="preserve"> </w:t>
      </w:r>
      <w:r>
        <w:t xml:space="preserve">“Efficacy and Safety of Esketamine Versus Propofol in Electroconvulsive Therapy for Treatment-Resistant Depression: A Randomized, Double-Blind, Controlled, Non-Inferiority Trial.”</w:t>
      </w:r>
      <w:r>
        <w:t xml:space="preserve"> </w:t>
      </w:r>
      <w:r>
        <w:rPr>
          <w:i/>
          <w:iCs/>
        </w:rPr>
        <w:t xml:space="preserve">Journal of Affective Disorders</w:t>
      </w:r>
      <w:r>
        <w:t xml:space="preserve"> </w:t>
      </w:r>
      <w:r>
        <w:t xml:space="preserve">368: 320–28.</w:t>
      </w:r>
      <w:r>
        <w:t xml:space="preserve"> </w:t>
      </w:r>
      <w:hyperlink r:id="rId82">
        <w:r>
          <w:rPr>
            <w:rStyle w:val="Hyperlink"/>
          </w:rPr>
          <w:t xml:space="preserve">https://doi.org/10.1016/j.jad.2024.09.038</w:t>
        </w:r>
      </w:hyperlink>
      <w:r>
        <w:t xml:space="preserve">.</w:t>
      </w:r>
    </w:p>
    <w:bookmarkEnd w:id="83"/>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doi.org/10.1001/2013.jamapsychiatry.32" TargetMode="External" /><Relationship Type="http://schemas.openxmlformats.org/officeDocument/2006/relationships/hyperlink" Id="rId50" Target="https://doi.org/10.1002/brb3.1275" TargetMode="External" /><Relationship Type="http://schemas.openxmlformats.org/officeDocument/2006/relationships/hyperlink" Id="rId76" Target="https://doi.org/10.1002/da.23255" TargetMode="External" /><Relationship Type="http://schemas.openxmlformats.org/officeDocument/2006/relationships/hyperlink" Id="rId74" Target="https://doi.org/10.1007/s00213-024-06573-1" TargetMode="External" /><Relationship Type="http://schemas.openxmlformats.org/officeDocument/2006/relationships/hyperlink" Id="rId52" Target="https://doi.org/10.1007/s00406-025-02041-9" TargetMode="External" /><Relationship Type="http://schemas.openxmlformats.org/officeDocument/2006/relationships/hyperlink" Id="rId26" Target="https://doi.org/10.1016/S2215-0366(17)30077-9" TargetMode="External" /><Relationship Type="http://schemas.openxmlformats.org/officeDocument/2006/relationships/hyperlink" Id="rId64" Target="https://doi.org/10.1016/j.brs.2008.06.002" TargetMode="External" /><Relationship Type="http://schemas.openxmlformats.org/officeDocument/2006/relationships/hyperlink" Id="rId80" Target="https://doi.org/10.1016/j.eclinm.2024.102760" TargetMode="External" /><Relationship Type="http://schemas.openxmlformats.org/officeDocument/2006/relationships/hyperlink" Id="rId30" Target="https://doi.org/10.1016/j.heliyon.2019.e02187" TargetMode="External" /><Relationship Type="http://schemas.openxmlformats.org/officeDocument/2006/relationships/hyperlink" Id="rId78" Target="https://doi.org/10.1016/j.jad.2023.03.082" TargetMode="External" /><Relationship Type="http://schemas.openxmlformats.org/officeDocument/2006/relationships/hyperlink" Id="rId68" Target="https://doi.org/10.1016/j.jad.2024.05.037" TargetMode="External" /><Relationship Type="http://schemas.openxmlformats.org/officeDocument/2006/relationships/hyperlink" Id="rId82" Target="https://doi.org/10.1016/j.jad.2024.09.038" TargetMode="External" /><Relationship Type="http://schemas.openxmlformats.org/officeDocument/2006/relationships/hyperlink" Id="rId42" Target="https://doi.org/10.1016/j.jpsychires.2023.12.022" TargetMode="External" /><Relationship Type="http://schemas.openxmlformats.org/officeDocument/2006/relationships/hyperlink" Id="rId54" Target="https://doi.org/10.1016/j.jpsychires.2024.05.022" TargetMode="External" /><Relationship Type="http://schemas.openxmlformats.org/officeDocument/2006/relationships/hyperlink" Id="rId72" Target="https://doi.org/10.1017/S0033291721003810" TargetMode="External" /><Relationship Type="http://schemas.openxmlformats.org/officeDocument/2006/relationships/hyperlink" Id="rId62" Target="https://doi.org/10.1038/s41380-024-02468-x" TargetMode="External" /><Relationship Type="http://schemas.openxmlformats.org/officeDocument/2006/relationships/hyperlink" Id="rId58" Target="https://doi.org/10.1038/s41586-023-06204-3" TargetMode="External" /><Relationship Type="http://schemas.openxmlformats.org/officeDocument/2006/relationships/hyperlink" Id="rId46" Target="https://doi.org/10.1056/NEJMoa2206443" TargetMode="External" /><Relationship Type="http://schemas.openxmlformats.org/officeDocument/2006/relationships/hyperlink" Id="rId70" Target="https://doi.org/10.1056/NEJMoa2304145" TargetMode="External" /><Relationship Type="http://schemas.openxmlformats.org/officeDocument/2006/relationships/hyperlink" Id="rId34" Target="https://doi.org/10.1097/ANA.0000000000000511" TargetMode="External" /><Relationship Type="http://schemas.openxmlformats.org/officeDocument/2006/relationships/hyperlink" Id="rId56" Target="https://doi.org/10.1097/YCT.0000000000001233" TargetMode="External" /><Relationship Type="http://schemas.openxmlformats.org/officeDocument/2006/relationships/hyperlink" Id="rId48" Target="https://doi.org/10.1097/YCT.0b013e3181d77645" TargetMode="External" /><Relationship Type="http://schemas.openxmlformats.org/officeDocument/2006/relationships/hyperlink" Id="rId36" Target="https://doi.org/10.1097/YCT.0b013e31827a70ba" TargetMode="External" /><Relationship Type="http://schemas.openxmlformats.org/officeDocument/2006/relationships/hyperlink" Id="rId66" Target="https://doi.org/10.1176/appi.ajp.2019.19020172" TargetMode="External" /><Relationship Type="http://schemas.openxmlformats.org/officeDocument/2006/relationships/hyperlink" Id="rId40" Target="https://doi.org/10.1177/02698811241237870" TargetMode="External" /><Relationship Type="http://schemas.openxmlformats.org/officeDocument/2006/relationships/hyperlink" Id="rId44" Target="https://doi.org/10.1192/bjp.bp.116.189134" TargetMode="External" /><Relationship Type="http://schemas.openxmlformats.org/officeDocument/2006/relationships/hyperlink" Id="rId38" Target="https://doi.org/10.3389/fnins.2023.1267647" TargetMode="External" /><Relationship Type="http://schemas.openxmlformats.org/officeDocument/2006/relationships/hyperlink" Id="rId60" Target="https://doi.org/10.3389/fpsyt.2013.00073" TargetMode="External" /><Relationship Type="http://schemas.openxmlformats.org/officeDocument/2006/relationships/hyperlink" Id="rId28" Target="https://doi.org/10.7759/cureus.64712" TargetMode="External" /></Relationships>
</file>

<file path=word/_rels/footnotes.xml.rels><?xml version="1.0" encoding="UTF-8"?><Relationships xmlns="http://schemas.openxmlformats.org/package/2006/relationships"><Relationship Type="http://schemas.openxmlformats.org/officeDocument/2006/relationships/hyperlink" Id="rId32" Target="https://doi.org/10.1001/2013.jamapsychiatry.32" TargetMode="External" /><Relationship Type="http://schemas.openxmlformats.org/officeDocument/2006/relationships/hyperlink" Id="rId50" Target="https://doi.org/10.1002/brb3.1275" TargetMode="External" /><Relationship Type="http://schemas.openxmlformats.org/officeDocument/2006/relationships/hyperlink" Id="rId76" Target="https://doi.org/10.1002/da.23255" TargetMode="External" /><Relationship Type="http://schemas.openxmlformats.org/officeDocument/2006/relationships/hyperlink" Id="rId74" Target="https://doi.org/10.1007/s00213-024-06573-1" TargetMode="External" /><Relationship Type="http://schemas.openxmlformats.org/officeDocument/2006/relationships/hyperlink" Id="rId52" Target="https://doi.org/10.1007/s00406-025-02041-9" TargetMode="External" /><Relationship Type="http://schemas.openxmlformats.org/officeDocument/2006/relationships/hyperlink" Id="rId26" Target="https://doi.org/10.1016/S2215-0366(17)30077-9" TargetMode="External" /><Relationship Type="http://schemas.openxmlformats.org/officeDocument/2006/relationships/hyperlink" Id="rId64" Target="https://doi.org/10.1016/j.brs.2008.06.002" TargetMode="External" /><Relationship Type="http://schemas.openxmlformats.org/officeDocument/2006/relationships/hyperlink" Id="rId80" Target="https://doi.org/10.1016/j.eclinm.2024.102760" TargetMode="External" /><Relationship Type="http://schemas.openxmlformats.org/officeDocument/2006/relationships/hyperlink" Id="rId30" Target="https://doi.org/10.1016/j.heliyon.2019.e02187" TargetMode="External" /><Relationship Type="http://schemas.openxmlformats.org/officeDocument/2006/relationships/hyperlink" Id="rId78" Target="https://doi.org/10.1016/j.jad.2023.03.082" TargetMode="External" /><Relationship Type="http://schemas.openxmlformats.org/officeDocument/2006/relationships/hyperlink" Id="rId68" Target="https://doi.org/10.1016/j.jad.2024.05.037" TargetMode="External" /><Relationship Type="http://schemas.openxmlformats.org/officeDocument/2006/relationships/hyperlink" Id="rId82" Target="https://doi.org/10.1016/j.jad.2024.09.038" TargetMode="External" /><Relationship Type="http://schemas.openxmlformats.org/officeDocument/2006/relationships/hyperlink" Id="rId42" Target="https://doi.org/10.1016/j.jpsychires.2023.12.022" TargetMode="External" /><Relationship Type="http://schemas.openxmlformats.org/officeDocument/2006/relationships/hyperlink" Id="rId54" Target="https://doi.org/10.1016/j.jpsychires.2024.05.022" TargetMode="External" /><Relationship Type="http://schemas.openxmlformats.org/officeDocument/2006/relationships/hyperlink" Id="rId72" Target="https://doi.org/10.1017/S0033291721003810" TargetMode="External" /><Relationship Type="http://schemas.openxmlformats.org/officeDocument/2006/relationships/hyperlink" Id="rId62" Target="https://doi.org/10.1038/s41380-024-02468-x" TargetMode="External" /><Relationship Type="http://schemas.openxmlformats.org/officeDocument/2006/relationships/hyperlink" Id="rId58" Target="https://doi.org/10.1038/s41586-023-06204-3" TargetMode="External" /><Relationship Type="http://schemas.openxmlformats.org/officeDocument/2006/relationships/hyperlink" Id="rId46" Target="https://doi.org/10.1056/NEJMoa2206443" TargetMode="External" /><Relationship Type="http://schemas.openxmlformats.org/officeDocument/2006/relationships/hyperlink" Id="rId70" Target="https://doi.org/10.1056/NEJMoa2304145" TargetMode="External" /><Relationship Type="http://schemas.openxmlformats.org/officeDocument/2006/relationships/hyperlink" Id="rId34" Target="https://doi.org/10.1097/ANA.0000000000000511" TargetMode="External" /><Relationship Type="http://schemas.openxmlformats.org/officeDocument/2006/relationships/hyperlink" Id="rId56" Target="https://doi.org/10.1097/YCT.0000000000001233" TargetMode="External" /><Relationship Type="http://schemas.openxmlformats.org/officeDocument/2006/relationships/hyperlink" Id="rId48" Target="https://doi.org/10.1097/YCT.0b013e3181d77645" TargetMode="External" /><Relationship Type="http://schemas.openxmlformats.org/officeDocument/2006/relationships/hyperlink" Id="rId36" Target="https://doi.org/10.1097/YCT.0b013e31827a70ba" TargetMode="External" /><Relationship Type="http://schemas.openxmlformats.org/officeDocument/2006/relationships/hyperlink" Id="rId66" Target="https://doi.org/10.1176/appi.ajp.2019.19020172" TargetMode="External" /><Relationship Type="http://schemas.openxmlformats.org/officeDocument/2006/relationships/hyperlink" Id="rId40" Target="https://doi.org/10.1177/02698811241237870" TargetMode="External" /><Relationship Type="http://schemas.openxmlformats.org/officeDocument/2006/relationships/hyperlink" Id="rId44" Target="https://doi.org/10.1192/bjp.bp.116.189134" TargetMode="External" /><Relationship Type="http://schemas.openxmlformats.org/officeDocument/2006/relationships/hyperlink" Id="rId38" Target="https://doi.org/10.3389/fnins.2023.1267647" TargetMode="External" /><Relationship Type="http://schemas.openxmlformats.org/officeDocument/2006/relationships/hyperlink" Id="rId60" Target="https://doi.org/10.3389/fpsyt.2013.00073" TargetMode="External" /><Relationship Type="http://schemas.openxmlformats.org/officeDocument/2006/relationships/hyperlink" Id="rId28" Target="https://doi.org/10.7759/cureus.647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Neuroplasticity-Based Combination Therapies for Treatment-Resistant Depression</dc:title>
  <dc:creator>Anselm Jeong</dc:creator>
  <cp:keywords/>
  <dcterms:created xsi:type="dcterms:W3CDTF">2026-02-07T05:35:03Z</dcterms:created>
  <dcterms:modified xsi:type="dcterms:W3CDTF">2026-02-07T05:35:03Z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Metaplasticity.bib</vt:lpwstr>
  </property>
  <property fmtid="{D5CDD505-2E9C-101B-9397-08002B2CF9AE}" pid="5" name="by-author">
    <vt:lpwstr/>
  </property>
  <property fmtid="{D5CDD505-2E9C-101B-9397-08002B2CF9AE}" pid="6" name="date">
    <vt:lpwstr>2026-02-03</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