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997E" w14:textId="77777777" w:rsidR="00447046" w:rsidRPr="005B0F89" w:rsidRDefault="00000000">
      <w:pPr>
        <w:spacing w:after="480"/>
        <w:jc w:val="center"/>
        <w:rPr>
          <w:sz w:val="18"/>
          <w:szCs w:val="18"/>
        </w:rPr>
      </w:pPr>
      <w:r w:rsidRPr="005B0F89">
        <w:rPr>
          <w:b/>
          <w:bCs/>
          <w:sz w:val="22"/>
          <w:szCs w:val="22"/>
        </w:rPr>
        <w:t>병용 약물요법과 경두개 자기자극(TMS)의 상호작용:</w:t>
      </w:r>
      <w:r w:rsidRPr="005B0F89">
        <w:rPr>
          <w:sz w:val="18"/>
          <w:szCs w:val="18"/>
        </w:rPr>
        <w:br/>
      </w:r>
      <w:r w:rsidRPr="005B0F89">
        <w:rPr>
          <w:b/>
          <w:bCs/>
          <w:sz w:val="22"/>
          <w:szCs w:val="22"/>
        </w:rPr>
        <w:t>치료적 효과 및 이론적 해석 틀에 대한 종합적 고찰</w:t>
      </w:r>
    </w:p>
    <w:p w14:paraId="04354920" w14:textId="77777777" w:rsidR="00447046" w:rsidRPr="005B0F89" w:rsidRDefault="00000000">
      <w:pPr>
        <w:spacing w:after="600"/>
        <w:jc w:val="center"/>
        <w:rPr>
          <w:sz w:val="18"/>
          <w:szCs w:val="18"/>
        </w:rPr>
      </w:pPr>
      <w:r w:rsidRPr="005B0F89">
        <w:rPr>
          <w:i/>
          <w:iCs/>
          <w:sz w:val="18"/>
          <w:szCs w:val="18"/>
        </w:rPr>
        <w:t>Comprehensive Review for Post-doctoral Researchers</w:t>
      </w:r>
    </w:p>
    <w:p w14:paraId="0B42F5A5" w14:textId="77777777" w:rsidR="00447046" w:rsidRPr="005B0F89" w:rsidRDefault="00000000">
      <w:pPr>
        <w:pStyle w:val="Heading1"/>
        <w:rPr>
          <w:sz w:val="21"/>
          <w:szCs w:val="21"/>
        </w:rPr>
      </w:pPr>
      <w:r w:rsidRPr="005B0F89">
        <w:rPr>
          <w:sz w:val="21"/>
          <w:szCs w:val="21"/>
        </w:rPr>
        <w:t>서론</w:t>
      </w:r>
    </w:p>
    <w:p w14:paraId="22D66414" w14:textId="77777777" w:rsidR="00447046" w:rsidRPr="005B0F89" w:rsidRDefault="00000000">
      <w:pPr>
        <w:spacing w:after="200" w:line="360" w:lineRule="auto"/>
        <w:rPr>
          <w:sz w:val="18"/>
          <w:szCs w:val="18"/>
        </w:rPr>
      </w:pPr>
      <w:r w:rsidRPr="005B0F89">
        <w:rPr>
          <w:sz w:val="18"/>
          <w:szCs w:val="18"/>
        </w:rPr>
        <w:t>경두개 자기자극(Transcranial Magnetic Stimulation, TMS)은 비침습적 뇌자극 기법으로서 주요우울장애, 강박장애, 조현병 등 다양한 정신과적 질환의 치료에 적용되고 있다. 임상 현장에서 TMS는 대부분 기존 약물치료와 병용되어 시행되지만, 약물과 TMS 간의 상호작용에 대한 체계적 이해는 아직 제한적이다. 본 보고서는 프로젝트 참고자료들을 기반으로 병용 약물요법이 TMS의 효과에 미치는 영향, 그리고 이를 해석하기 위한 이론적 틀을 종합적으로 고찰하고자 한다.</w:t>
      </w:r>
    </w:p>
    <w:p w14:paraId="15CA2265" w14:textId="77777777" w:rsidR="00447046" w:rsidRPr="005B0F89" w:rsidRDefault="00000000">
      <w:pPr>
        <w:spacing w:after="200" w:line="360" w:lineRule="auto"/>
        <w:rPr>
          <w:sz w:val="18"/>
          <w:szCs w:val="18"/>
        </w:rPr>
      </w:pPr>
      <w:r w:rsidRPr="005B0F89">
        <w:rPr>
          <w:sz w:val="18"/>
          <w:szCs w:val="18"/>
        </w:rPr>
        <w:t>TMS가 유도하는 신경가소성의 기전을 이해하기 위해서는 시냅스 가소성에 대한 기초과학적 지식이 필수적이다. 동물 실험 및 체외(ex vivo) 연구에서 확립된 장기강화(Long-Term Potentiation, LTP)와 장기억압(Long-Term Depression, LTD)의 원리는 인간 뇌에서 TMS가 유도하는 가소성 변화를 이해하는 데 핵심적인 참조 틀을 제공한다.</w:t>
      </w:r>
    </w:p>
    <w:p w14:paraId="069628FA" w14:textId="77777777" w:rsidR="00447046" w:rsidRPr="005B0F89" w:rsidRDefault="00000000">
      <w:pPr>
        <w:pStyle w:val="Heading1"/>
        <w:rPr>
          <w:sz w:val="21"/>
          <w:szCs w:val="21"/>
        </w:rPr>
      </w:pPr>
      <w:r w:rsidRPr="005B0F89">
        <w:rPr>
          <w:sz w:val="21"/>
          <w:szCs w:val="21"/>
        </w:rPr>
        <w:t>이론적 틀: 시냅스 가소성과 TMS</w:t>
      </w:r>
    </w:p>
    <w:p w14:paraId="49AEBFB5" w14:textId="77777777" w:rsidR="00447046" w:rsidRPr="005B0F89" w:rsidRDefault="00000000">
      <w:pPr>
        <w:pStyle w:val="Heading2"/>
        <w:rPr>
          <w:sz w:val="20"/>
          <w:szCs w:val="20"/>
        </w:rPr>
      </w:pPr>
      <w:r w:rsidRPr="005B0F89">
        <w:rPr>
          <w:sz w:val="20"/>
          <w:szCs w:val="20"/>
        </w:rPr>
        <w:t>1.1 NMDA 수용체 의존적 가소성</w:t>
      </w:r>
    </w:p>
    <w:p w14:paraId="4FFD6822" w14:textId="77777777" w:rsidR="00447046" w:rsidRPr="005B0F89" w:rsidRDefault="00000000">
      <w:pPr>
        <w:spacing w:after="200" w:line="360" w:lineRule="auto"/>
        <w:rPr>
          <w:sz w:val="18"/>
          <w:szCs w:val="18"/>
        </w:rPr>
      </w:pPr>
      <w:r w:rsidRPr="005B0F89">
        <w:rPr>
          <w:sz w:val="18"/>
          <w:szCs w:val="18"/>
        </w:rPr>
        <w:t>시냅스 가소성의 유도는 N-methyl-D-aspartate(NMDA) 수용체에 근본적으로 의존한다. 고빈도 자극은 시냅스 후 막의 강한 탈분극을 유발하여 NMDA 수용체의 마그네슘 차단을 해제하고, 칼슘 이온의 대량 유입을 통해 LTP를 유도한다. 반면, 저빈도 자극은 불완전한 탈분극으로 인해 상대적으로 적은 칼슘 유입을 초래하며, 이는 단백질 탈인산화효소를 활성화하여 AMPA 수용체의 내재화(endocytosis)를 촉진함으로써 LTD를 유도한다(Sohn et al., 2024; Nitsche et al., 2012).</w:t>
      </w:r>
    </w:p>
    <w:p w14:paraId="4790B0F9" w14:textId="77777777" w:rsidR="00447046" w:rsidRPr="005B0F89" w:rsidRDefault="00000000">
      <w:pPr>
        <w:spacing w:after="200" w:line="360" w:lineRule="auto"/>
        <w:rPr>
          <w:sz w:val="18"/>
          <w:szCs w:val="18"/>
        </w:rPr>
      </w:pPr>
      <w:r w:rsidRPr="005B0F89">
        <w:rPr>
          <w:sz w:val="18"/>
          <w:szCs w:val="18"/>
        </w:rPr>
        <w:t xml:space="preserve">인간 연구에서 NMDA 수용체 길항제인 memantine과 dextromethorphan은 theta-burst stimulation(TBS) 및 paired associative stimulation(PAS)이 유도하는 LTP-like 및 LTD-like 가소성을 모두 차단하는 것으로 확인되었다. 이러한 결과는 NMDA 수용체가 TMS 유도 가소성에 </w:t>
      </w:r>
      <w:r w:rsidRPr="005B0F89">
        <w:rPr>
          <w:i/>
          <w:iCs/>
          <w:sz w:val="18"/>
          <w:szCs w:val="18"/>
        </w:rPr>
        <w:t>필수적(necessary)</w:t>
      </w:r>
      <w:r w:rsidRPr="005B0F89">
        <w:rPr>
          <w:sz w:val="18"/>
          <w:szCs w:val="18"/>
        </w:rPr>
        <w:t xml:space="preserve">임을 입증한다. 그러나 NMDA 수용체 부분 작용제인 D-cycloserine(DCS)을 이용한 연구들은 일관되지 않은 결과를 보여주어, NMDA 수용체 활성화만으로는 가소성 유도에 </w:t>
      </w:r>
      <w:r w:rsidRPr="005B0F89">
        <w:rPr>
          <w:i/>
          <w:iCs/>
          <w:sz w:val="18"/>
          <w:szCs w:val="18"/>
        </w:rPr>
        <w:t>충분(sufficient)</w:t>
      </w:r>
      <w:r w:rsidRPr="005B0F89">
        <w:rPr>
          <w:sz w:val="18"/>
          <w:szCs w:val="18"/>
        </w:rPr>
        <w:t>하지 않을 수 있음을 시사한다.</w:t>
      </w:r>
    </w:p>
    <w:p w14:paraId="14E22B62" w14:textId="77777777" w:rsidR="00447046" w:rsidRPr="005B0F89" w:rsidRDefault="00000000">
      <w:pPr>
        <w:pStyle w:val="Heading2"/>
        <w:rPr>
          <w:sz w:val="20"/>
          <w:szCs w:val="20"/>
        </w:rPr>
      </w:pPr>
      <w:r w:rsidRPr="005B0F89">
        <w:rPr>
          <w:sz w:val="20"/>
          <w:szCs w:val="20"/>
        </w:rPr>
        <w:t>1.2 Bienenstock-Cooper-Munro(BCM) 모델과 준가소성</w:t>
      </w:r>
    </w:p>
    <w:p w14:paraId="43A709CC" w14:textId="77777777" w:rsidR="00447046" w:rsidRPr="005B0F89" w:rsidRDefault="00000000">
      <w:pPr>
        <w:spacing w:after="200" w:line="360" w:lineRule="auto"/>
        <w:rPr>
          <w:sz w:val="18"/>
          <w:szCs w:val="18"/>
        </w:rPr>
      </w:pPr>
      <w:r w:rsidRPr="005B0F89">
        <w:rPr>
          <w:sz w:val="18"/>
          <w:szCs w:val="18"/>
        </w:rPr>
        <w:t>시냅스 가소성의 동적 조절을 설명하는 핵심 이론인 BCM 모델에 따르면, LTP와 LTD의 유도 역치는 이전 시냅스 후 활동에 따라 동적으로 변화한다(Sohn et al., 2024). 낮은 수준의 선행 활동은 LTP 유도를 촉진하는 반면, 높은 수준의 선행 활동은 LTD 유도를 촉진한다. 이러한 준가소성(metaplasticity) 기전은 신경 네트워크를 생리적 범위 내에서 안정화하는 항상성 기능을 수행한다.</w:t>
      </w:r>
    </w:p>
    <w:p w14:paraId="7A2F9D9D" w14:textId="77777777" w:rsidR="00447046" w:rsidRPr="005B0F89" w:rsidRDefault="00000000">
      <w:pPr>
        <w:spacing w:after="200" w:line="360" w:lineRule="auto"/>
        <w:rPr>
          <w:sz w:val="18"/>
          <w:szCs w:val="18"/>
        </w:rPr>
      </w:pPr>
      <w:r w:rsidRPr="005B0F89">
        <w:rPr>
          <w:sz w:val="18"/>
          <w:szCs w:val="18"/>
        </w:rPr>
        <w:lastRenderedPageBreak/>
        <w:t>TMS 연구에서 이러한 원리는 자극 간격의 중요성으로 나타난다. 체외 연구와 마찬가지로 인간 연구에서도 연속적인 TMS 세션 사이에 40-90분의 간격이 필요하며, 이는 국소 단백질 합성에 필요한 시간을 제공하여 선행 자극이 후속 자극의 효과를 차폐(occlude)하지 않도록 한다. Wrightson 등(2022)의 연구에서 DCS와 반복 iTBS를 병용했을 때 준가소성이 차폐되지 않고 오히려 양 세션 모두에서 MEP 강화가 관찰된 것은 NMDA 수용체 작용이 준가소성 기전에도 관여함을 시사한다.</w:t>
      </w:r>
    </w:p>
    <w:p w14:paraId="0FBE8D52" w14:textId="77777777" w:rsidR="00447046" w:rsidRPr="005B0F89" w:rsidRDefault="00000000">
      <w:pPr>
        <w:pStyle w:val="Heading1"/>
        <w:rPr>
          <w:sz w:val="21"/>
          <w:szCs w:val="21"/>
        </w:rPr>
      </w:pPr>
      <w:r w:rsidRPr="005B0F89">
        <w:rPr>
          <w:sz w:val="21"/>
          <w:szCs w:val="21"/>
        </w:rPr>
        <w:t>신경전달물질계별 약물-TMS 상호작용</w:t>
      </w:r>
    </w:p>
    <w:p w14:paraId="1C402AE1" w14:textId="77777777" w:rsidR="00447046" w:rsidRPr="005B0F89" w:rsidRDefault="00000000">
      <w:pPr>
        <w:pStyle w:val="Heading2"/>
        <w:rPr>
          <w:sz w:val="20"/>
          <w:szCs w:val="20"/>
        </w:rPr>
      </w:pPr>
      <w:r w:rsidRPr="005B0F89">
        <w:rPr>
          <w:sz w:val="20"/>
          <w:szCs w:val="20"/>
        </w:rPr>
        <w:t>2.1 글루탐산계: NMDA 수용체 조절</w:t>
      </w:r>
    </w:p>
    <w:p w14:paraId="64B9B408" w14:textId="77777777" w:rsidR="00447046" w:rsidRPr="005B0F89" w:rsidRDefault="00000000">
      <w:pPr>
        <w:spacing w:after="200" w:line="360" w:lineRule="auto"/>
        <w:rPr>
          <w:sz w:val="18"/>
          <w:szCs w:val="18"/>
        </w:rPr>
      </w:pPr>
      <w:r w:rsidRPr="005B0F89">
        <w:rPr>
          <w:b/>
          <w:bCs/>
          <w:sz w:val="18"/>
          <w:szCs w:val="18"/>
        </w:rPr>
        <w:t xml:space="preserve">NMDA 수용체 길항제의 효과: </w:t>
      </w:r>
      <w:r w:rsidRPr="005B0F89">
        <w:rPr>
          <w:sz w:val="18"/>
          <w:szCs w:val="18"/>
        </w:rPr>
        <w:t>Memantine(10mg)과 dextromethorphan(120-150mg)은 iTBS의 LTP-like 효과와 cTBS의 LTD-like 효과를 모두 차단한다. PAS 프로토콜에서도 유사하게, dextromethorphan은 PAS25의 LTP-like 효과와 PAS10의 LTD-like 효과를 억제한다. 흥미롭게도, L-type 전압 의존성 칼슘 채널(VGCC) 차단제인 nimodipine 존재 하에서는 dextromethorphan이 PAS25 유도 LTP를 차단하지 못하는데, 이는 NMDA 수용체와 VGCC 간의 복잡한 상호작용을 시사한다(Weise et al., 연구; Sohn et al., 2024 인용).</w:t>
      </w:r>
    </w:p>
    <w:p w14:paraId="433C7CE2" w14:textId="77777777" w:rsidR="00447046" w:rsidRPr="005B0F89" w:rsidRDefault="00000000">
      <w:pPr>
        <w:spacing w:after="200" w:line="360" w:lineRule="auto"/>
        <w:rPr>
          <w:sz w:val="18"/>
          <w:szCs w:val="18"/>
        </w:rPr>
      </w:pPr>
      <w:r w:rsidRPr="005B0F89">
        <w:rPr>
          <w:b/>
          <w:bCs/>
          <w:sz w:val="18"/>
          <w:szCs w:val="18"/>
        </w:rPr>
        <w:t xml:space="preserve">NMDA 수용체 작용제의 효과: </w:t>
      </w:r>
      <w:r w:rsidRPr="005B0F89">
        <w:rPr>
          <w:sz w:val="18"/>
          <w:szCs w:val="18"/>
        </w:rPr>
        <w:t>D-cycloserine(DCS, 100mg)은 NMDA 수용체의 부분 작용제로서 건강한 참가자에서 다양한 결과를 보인다. 10Hz rTMS와 병용 시 LTP-like 효과가 증강되었다는 보고가 있으나(Brown et al.), iTBS와의 병용에서는 연구마다 상이한 결과가 나타났다. Teo 등(2007)은 DCS가 iTBS의 효과를 LTP-like에서 LTD-like로 전환시켰다고 보고한 반면, Selby 등(2011)은 초기 억제 후 60분 경과 시점에서 강화된 LTP-like 효과를 관찰하였다.</w:t>
      </w:r>
    </w:p>
    <w:p w14:paraId="028FCC1D" w14:textId="77777777" w:rsidR="00447046" w:rsidRPr="005B0F89" w:rsidRDefault="00000000">
      <w:pPr>
        <w:spacing w:after="200" w:line="360" w:lineRule="auto"/>
        <w:rPr>
          <w:sz w:val="18"/>
          <w:szCs w:val="18"/>
        </w:rPr>
      </w:pPr>
      <w:r w:rsidRPr="005B0F89">
        <w:rPr>
          <w:b/>
          <w:bCs/>
          <w:sz w:val="18"/>
          <w:szCs w:val="18"/>
        </w:rPr>
        <w:t xml:space="preserve">임상적 적용: </w:t>
      </w:r>
      <w:r w:rsidRPr="005B0F89">
        <w:rPr>
          <w:sz w:val="18"/>
          <w:szCs w:val="18"/>
        </w:rPr>
        <w:t>주목할 만한 점은, 건강한 참가자에서 일관되지 않은 결과를 보인 DCS가 주요우울장애(MDD) 환자에서는 손상된 LTP-like 효과를 정상화하는 것으로 나타났다는 것이다(Cole et al., 2023). 더욱 중요하게, Cole 등(2024)의 무작위 대조군 임상시험에서 DCS 병용 iTBS는 위약 대조군 대비 두 배 이상의 관해율(74% vs. 33%)과 큰 효과 크기(Hedges g = 0.99)를 달성하였다. 이는 신경생리학적 가소성 증강이 임상적 치료 반응으로 번역될 수 있음을 시사하는 첫 번째 강력한 증거이다.</w:t>
      </w:r>
    </w:p>
    <w:p w14:paraId="61961820" w14:textId="77777777" w:rsidR="00447046" w:rsidRPr="005B0F89" w:rsidRDefault="00000000">
      <w:pPr>
        <w:pStyle w:val="Heading2"/>
        <w:rPr>
          <w:sz w:val="20"/>
          <w:szCs w:val="20"/>
        </w:rPr>
      </w:pPr>
      <w:r w:rsidRPr="005B0F89">
        <w:rPr>
          <w:sz w:val="20"/>
          <w:szCs w:val="20"/>
        </w:rPr>
        <w:t>2.2 도파민계: 용량 의존적 비선형 조절</w:t>
      </w:r>
    </w:p>
    <w:p w14:paraId="5628682E" w14:textId="77777777" w:rsidR="00447046" w:rsidRPr="005B0F89" w:rsidRDefault="00000000">
      <w:pPr>
        <w:spacing w:after="200" w:line="360" w:lineRule="auto"/>
        <w:rPr>
          <w:sz w:val="18"/>
          <w:szCs w:val="18"/>
        </w:rPr>
      </w:pPr>
      <w:r w:rsidRPr="005B0F89">
        <w:rPr>
          <w:sz w:val="18"/>
          <w:szCs w:val="18"/>
        </w:rPr>
        <w:t>도파민계는 TMS 유도 가소성에 대해 복잡한 용량 의존적, 비선형적 영향을 미친다. 동물 연구와 인간 연구 모두에서 도파민의 가소성 조절 효과는 역U자형 곡선을 따르는 것으로 관찰된다(Nitsche et al., 2012).</w:t>
      </w:r>
    </w:p>
    <w:p w14:paraId="67319469" w14:textId="77777777" w:rsidR="00447046" w:rsidRPr="005B0F89" w:rsidRDefault="00000000">
      <w:pPr>
        <w:spacing w:after="200" w:line="360" w:lineRule="auto"/>
        <w:rPr>
          <w:sz w:val="18"/>
          <w:szCs w:val="18"/>
        </w:rPr>
      </w:pPr>
      <w:r w:rsidRPr="005B0F89">
        <w:rPr>
          <w:b/>
          <w:bCs/>
          <w:sz w:val="18"/>
          <w:szCs w:val="18"/>
        </w:rPr>
        <w:t xml:space="preserve">저용량 도파민 작용제의 효과: </w:t>
      </w:r>
      <w:r w:rsidRPr="005B0F89">
        <w:rPr>
          <w:sz w:val="18"/>
          <w:szCs w:val="18"/>
        </w:rPr>
        <w:t>L-Dopa(25mg), bromocriptine(2.5mg), ropinirole(0.125mg), 피하주사 apomorphine(0.1mg)의 저용량 투여는 PAS25 유도 LTP-like 촉진을 차단한다. 이러한 역설적 결과는 도파민 시스템의 비선형성을 반영한다. 저용량에서 D2 수용체의 우선적 활성화가 LTP 유도를 억제할 수 있으며, 이는 D1과 D2 수용체가 NMDA 및 GABA 수용체에 대해 서로 길항적 효과를 갖기 때문으로 해석된다(D1 수용체는 두 수용체의 활성을 증강시키는 반면 D2 수용체는 감소시킨다).</w:t>
      </w:r>
    </w:p>
    <w:p w14:paraId="741768F7" w14:textId="77777777" w:rsidR="00447046" w:rsidRPr="005B0F89" w:rsidRDefault="00000000">
      <w:pPr>
        <w:spacing w:after="200" w:line="360" w:lineRule="auto"/>
        <w:rPr>
          <w:sz w:val="18"/>
          <w:szCs w:val="18"/>
        </w:rPr>
      </w:pPr>
      <w:r w:rsidRPr="005B0F89">
        <w:rPr>
          <w:b/>
          <w:bCs/>
          <w:sz w:val="18"/>
          <w:szCs w:val="18"/>
        </w:rPr>
        <w:lastRenderedPageBreak/>
        <w:t xml:space="preserve">중등도 및 고용량의 효과: </w:t>
      </w:r>
      <w:r w:rsidRPr="005B0F89">
        <w:rPr>
          <w:sz w:val="18"/>
          <w:szCs w:val="18"/>
        </w:rPr>
        <w:t>L-Dopa 100mg 또는 ropinirole 0.5mg의 중등도 용량에서는 가소성에 대한 효과가 없거나 최소화되는 반면, L-Dopa 200mg의 고용량에서는 다시 가소성이 감소하거나 반전되는 양상을 보인다. 이러한 역U자형 용량-반응 관계는 적정 도파민 수준의 중요성을 강조한다.</w:t>
      </w:r>
    </w:p>
    <w:p w14:paraId="4122D05B" w14:textId="77777777" w:rsidR="00447046" w:rsidRPr="005B0F89" w:rsidRDefault="00000000">
      <w:pPr>
        <w:spacing w:after="200" w:line="360" w:lineRule="auto"/>
        <w:rPr>
          <w:sz w:val="18"/>
          <w:szCs w:val="18"/>
        </w:rPr>
      </w:pPr>
      <w:r w:rsidRPr="005B0F89">
        <w:rPr>
          <w:b/>
          <w:bCs/>
          <w:sz w:val="18"/>
          <w:szCs w:val="18"/>
        </w:rPr>
        <w:t xml:space="preserve">D2 수용체 길항제의 효과: </w:t>
      </w:r>
      <w:r w:rsidRPr="005B0F89">
        <w:rPr>
          <w:sz w:val="18"/>
          <w:szCs w:val="18"/>
        </w:rPr>
        <w:t>Haloperidol(2.5mg)은 PAS 유도 LTP-like 효과를 차단하며, sulpiride(400mg)는 TBS와 PAS 프로토콜 모두에서 가소성을 감소시킨다. 이러한 결과는 도파민 D2 수용체가 TMS 유도 가소성의 조절에 중요한 역할을 함을 시사한다.</w:t>
      </w:r>
    </w:p>
    <w:p w14:paraId="6F9FF9DD" w14:textId="77777777" w:rsidR="00447046" w:rsidRPr="005B0F89" w:rsidRDefault="00000000">
      <w:pPr>
        <w:spacing w:after="200" w:line="360" w:lineRule="auto"/>
        <w:rPr>
          <w:sz w:val="18"/>
          <w:szCs w:val="18"/>
        </w:rPr>
      </w:pPr>
      <w:r w:rsidRPr="005B0F89">
        <w:rPr>
          <w:b/>
          <w:bCs/>
          <w:sz w:val="18"/>
          <w:szCs w:val="18"/>
        </w:rPr>
        <w:t xml:space="preserve">임상 집단에서의 증거: </w:t>
      </w:r>
      <w:r w:rsidRPr="005B0F89">
        <w:rPr>
          <w:sz w:val="18"/>
          <w:szCs w:val="18"/>
        </w:rPr>
        <w:t>파킨슨병 환자에서 L-Dopa ON/OFF 상태에 따른 TBS 효과 비교 연구들(Guerra et al., 2023; Carrillo et al., 2013)은 도파민 약물이 뚜렷한 효과를 보이지 않았다고 보고하였다. 반면, 알츠하이머병 환자에서 rotigotine(비선택적 도파민 수용체 작용제) 4주 투여 후 iTBS 유도 LTP-like 효과가 증강되었으며, 12주 치료 후에도 이 효과가 유지되었다(Koch et al., 2014). 조현병 환자를 대상으로 한 Fitzgerald 등(2004)의 연구에서는 항정신병약물(olanzapine, risperidone, quetiapine) 복용 여부에 따라 1Hz rTMS에 대한 가소성 반응의 방향이 달라지는 경향(투약군에서 LTP-like, 비투약군에서 LTD-like)이 관찰되었으나 통계적 유의성에 도달하지 못하였다.</w:t>
      </w:r>
    </w:p>
    <w:p w14:paraId="67418613" w14:textId="77777777" w:rsidR="00447046" w:rsidRPr="005B0F89" w:rsidRDefault="00000000">
      <w:pPr>
        <w:rPr>
          <w:sz w:val="18"/>
          <w:szCs w:val="18"/>
        </w:rPr>
      </w:pPr>
      <w:r w:rsidRPr="005B0F89">
        <w:rPr>
          <w:sz w:val="18"/>
          <w:szCs w:val="18"/>
        </w:rPr>
        <w:br w:type="page"/>
      </w:r>
    </w:p>
    <w:p w14:paraId="57C16B3B" w14:textId="77777777" w:rsidR="00447046" w:rsidRPr="005B0F89" w:rsidRDefault="00000000">
      <w:pPr>
        <w:pStyle w:val="Heading2"/>
        <w:rPr>
          <w:sz w:val="20"/>
          <w:szCs w:val="20"/>
        </w:rPr>
      </w:pPr>
      <w:r w:rsidRPr="005B0F89">
        <w:rPr>
          <w:sz w:val="20"/>
          <w:szCs w:val="20"/>
        </w:rPr>
        <w:lastRenderedPageBreak/>
        <w:t>2.3 GABA계: 억제성 신경전달의 역할</w:t>
      </w:r>
    </w:p>
    <w:p w14:paraId="323B9897" w14:textId="77777777" w:rsidR="00447046" w:rsidRPr="005B0F89" w:rsidRDefault="00000000">
      <w:pPr>
        <w:spacing w:after="200" w:line="360" w:lineRule="auto"/>
        <w:rPr>
          <w:sz w:val="18"/>
          <w:szCs w:val="18"/>
        </w:rPr>
      </w:pPr>
      <w:r w:rsidRPr="005B0F89">
        <w:rPr>
          <w:sz w:val="18"/>
          <w:szCs w:val="18"/>
        </w:rPr>
        <w:t>GABAergic 신호전달의 증강은 TMS 유도 가소성을 감소시키는 방향으로 작용한다. GABAB 수용체 작용제인 baclofen(50mg)은 PAS 유도 LTP-like 효과를 차단하며, GABAA 수용체의 양성 알로스테릭 조절제인 diazepam(20mg)과 GABA 재흡수 억제제인 tiagabine(15mg)도 PAS 유도 LTP-like 가소성을 감소시킨다(McDonnell et al., 2007; Heidegger et al., 2010).</w:t>
      </w:r>
    </w:p>
    <w:p w14:paraId="3359B0BF" w14:textId="77777777" w:rsidR="00447046" w:rsidRPr="005B0F89" w:rsidRDefault="00000000">
      <w:pPr>
        <w:spacing w:after="200" w:line="360" w:lineRule="auto"/>
        <w:rPr>
          <w:sz w:val="18"/>
          <w:szCs w:val="18"/>
        </w:rPr>
      </w:pPr>
      <w:r w:rsidRPr="005B0F89">
        <w:rPr>
          <w:b/>
          <w:bCs/>
          <w:sz w:val="18"/>
          <w:szCs w:val="18"/>
        </w:rPr>
        <w:t xml:space="preserve">임상적 함의: </w:t>
      </w:r>
      <w:r w:rsidRPr="005B0F89">
        <w:rPr>
          <w:sz w:val="18"/>
          <w:szCs w:val="18"/>
        </w:rPr>
        <w:t>Hunter 등(2019)의 임상 관찰 연구는 벤조디아제핀 사용이 rTMS 치료 초기(2주 시점)에 임상적 개선 감소와 연관됨을 보고하였다. 벤조디아제핀 사용자의 6주 반응률은 16.4%로 비사용자(35.5%)에 비해 유의하게 낮았다. 이러한 결과는 장기 벤조디아제핀 사용이 GABAA 수용체 하향조절(alpha-1 mRNA 감소, alpha-1 폴리펩타이드 감소 등)을 유발하여 rTMS가 유도하려는 피질 GABA 신호전달 증가를 상쇄할 수 있음을 시사한다.</w:t>
      </w:r>
    </w:p>
    <w:p w14:paraId="12DE6BB4" w14:textId="77777777" w:rsidR="00447046" w:rsidRPr="005B0F89" w:rsidRDefault="00000000">
      <w:pPr>
        <w:pStyle w:val="Heading2"/>
        <w:rPr>
          <w:sz w:val="20"/>
          <w:szCs w:val="20"/>
        </w:rPr>
      </w:pPr>
      <w:r w:rsidRPr="005B0F89">
        <w:rPr>
          <w:sz w:val="20"/>
          <w:szCs w:val="20"/>
        </w:rPr>
        <w:t>2.4 카테콜아민계: 노르에피네프린과 정신자극제</w:t>
      </w:r>
    </w:p>
    <w:p w14:paraId="79D68379" w14:textId="77777777" w:rsidR="00447046" w:rsidRPr="005B0F89" w:rsidRDefault="00000000">
      <w:pPr>
        <w:spacing w:after="200" w:line="360" w:lineRule="auto"/>
        <w:rPr>
          <w:sz w:val="18"/>
          <w:szCs w:val="18"/>
        </w:rPr>
      </w:pPr>
      <w:r w:rsidRPr="005B0F89">
        <w:rPr>
          <w:sz w:val="18"/>
          <w:szCs w:val="18"/>
        </w:rPr>
        <w:t>노르에피네프린(NE)은 피질 가소성의 강력한 조절자로 알려져 있다. 선택적 alpha-1 아드레날린 수용체 길항제인 prazosin은 PAS 유도 LTP-like MEP 반응을 차폐하며(Korchounov &amp; Ziemann, 2011), 이는 노르아드레날린성 시스템이 TMS 가소성에 필수적임을 시사한다.</w:t>
      </w:r>
    </w:p>
    <w:p w14:paraId="357EA3CE" w14:textId="77777777" w:rsidR="00447046" w:rsidRPr="005B0F89" w:rsidRDefault="00000000">
      <w:pPr>
        <w:spacing w:after="200" w:line="360" w:lineRule="auto"/>
        <w:rPr>
          <w:sz w:val="18"/>
          <w:szCs w:val="18"/>
        </w:rPr>
      </w:pPr>
      <w:r w:rsidRPr="005B0F89">
        <w:rPr>
          <w:sz w:val="18"/>
          <w:szCs w:val="18"/>
        </w:rPr>
        <w:t>임상적으로, Hunter 등(2019)의 연구에서 정신자극제(methylphenidate, amphetamine 등) 사용자는 rTMS 치료에서 더 나은 결과를 보였다. 정신자극제 사용자의 6주 반응률은 39.2%로 비사용자(22.0%)보다 유의하게 높았다. 이는 catecholamine 수송체 억제제가 연습 의존적 피질 운동 지도 변화를 증강시킨다는 기초 연구 결과(Tegenthoff et al., 2004)와 일치하며, 이러한 가소성 조절 효과가 rTMS와 시너지 작용을 할 수 있음을 시사한다.</w:t>
      </w:r>
    </w:p>
    <w:p w14:paraId="565EF06C" w14:textId="77777777" w:rsidR="00447046" w:rsidRPr="005B0F89" w:rsidRDefault="00000000">
      <w:pPr>
        <w:pStyle w:val="Heading2"/>
        <w:rPr>
          <w:sz w:val="20"/>
          <w:szCs w:val="20"/>
        </w:rPr>
      </w:pPr>
      <w:r w:rsidRPr="005B0F89">
        <w:rPr>
          <w:sz w:val="20"/>
          <w:szCs w:val="20"/>
        </w:rPr>
        <w:t>2.5 세로토닌계와 콜린계</w:t>
      </w:r>
    </w:p>
    <w:p w14:paraId="133A503B" w14:textId="77777777" w:rsidR="00447046" w:rsidRPr="005B0F89" w:rsidRDefault="00000000">
      <w:pPr>
        <w:spacing w:after="200" w:line="360" w:lineRule="auto"/>
        <w:rPr>
          <w:sz w:val="18"/>
          <w:szCs w:val="18"/>
        </w:rPr>
      </w:pPr>
      <w:r w:rsidRPr="005B0F89">
        <w:rPr>
          <w:b/>
          <w:bCs/>
          <w:sz w:val="18"/>
          <w:szCs w:val="18"/>
        </w:rPr>
        <w:t xml:space="preserve">세로토닌계: </w:t>
      </w:r>
      <w:r w:rsidRPr="005B0F89">
        <w:rPr>
          <w:sz w:val="18"/>
          <w:szCs w:val="18"/>
        </w:rPr>
        <w:t>Batsikadze 등(2013)의 연구에서 세로토닌 재흡수 억제제인 citalopram(20mg)은 PAS25 유도 LTP-like 효과를 증강시키고 PAS10 유도 LTD-like 효과를 감소시켰다. 이는 세로토닌이 가소성에 대해 LTP 촉진 및 LTD 억제 방향으로 조절 효과를 가질 수 있음을 시사한다.</w:t>
      </w:r>
    </w:p>
    <w:p w14:paraId="3F24979D" w14:textId="77777777" w:rsidR="00447046" w:rsidRPr="005B0F89" w:rsidRDefault="00000000">
      <w:pPr>
        <w:spacing w:after="200" w:line="360" w:lineRule="auto"/>
        <w:rPr>
          <w:sz w:val="18"/>
          <w:szCs w:val="18"/>
        </w:rPr>
      </w:pPr>
      <w:r w:rsidRPr="005B0F89">
        <w:rPr>
          <w:b/>
          <w:bCs/>
          <w:sz w:val="18"/>
          <w:szCs w:val="18"/>
        </w:rPr>
        <w:t xml:space="preserve">콜린계: </w:t>
      </w:r>
      <w:r w:rsidRPr="005B0F89">
        <w:rPr>
          <w:sz w:val="18"/>
          <w:szCs w:val="18"/>
        </w:rPr>
        <w:t>콜린에스테라제 억제제인 rivastigmine(3mg)은 PAS25 LTP-like 효과와 PAS10 LTD-like 효과 모두를 증강시켰으며(Kuo et al., 2007), 니코틴(15mg)은 PAS25 LTP-like 효과를 연장하고 PAS10 LTD-like 효과를 차단하였다(Thirugnanasambandam et al., 2011). 반면, 무스카린 M1 길항제인 biperiden(8mg)은 PAS 유도 LTP-like 효과를 차단하였다. 이러한 결과들은 콜린성 시스템이 가소성 방향성의 조절에 중요한 역할을 함을 시사한다.</w:t>
      </w:r>
    </w:p>
    <w:p w14:paraId="79D93401" w14:textId="77777777" w:rsidR="00447046" w:rsidRPr="005B0F89" w:rsidRDefault="00000000">
      <w:pPr>
        <w:pStyle w:val="Heading1"/>
        <w:rPr>
          <w:sz w:val="21"/>
          <w:szCs w:val="21"/>
        </w:rPr>
      </w:pPr>
      <w:r w:rsidRPr="005B0F89">
        <w:rPr>
          <w:sz w:val="21"/>
          <w:szCs w:val="21"/>
        </w:rPr>
        <w:t>전압 의존성 이온 채널 조절제</w:t>
      </w:r>
    </w:p>
    <w:p w14:paraId="1CACFFA1" w14:textId="77777777" w:rsidR="00447046" w:rsidRPr="005B0F89" w:rsidRDefault="00000000">
      <w:pPr>
        <w:spacing w:after="200" w:line="360" w:lineRule="auto"/>
        <w:rPr>
          <w:sz w:val="18"/>
          <w:szCs w:val="18"/>
        </w:rPr>
      </w:pPr>
      <w:r w:rsidRPr="005B0F89">
        <w:rPr>
          <w:b/>
          <w:bCs/>
          <w:sz w:val="18"/>
          <w:szCs w:val="18"/>
        </w:rPr>
        <w:t xml:space="preserve">칼슘 채널 차단제: </w:t>
      </w:r>
      <w:r w:rsidRPr="005B0F89">
        <w:rPr>
          <w:sz w:val="18"/>
          <w:szCs w:val="18"/>
        </w:rPr>
        <w:t>L-type VGCC 차단제인 nimodipine은 준가소성 기전에 중요한 역할을 한다. Wankerl 등(2010)의 연구에서 저용량 nimodipine은 단독으로 cTBS300의 LTP-like 효과에 영향을 미치지 않았으나, 등장성 근수축과 결합 시 LTP-like 효과를 차단하였다. 고용량 nimodipine은 cTBS300의 LTP-like 효과를 차단하였으며, 근수축 존재 시 LTP-like를 LTD-like로 전환시켰다. T-type VGCC 길항제인 ethosuximide는 PAS25의 LTP-like 효과를 LTD-like로 전환시키고 cTBS300의 LTP-like 효과를 차단하였다.</w:t>
      </w:r>
    </w:p>
    <w:p w14:paraId="33D7814E" w14:textId="77777777" w:rsidR="00447046" w:rsidRPr="005B0F89" w:rsidRDefault="00000000">
      <w:pPr>
        <w:spacing w:after="200" w:line="360" w:lineRule="auto"/>
        <w:rPr>
          <w:sz w:val="18"/>
          <w:szCs w:val="18"/>
        </w:rPr>
      </w:pPr>
      <w:r w:rsidRPr="005B0F89">
        <w:rPr>
          <w:b/>
          <w:bCs/>
          <w:sz w:val="18"/>
          <w:szCs w:val="18"/>
        </w:rPr>
        <w:lastRenderedPageBreak/>
        <w:t xml:space="preserve">나트륨 채널 차단제: </w:t>
      </w:r>
      <w:r w:rsidRPr="005B0F89">
        <w:rPr>
          <w:sz w:val="18"/>
          <w:szCs w:val="18"/>
        </w:rPr>
        <w:t>항경련제인 lamotrigine(300mg)과 carbamazepine(600mg)은 전압 의존성 나트륨 채널을 차단하며, PAS 및 tDCS 프로토콜에서 LTP-like 가소성을 감소시킨다(Heidegger et al., 2010; Liebetanz et al., 2002). 이러한 결과는 적절한 나트륨 채널 기능이 가소성 유도에 필요함을 시사한다.</w:t>
      </w:r>
    </w:p>
    <w:p w14:paraId="6D88618E" w14:textId="77777777" w:rsidR="00447046" w:rsidRPr="005B0F89" w:rsidRDefault="00000000">
      <w:pPr>
        <w:pStyle w:val="Heading1"/>
        <w:rPr>
          <w:sz w:val="21"/>
          <w:szCs w:val="21"/>
        </w:rPr>
      </w:pPr>
      <w:r w:rsidRPr="005B0F89">
        <w:rPr>
          <w:sz w:val="21"/>
          <w:szCs w:val="21"/>
        </w:rPr>
        <w:t>임상적 적용: 약물-TMS 상호작용의 번역</w:t>
      </w:r>
    </w:p>
    <w:p w14:paraId="241364B9" w14:textId="77777777" w:rsidR="00447046" w:rsidRPr="005B0F89" w:rsidRDefault="00000000">
      <w:pPr>
        <w:pStyle w:val="Heading2"/>
        <w:rPr>
          <w:sz w:val="20"/>
          <w:szCs w:val="20"/>
        </w:rPr>
      </w:pPr>
      <w:r w:rsidRPr="005B0F89">
        <w:rPr>
          <w:sz w:val="20"/>
          <w:szCs w:val="20"/>
        </w:rPr>
        <w:t>4.1 약물 증강 가속화 TMS 프로토콜</w:t>
      </w:r>
    </w:p>
    <w:p w14:paraId="170BC27C" w14:textId="77777777" w:rsidR="00447046" w:rsidRPr="005B0F89" w:rsidRDefault="00000000">
      <w:pPr>
        <w:spacing w:after="200" w:line="360" w:lineRule="auto"/>
        <w:rPr>
          <w:sz w:val="18"/>
          <w:szCs w:val="18"/>
        </w:rPr>
      </w:pPr>
      <w:r w:rsidRPr="005B0F89">
        <w:rPr>
          <w:sz w:val="18"/>
          <w:szCs w:val="18"/>
        </w:rPr>
        <w:t>Vaughn 등(2025)은 단일일 집중 TMS 치료와 약물 증강의 결합을 보고하였다. 5명의 치료저항성 환자들에게 DCS(125mg) 또는 D-serine(6300mg)과 lisdexamfetamine(20mg)을 투여 60분 후 20회의 iTBS 세션(30분 간격)을 시행하였다. 주목할 만한 결과들이 관찰되었다:</w:t>
      </w:r>
    </w:p>
    <w:p w14:paraId="3930C825" w14:textId="77777777" w:rsidR="00447046" w:rsidRPr="005B0F89" w:rsidRDefault="00000000">
      <w:pPr>
        <w:spacing w:after="200" w:line="360" w:lineRule="auto"/>
        <w:rPr>
          <w:sz w:val="18"/>
          <w:szCs w:val="18"/>
        </w:rPr>
      </w:pPr>
      <w:r w:rsidRPr="005B0F89">
        <w:rPr>
          <w:sz w:val="18"/>
          <w:szCs w:val="18"/>
        </w:rPr>
        <w:t>(1) 주요우울장애 환자(Case 1)에서 기저 HDRS-17 23점이 1주 후 6점으로 감소하여 관해에 도달하였고, 26주까지 추가 치료 없이 유지되었다. (2) 5년간의 우울 삽화와 다수의 항우울제 실패 병력을 가진 환자(Case 2)에서 1주 후 관해(HDRS-17: 2점)가 달성되어 24주까지 지속되었다. (3) 강박장애 환자(Case 5)에서 Y-BOCS가 26점에서 1주 후 7점으로 감소하여 26주까지 유지되었다.</w:t>
      </w:r>
    </w:p>
    <w:p w14:paraId="1F7AF6A8" w14:textId="77777777" w:rsidR="00447046" w:rsidRPr="005B0F89" w:rsidRDefault="00000000">
      <w:pPr>
        <w:spacing w:after="200" w:line="360" w:lineRule="auto"/>
        <w:rPr>
          <w:sz w:val="18"/>
          <w:szCs w:val="18"/>
        </w:rPr>
      </w:pPr>
      <w:r w:rsidRPr="005B0F89">
        <w:rPr>
          <w:sz w:val="18"/>
          <w:szCs w:val="18"/>
        </w:rPr>
        <w:t>이러한 사례들에서 단일일 개입과 지연된 반응(일부 사례에서 완전 효과 발현까지 6주 소요) 및 장기 지속(3-6개월, 추가 개입 없이) 사이의 시간적 해리는 특히 주목할 만하다. 이러한 패턴은 비특이적 행동 활성화나 치료적 접촉의 기여를 최소화하며, 신경가소성 기반 기전을 시사한다.</w:t>
      </w:r>
    </w:p>
    <w:p w14:paraId="4B553BE2" w14:textId="77777777" w:rsidR="00447046" w:rsidRPr="005B0F89" w:rsidRDefault="00000000">
      <w:pPr>
        <w:pStyle w:val="Heading2"/>
        <w:rPr>
          <w:sz w:val="20"/>
          <w:szCs w:val="20"/>
        </w:rPr>
      </w:pPr>
      <w:r w:rsidRPr="005B0F89">
        <w:rPr>
          <w:sz w:val="20"/>
          <w:szCs w:val="20"/>
        </w:rPr>
        <w:t>4.2 치료 순서와 약물 병력의 중요성</w:t>
      </w:r>
    </w:p>
    <w:p w14:paraId="1FE7376D" w14:textId="77777777" w:rsidR="00447046" w:rsidRPr="005B0F89" w:rsidRDefault="00000000">
      <w:pPr>
        <w:spacing w:after="200" w:line="360" w:lineRule="auto"/>
        <w:rPr>
          <w:sz w:val="18"/>
          <w:szCs w:val="18"/>
        </w:rPr>
      </w:pPr>
      <w:r w:rsidRPr="005B0F89">
        <w:rPr>
          <w:sz w:val="18"/>
          <w:szCs w:val="18"/>
        </w:rPr>
        <w:t>Wathra 등(2023)의 연구는 이전 약물치료 시도 횟수와 rTMS 반응 간의 관계를 조사하였다. 1회 이하의 적절한 항우울제 시도 후 rTMS를 받은 환자들의 관해율은 43.9%로, 2회 이상 시도 후 rTMS를 받은 환자들(25.5%)보다 유의하게 높았다. 이러한 결과는 치료저항성이 축적되기 전, 첫 번째 약물 실패 후 rTMS를 고려하는 것이 최적의 시점일 수 있음을 시사한다.</w:t>
      </w:r>
    </w:p>
    <w:p w14:paraId="044620C6" w14:textId="77777777" w:rsidR="00447046" w:rsidRPr="005B0F89" w:rsidRDefault="00000000">
      <w:pPr>
        <w:spacing w:after="200" w:line="360" w:lineRule="auto"/>
        <w:rPr>
          <w:sz w:val="18"/>
          <w:szCs w:val="18"/>
        </w:rPr>
      </w:pPr>
      <w:r w:rsidRPr="005B0F89">
        <w:rPr>
          <w:sz w:val="18"/>
          <w:szCs w:val="18"/>
        </w:rPr>
        <w:t>이는 치료저항성 우울증에서 점차적으로 깊어지는 병리적 끌개(attractor)로부터의 탈출이 시간이 지남에 따라 더 어려워진다는 동역학적 관점과 일치한다. 가소성 증강 개입이 초기에 적용될 때 신경 네트워크의 재구성 잠재력이 더 크게 보존되어 있을 수 있다.</w:t>
      </w:r>
    </w:p>
    <w:p w14:paraId="11640D0C" w14:textId="77777777" w:rsidR="00447046" w:rsidRPr="005B0F89" w:rsidRDefault="00000000">
      <w:pPr>
        <w:pStyle w:val="Heading1"/>
        <w:rPr>
          <w:sz w:val="21"/>
          <w:szCs w:val="21"/>
        </w:rPr>
      </w:pPr>
      <w:r w:rsidRPr="005B0F89">
        <w:rPr>
          <w:sz w:val="21"/>
          <w:szCs w:val="21"/>
        </w:rPr>
        <w:t>정신과적 질환에서의 가소성 장애와 약물 효과</w:t>
      </w:r>
    </w:p>
    <w:p w14:paraId="465532EA" w14:textId="77777777" w:rsidR="00447046" w:rsidRPr="005B0F89" w:rsidRDefault="00000000">
      <w:pPr>
        <w:pStyle w:val="Heading2"/>
        <w:rPr>
          <w:sz w:val="20"/>
          <w:szCs w:val="20"/>
        </w:rPr>
      </w:pPr>
      <w:r w:rsidRPr="005B0F89">
        <w:rPr>
          <w:sz w:val="20"/>
          <w:szCs w:val="20"/>
        </w:rPr>
        <w:t>5.1 조현병에서의 가소성 장애</w:t>
      </w:r>
    </w:p>
    <w:p w14:paraId="4D8F25A1" w14:textId="77777777" w:rsidR="00447046" w:rsidRPr="005B0F89" w:rsidRDefault="00000000">
      <w:pPr>
        <w:spacing w:after="200" w:line="360" w:lineRule="auto"/>
        <w:rPr>
          <w:sz w:val="18"/>
          <w:szCs w:val="18"/>
        </w:rPr>
      </w:pPr>
      <w:r w:rsidRPr="005B0F89">
        <w:rPr>
          <w:sz w:val="18"/>
          <w:szCs w:val="18"/>
        </w:rPr>
        <w:t>조현병 환자에서는 NMDA 수용체 기능 저하와 GABA성 신경전달 장애가 잘 알려져 있으며, 이는 피질 가소성 장애로 이어진다(Bhandari et al., 2016). 비침습적 뇌자극 연구들은 조현병 환자에서 LTP-like와 LTD-like 가소성이 모두 감소 또는 소실되어 있음을 일관되게 보여준다. 고빈도 rTMS, PAS, 양극성 tDCS에서 유도된 LTP-like 가소성이 감소하거나 소실되었고, 저빈도 rTMS나 음극성 tDCS에서 유도된 LTD-like 가소성도 부재하였다.</w:t>
      </w:r>
    </w:p>
    <w:p w14:paraId="07A37D8A" w14:textId="77777777" w:rsidR="00447046" w:rsidRPr="005B0F89" w:rsidRDefault="00000000">
      <w:pPr>
        <w:spacing w:after="200" w:line="360" w:lineRule="auto"/>
        <w:rPr>
          <w:sz w:val="18"/>
          <w:szCs w:val="18"/>
        </w:rPr>
      </w:pPr>
      <w:r w:rsidRPr="005B0F89">
        <w:rPr>
          <w:sz w:val="18"/>
          <w:szCs w:val="18"/>
        </w:rPr>
        <w:lastRenderedPageBreak/>
        <w:t>항정신병약물의 효과에 대해서는 주의가 필요하다. 건강한 피험자에서 도파민 작용제와 길항제의 급성 투여 연구 결과를 조현병 환자에게 직접 적용하기는 어렵다. 조현병에서는 도파민 전달이 이미 증강되어 있으므로, 항정신병약물은 건강한 피험자에서처럼 저도파민 상태를 유도하기보다는 도파민 수준을 정상화하는 방향으로 작용할 가능성이 높다(Bhandari et al., 2016). 또한, 급성 단회 투여 연구가 만성 항정신병약물 사용의 약동학적, 약력학적 특성을 반영하지 못할 수 있다.</w:t>
      </w:r>
    </w:p>
    <w:p w14:paraId="2613C7C3" w14:textId="77777777" w:rsidR="00447046" w:rsidRPr="005B0F89" w:rsidRDefault="00000000">
      <w:pPr>
        <w:pStyle w:val="Heading2"/>
        <w:rPr>
          <w:sz w:val="20"/>
          <w:szCs w:val="20"/>
        </w:rPr>
      </w:pPr>
      <w:r w:rsidRPr="005B0F89">
        <w:rPr>
          <w:sz w:val="20"/>
          <w:szCs w:val="20"/>
        </w:rPr>
        <w:t>5.2 주요우울장애에서의 가소성과 약물 상호작용</w:t>
      </w:r>
    </w:p>
    <w:p w14:paraId="5FE35942" w14:textId="77777777" w:rsidR="00447046" w:rsidRPr="005B0F89" w:rsidRDefault="00000000">
      <w:pPr>
        <w:spacing w:after="200" w:line="360" w:lineRule="auto"/>
        <w:rPr>
          <w:sz w:val="18"/>
          <w:szCs w:val="18"/>
        </w:rPr>
      </w:pPr>
      <w:r w:rsidRPr="005B0F89">
        <w:rPr>
          <w:sz w:val="18"/>
          <w:szCs w:val="18"/>
        </w:rPr>
        <w:t>주요우울장애 환자에서도 피질 가소성 장애가 보고되어 있다. Cole 등(2023)의 연구에서 MDD 환자는 건강한 대조군에 비해 iTBS 유도 MEP 촉진이 손상되어 있었다. 흥미롭게도, DCS 투여는 MDD 환자에서 자극-반응 곡선(SRC) 변화를 정상화하였으며, 개인 수준에서 DCS 병용 시 iTBS 효과가 다음 날까지 지속되는 반면 위약 조건에서는 지속되지 않았다.</w:t>
      </w:r>
    </w:p>
    <w:p w14:paraId="2FE41584" w14:textId="77777777" w:rsidR="00447046" w:rsidRPr="005B0F89" w:rsidRDefault="00000000">
      <w:pPr>
        <w:spacing w:after="200" w:line="360" w:lineRule="auto"/>
        <w:rPr>
          <w:sz w:val="18"/>
          <w:szCs w:val="18"/>
        </w:rPr>
      </w:pPr>
      <w:r w:rsidRPr="005B0F89">
        <w:rPr>
          <w:sz w:val="18"/>
          <w:szCs w:val="18"/>
        </w:rPr>
        <w:t>이러한 발견은 임상 집단에서 손상된 가소성이 기전적으로 informed된 약물 보조제를 통해 "구출(rescue)"될 수 있음을 시사한다(Sohn et al., 2024). 이는 건강한 참가자에서 일관되지 않은 결과를 보인 약물이 병리적 조건에서는 상이하게 작용할 수 있음을 강조하며, 기초 연구 결과의 임상 적용 시 비선형성과 불일치 가능성에 대한 주의를 환기시킨다.</w:t>
      </w:r>
    </w:p>
    <w:p w14:paraId="5C1A28F1" w14:textId="77777777" w:rsidR="00447046" w:rsidRPr="005B0F89" w:rsidRDefault="00000000">
      <w:pPr>
        <w:rPr>
          <w:sz w:val="18"/>
          <w:szCs w:val="18"/>
        </w:rPr>
      </w:pPr>
      <w:r w:rsidRPr="005B0F89">
        <w:rPr>
          <w:sz w:val="18"/>
          <w:szCs w:val="18"/>
        </w:rPr>
        <w:br w:type="page"/>
      </w:r>
    </w:p>
    <w:p w14:paraId="72A18408" w14:textId="77777777" w:rsidR="00447046" w:rsidRPr="005B0F89" w:rsidRDefault="00000000">
      <w:pPr>
        <w:pStyle w:val="Heading1"/>
        <w:rPr>
          <w:sz w:val="21"/>
          <w:szCs w:val="21"/>
        </w:rPr>
      </w:pPr>
      <w:r w:rsidRPr="005B0F89">
        <w:rPr>
          <w:sz w:val="21"/>
          <w:szCs w:val="21"/>
        </w:rPr>
        <w:lastRenderedPageBreak/>
        <w:t>통합적 해석 틀: 비침습적 뇌자극과 약물치료의 예측</w:t>
      </w:r>
    </w:p>
    <w:p w14:paraId="395328FC" w14:textId="77777777" w:rsidR="00447046" w:rsidRPr="005B0F89" w:rsidRDefault="00000000">
      <w:pPr>
        <w:spacing w:after="200" w:line="360" w:lineRule="auto"/>
        <w:rPr>
          <w:sz w:val="18"/>
          <w:szCs w:val="18"/>
        </w:rPr>
      </w:pPr>
      <w:r w:rsidRPr="005B0F89">
        <w:rPr>
          <w:sz w:val="18"/>
          <w:szCs w:val="18"/>
        </w:rPr>
        <w:t>Nitsche 등(2012)이 제안한 도식(Figure 1)은 비침습적 뇌자극과 약물치료의 통합적 이해를 위한 유용한 틀을 제공한다. 이 모델에 따르면, 비침습적 뇌자극은 세 가지 수준에서 정보를 제공할 수 있다: (1) 비정상적 가소성의 식별 및 임상 증상과의 관계 탐색, (2) 약물이 비정상적 가소성에 미치는 영향 및 증상 완화에 대한 예측, (3) 약물 유도 임상 반응과 가소성 변화 간의 인과 관계 확립 시, 약물치료 반응성의 바이오마커로서 뇌자극 유도 가소성의 활용.</w:t>
      </w:r>
    </w:p>
    <w:p w14:paraId="46580B9C" w14:textId="77777777" w:rsidR="00447046" w:rsidRPr="005B0F89" w:rsidRDefault="00000000">
      <w:pPr>
        <w:spacing w:after="200" w:line="360" w:lineRule="auto"/>
        <w:rPr>
          <w:sz w:val="18"/>
          <w:szCs w:val="18"/>
        </w:rPr>
      </w:pPr>
      <w:r w:rsidRPr="005B0F89">
        <w:rPr>
          <w:sz w:val="18"/>
          <w:szCs w:val="18"/>
        </w:rPr>
        <w:t>파킨슨병 연구에서 이 원리가 잘 예시된다. 도파민 수준과 가소성 및 임상 증상이 긴밀하게 연결되어 있어, 뇌자극 유도 가소성이 임상적 회복의 바이오마커로 기능할 수 있다. 유사하게, 조현병에서 가소성 장애와 인지 기능장애 간의 관계, 그리고 항정신병약물이 가소성에 미치는 영향에 대한 이해는 치료 최적화에 기여할 수 있다.</w:t>
      </w:r>
    </w:p>
    <w:p w14:paraId="3AC24520" w14:textId="77777777" w:rsidR="00447046" w:rsidRPr="005B0F89" w:rsidRDefault="00000000">
      <w:pPr>
        <w:pStyle w:val="Heading1"/>
        <w:rPr>
          <w:sz w:val="21"/>
          <w:szCs w:val="21"/>
        </w:rPr>
      </w:pPr>
      <w:r w:rsidRPr="005B0F89">
        <w:rPr>
          <w:sz w:val="21"/>
          <w:szCs w:val="21"/>
        </w:rPr>
        <w:t>결론 및 향후 방향</w:t>
      </w:r>
    </w:p>
    <w:p w14:paraId="49E2B437" w14:textId="77777777" w:rsidR="00447046" w:rsidRPr="005B0F89" w:rsidRDefault="00000000">
      <w:pPr>
        <w:spacing w:after="200" w:line="360" w:lineRule="auto"/>
        <w:rPr>
          <w:sz w:val="18"/>
          <w:szCs w:val="18"/>
        </w:rPr>
      </w:pPr>
      <w:r w:rsidRPr="005B0F89">
        <w:rPr>
          <w:sz w:val="18"/>
          <w:szCs w:val="18"/>
        </w:rPr>
        <w:t>본 고찰을 통해 병용 약물요법과 TMS 간의 상호작용에 대한 몇 가지 핵심적 원리들이 도출된다:</w:t>
      </w:r>
    </w:p>
    <w:p w14:paraId="192888C9" w14:textId="77777777" w:rsidR="00447046" w:rsidRPr="005B0F89" w:rsidRDefault="00000000">
      <w:pPr>
        <w:spacing w:after="200" w:line="360" w:lineRule="auto"/>
        <w:rPr>
          <w:sz w:val="18"/>
          <w:szCs w:val="18"/>
        </w:rPr>
      </w:pPr>
      <w:r w:rsidRPr="005B0F89">
        <w:rPr>
          <w:b/>
          <w:bCs/>
          <w:sz w:val="18"/>
          <w:szCs w:val="18"/>
        </w:rPr>
        <w:t xml:space="preserve">첫째, </w:t>
      </w:r>
      <w:r w:rsidRPr="005B0F89">
        <w:rPr>
          <w:sz w:val="18"/>
          <w:szCs w:val="18"/>
        </w:rPr>
        <w:t>NMDA 수용체는 TMS 유도 가소성에 필수적이며, NMDA 수용체 작용제(DCS)를 통한 약물학적 증강은 임상적 치료 효과의 유의미한 향상으로 번역될 수 있다. Cole 등의 무작위 대조군 시험과 Vaughn 등의 사례 보고는 이러한 접근의 임상적 잠재력을 보여준다.</w:t>
      </w:r>
    </w:p>
    <w:p w14:paraId="43144296" w14:textId="77777777" w:rsidR="00447046" w:rsidRPr="005B0F89" w:rsidRDefault="00000000">
      <w:pPr>
        <w:spacing w:after="200" w:line="360" w:lineRule="auto"/>
        <w:rPr>
          <w:sz w:val="18"/>
          <w:szCs w:val="18"/>
        </w:rPr>
      </w:pPr>
      <w:r w:rsidRPr="005B0F89">
        <w:rPr>
          <w:b/>
          <w:bCs/>
          <w:sz w:val="18"/>
          <w:szCs w:val="18"/>
        </w:rPr>
        <w:t xml:space="preserve">둘째, </w:t>
      </w:r>
      <w:r w:rsidRPr="005B0F89">
        <w:rPr>
          <w:sz w:val="18"/>
          <w:szCs w:val="18"/>
        </w:rPr>
        <w:t>도파민계의 비선형적, 용량 의존적 특성은 적정 수준 유지의 중요성을 강조한다. 항정신병약물의 효과는 질환 상태와 기존 도파민 수준에 따라 달라질 수 있으며, 건강한 피험자 연구 결과의 직접적 적용에는 한계가 있다.</w:t>
      </w:r>
    </w:p>
    <w:p w14:paraId="7B4B5DD7" w14:textId="77777777" w:rsidR="00447046" w:rsidRPr="005B0F89" w:rsidRDefault="00000000">
      <w:pPr>
        <w:spacing w:after="200" w:line="360" w:lineRule="auto"/>
        <w:rPr>
          <w:sz w:val="18"/>
          <w:szCs w:val="18"/>
        </w:rPr>
      </w:pPr>
      <w:r w:rsidRPr="005B0F89">
        <w:rPr>
          <w:b/>
          <w:bCs/>
          <w:sz w:val="18"/>
          <w:szCs w:val="18"/>
        </w:rPr>
        <w:t xml:space="preserve">셋째, </w:t>
      </w:r>
      <w:r w:rsidRPr="005B0F89">
        <w:rPr>
          <w:sz w:val="18"/>
          <w:szCs w:val="18"/>
        </w:rPr>
        <w:t>GABA계 약물(벤조디아제핀)은 TMS 유도 가소성과 임상 반응을 감소시킬 수 있는 반면, 노르아드레날린성 약물(정신자극제)은 증강시킬 수 있다. 이러한 결과는 TMS 치료 계획 수립 시 병용 약물의 영향을 고려해야 함을 시사한다.</w:t>
      </w:r>
    </w:p>
    <w:p w14:paraId="155BE9C9" w14:textId="77777777" w:rsidR="00447046" w:rsidRPr="005B0F89" w:rsidRDefault="00000000">
      <w:pPr>
        <w:spacing w:after="200" w:line="360" w:lineRule="auto"/>
        <w:rPr>
          <w:sz w:val="18"/>
          <w:szCs w:val="18"/>
        </w:rPr>
      </w:pPr>
      <w:r w:rsidRPr="005B0F89">
        <w:rPr>
          <w:b/>
          <w:bCs/>
          <w:sz w:val="18"/>
          <w:szCs w:val="18"/>
        </w:rPr>
        <w:t xml:space="preserve">넷째, </w:t>
      </w:r>
      <w:r w:rsidRPr="005B0F89">
        <w:rPr>
          <w:sz w:val="18"/>
          <w:szCs w:val="18"/>
        </w:rPr>
        <w:t>이론적으로, BCM 모델 및 준가소성 개념은 TMS 프로토콜 설계와 약물 병용의 최적화를 위한 틀을 제공한다. 자극 간격, 세션 수, 약물 투여 시점 등이 가소성 유도의 방향과 크기에 영향을 미칠 수 있다.</w:t>
      </w:r>
    </w:p>
    <w:p w14:paraId="02246E0F" w14:textId="77777777" w:rsidR="00447046" w:rsidRPr="005B0F89" w:rsidRDefault="00000000">
      <w:pPr>
        <w:spacing w:after="200" w:line="360" w:lineRule="auto"/>
        <w:rPr>
          <w:sz w:val="18"/>
          <w:szCs w:val="18"/>
        </w:rPr>
      </w:pPr>
      <w:r w:rsidRPr="005B0F89">
        <w:rPr>
          <w:sz w:val="18"/>
          <w:szCs w:val="18"/>
        </w:rPr>
        <w:t>향후 연구에서는 다음 사항들이 중요하게 다루어져야 한다: (1) 약물학적으로 증강된 TMS 프로토콜의 대규모 무작위 대조군 시험을 통한 효능 확인 및 독립적 재현, (2) 다양한 임상 집단에서 기전적으로 informed된 보조제의 체계적 평가, (3) 급성 투여와 만성 투여의 차별적 효과 규명, (4) 신경생리학적 가소성 지표와 임상 반응 간의 관계에 대한 전향적 연구. 이러한 노력들은 정밀 정신의학적 접근을 통한 개인화된 TMS 치료 전략 개발에 기여할 것이다.</w:t>
      </w:r>
    </w:p>
    <w:p w14:paraId="4A9EE51A" w14:textId="77777777" w:rsidR="00447046" w:rsidRPr="005B0F89" w:rsidRDefault="00000000">
      <w:pPr>
        <w:rPr>
          <w:sz w:val="18"/>
          <w:szCs w:val="18"/>
        </w:rPr>
      </w:pPr>
      <w:r w:rsidRPr="005B0F89">
        <w:rPr>
          <w:sz w:val="18"/>
          <w:szCs w:val="18"/>
        </w:rPr>
        <w:br w:type="page"/>
      </w:r>
    </w:p>
    <w:p w14:paraId="4CC8045E" w14:textId="77777777" w:rsidR="00447046" w:rsidRPr="005B0F89" w:rsidRDefault="00000000">
      <w:pPr>
        <w:pStyle w:val="Heading1"/>
        <w:rPr>
          <w:sz w:val="21"/>
          <w:szCs w:val="21"/>
        </w:rPr>
      </w:pPr>
      <w:r w:rsidRPr="005B0F89">
        <w:rPr>
          <w:sz w:val="21"/>
          <w:szCs w:val="21"/>
        </w:rPr>
        <w:lastRenderedPageBreak/>
        <w:t>참고문헌</w:t>
      </w:r>
    </w:p>
    <w:p w14:paraId="305C6689" w14:textId="77777777" w:rsidR="00447046" w:rsidRPr="005B0F89" w:rsidRDefault="00000000">
      <w:pPr>
        <w:spacing w:after="120" w:line="280" w:lineRule="auto"/>
        <w:rPr>
          <w:sz w:val="18"/>
          <w:szCs w:val="18"/>
        </w:rPr>
      </w:pPr>
      <w:r w:rsidRPr="005B0F89">
        <w:rPr>
          <w:sz w:val="16"/>
          <w:szCs w:val="16"/>
        </w:rPr>
        <w:t xml:space="preserve">Bhandari, A., et al. (2016). A Review of Impaired Neuroplasticity in Schizophrenia Investigated with Non-invasive Brain Stimulation. </w:t>
      </w:r>
      <w:r w:rsidRPr="005B0F89">
        <w:rPr>
          <w:i/>
          <w:iCs/>
          <w:sz w:val="16"/>
          <w:szCs w:val="16"/>
        </w:rPr>
        <w:t>Frontiers in Psychiatry</w:t>
      </w:r>
      <w:r w:rsidRPr="005B0F89">
        <w:rPr>
          <w:sz w:val="16"/>
          <w:szCs w:val="16"/>
        </w:rPr>
        <w:t>, 7, 45.</w:t>
      </w:r>
    </w:p>
    <w:p w14:paraId="63D66E2F" w14:textId="77777777" w:rsidR="00447046" w:rsidRPr="005B0F89" w:rsidRDefault="00000000">
      <w:pPr>
        <w:spacing w:after="120" w:line="280" w:lineRule="auto"/>
        <w:rPr>
          <w:sz w:val="18"/>
          <w:szCs w:val="18"/>
        </w:rPr>
      </w:pPr>
      <w:r w:rsidRPr="005B0F89">
        <w:rPr>
          <w:sz w:val="16"/>
          <w:szCs w:val="16"/>
        </w:rPr>
        <w:t xml:space="preserve">Hunter, A.M., et al. (2019). Concomitant medication use and clinical outcome of repetitive Transcranial Magnetic Stimulation (rTMS) treatment of Major Depressive Disorder. </w:t>
      </w:r>
      <w:r w:rsidRPr="005B0F89">
        <w:rPr>
          <w:i/>
          <w:iCs/>
          <w:sz w:val="16"/>
          <w:szCs w:val="16"/>
        </w:rPr>
        <w:t>Brain and Behavior</w:t>
      </w:r>
      <w:r w:rsidRPr="005B0F89">
        <w:rPr>
          <w:sz w:val="16"/>
          <w:szCs w:val="16"/>
        </w:rPr>
        <w:t>, 9, e01275.</w:t>
      </w:r>
    </w:p>
    <w:p w14:paraId="344DE7CD" w14:textId="77777777" w:rsidR="00447046" w:rsidRPr="005B0F89" w:rsidRDefault="00000000">
      <w:pPr>
        <w:spacing w:after="120" w:line="280" w:lineRule="auto"/>
        <w:rPr>
          <w:sz w:val="18"/>
          <w:szCs w:val="18"/>
        </w:rPr>
      </w:pPr>
      <w:r w:rsidRPr="005B0F89">
        <w:rPr>
          <w:sz w:val="16"/>
          <w:szCs w:val="16"/>
        </w:rPr>
        <w:t xml:space="preserve">Nitsche, M.A., et al. (2012). Pharmacology of transcranial direct current stimulation and transcranial magnetic stimulation for cognitive enhancement. </w:t>
      </w:r>
      <w:r w:rsidRPr="005B0F89">
        <w:rPr>
          <w:i/>
          <w:iCs/>
          <w:sz w:val="16"/>
          <w:szCs w:val="16"/>
        </w:rPr>
        <w:t>Journal of Physiology</w:t>
      </w:r>
      <w:r w:rsidRPr="005B0F89">
        <w:rPr>
          <w:sz w:val="16"/>
          <w:szCs w:val="16"/>
        </w:rPr>
        <w:t>, 590(19), 4641-4662.</w:t>
      </w:r>
    </w:p>
    <w:p w14:paraId="2BC27E70" w14:textId="77777777" w:rsidR="00447046" w:rsidRPr="005B0F89" w:rsidRDefault="00000000">
      <w:pPr>
        <w:spacing w:after="120" w:line="280" w:lineRule="auto"/>
        <w:rPr>
          <w:sz w:val="18"/>
          <w:szCs w:val="18"/>
        </w:rPr>
      </w:pPr>
      <w:r w:rsidRPr="005B0F89">
        <w:rPr>
          <w:sz w:val="16"/>
          <w:szCs w:val="16"/>
        </w:rPr>
        <w:t xml:space="preserve">Petelin, D.S., et al. (2023). Comparison of the Effectiveness of Transcranial Magnetic Stimulation Protocols as an Adjunct to the Pharmacotherapy of Refractory Depression with Comorbid Chronic Pain. </w:t>
      </w:r>
      <w:r w:rsidRPr="005B0F89">
        <w:rPr>
          <w:i/>
          <w:iCs/>
          <w:sz w:val="16"/>
          <w:szCs w:val="16"/>
        </w:rPr>
        <w:t>Neuroscience and Behavioral Physiology</w:t>
      </w:r>
      <w:r w:rsidRPr="005B0F89">
        <w:rPr>
          <w:sz w:val="16"/>
          <w:szCs w:val="16"/>
        </w:rPr>
        <w:t>, 53(3), 365-374.</w:t>
      </w:r>
    </w:p>
    <w:p w14:paraId="5F7955CB" w14:textId="77777777" w:rsidR="00447046" w:rsidRPr="005B0F89" w:rsidRDefault="00000000">
      <w:pPr>
        <w:spacing w:after="120" w:line="280" w:lineRule="auto"/>
        <w:rPr>
          <w:sz w:val="18"/>
          <w:szCs w:val="18"/>
        </w:rPr>
      </w:pPr>
      <w:r w:rsidRPr="005B0F89">
        <w:rPr>
          <w:sz w:val="16"/>
          <w:szCs w:val="16"/>
        </w:rPr>
        <w:t xml:space="preserve">Sohn, M.N., et al. (2024). Pharmacological adjuvants and TMS plasticity: A systematic review. </w:t>
      </w:r>
      <w:r w:rsidRPr="005B0F89">
        <w:rPr>
          <w:i/>
          <w:iCs/>
          <w:sz w:val="16"/>
          <w:szCs w:val="16"/>
        </w:rPr>
        <w:t>Journal of Psychiatry and Neuroscience</w:t>
      </w:r>
      <w:r w:rsidRPr="005B0F89">
        <w:rPr>
          <w:sz w:val="16"/>
          <w:szCs w:val="16"/>
        </w:rPr>
        <w:t>, 49(1), E60-E78.</w:t>
      </w:r>
    </w:p>
    <w:p w14:paraId="4CDD350C" w14:textId="77777777" w:rsidR="00447046" w:rsidRPr="005B0F89" w:rsidRDefault="00000000">
      <w:pPr>
        <w:spacing w:after="120" w:line="280" w:lineRule="auto"/>
        <w:rPr>
          <w:sz w:val="18"/>
          <w:szCs w:val="18"/>
        </w:rPr>
      </w:pPr>
      <w:r w:rsidRPr="005B0F89">
        <w:rPr>
          <w:sz w:val="16"/>
          <w:szCs w:val="16"/>
        </w:rPr>
        <w:t xml:space="preserve">Vaughn, D., et al. (2025). Single-day TMS regimens with pharmacological augmentation of plasticity: Five cases. </w:t>
      </w:r>
      <w:r w:rsidRPr="005B0F89">
        <w:rPr>
          <w:i/>
          <w:iCs/>
          <w:sz w:val="16"/>
          <w:szCs w:val="16"/>
        </w:rPr>
        <w:t>Transcranial Magnetic Stimulation</w:t>
      </w:r>
      <w:r w:rsidRPr="005B0F89">
        <w:rPr>
          <w:sz w:val="16"/>
          <w:szCs w:val="16"/>
        </w:rPr>
        <w:t>, 4, 100176.</w:t>
      </w:r>
    </w:p>
    <w:p w14:paraId="5D48E134" w14:textId="77777777" w:rsidR="00447046" w:rsidRPr="005B0F89" w:rsidRDefault="00000000">
      <w:pPr>
        <w:spacing w:after="120" w:line="280" w:lineRule="auto"/>
        <w:rPr>
          <w:sz w:val="18"/>
          <w:szCs w:val="18"/>
        </w:rPr>
      </w:pPr>
      <w:r w:rsidRPr="005B0F89">
        <w:rPr>
          <w:sz w:val="16"/>
          <w:szCs w:val="16"/>
        </w:rPr>
        <w:t xml:space="preserve">Wathra, R., et al. (2023). Prior pharmacotherapy and remission with TBS and rTMS in late-life depression. </w:t>
      </w:r>
      <w:r w:rsidRPr="005B0F89">
        <w:rPr>
          <w:i/>
          <w:iCs/>
          <w:sz w:val="16"/>
          <w:szCs w:val="16"/>
        </w:rPr>
        <w:t>British Journal of Psychiatry</w:t>
      </w:r>
      <w:r w:rsidRPr="005B0F89">
        <w:rPr>
          <w:sz w:val="16"/>
          <w:szCs w:val="16"/>
        </w:rPr>
        <w:t>, 223, 503-506.</w:t>
      </w:r>
    </w:p>
    <w:sectPr w:rsidR="00447046" w:rsidRPr="005B0F8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561"/>
    <w:multiLevelType w:val="hybridMultilevel"/>
    <w:tmpl w:val="B6F8C6A4"/>
    <w:lvl w:ilvl="0" w:tplc="26FC0746">
      <w:start w:val="1"/>
      <w:numFmt w:val="decimal"/>
      <w:lvlText w:val="%1."/>
      <w:lvlJc w:val="left"/>
      <w:pPr>
        <w:ind w:left="720" w:hanging="360"/>
      </w:pPr>
    </w:lvl>
    <w:lvl w:ilvl="1" w:tplc="8596588E">
      <w:numFmt w:val="decimal"/>
      <w:lvlText w:val=""/>
      <w:lvlJc w:val="left"/>
    </w:lvl>
    <w:lvl w:ilvl="2" w:tplc="9A729270">
      <w:numFmt w:val="decimal"/>
      <w:lvlText w:val=""/>
      <w:lvlJc w:val="left"/>
    </w:lvl>
    <w:lvl w:ilvl="3" w:tplc="73C496C6">
      <w:numFmt w:val="decimal"/>
      <w:lvlText w:val=""/>
      <w:lvlJc w:val="left"/>
    </w:lvl>
    <w:lvl w:ilvl="4" w:tplc="D29C588E">
      <w:numFmt w:val="decimal"/>
      <w:lvlText w:val=""/>
      <w:lvlJc w:val="left"/>
    </w:lvl>
    <w:lvl w:ilvl="5" w:tplc="99D0670C">
      <w:numFmt w:val="decimal"/>
      <w:lvlText w:val=""/>
      <w:lvlJc w:val="left"/>
    </w:lvl>
    <w:lvl w:ilvl="6" w:tplc="AD50613A">
      <w:numFmt w:val="decimal"/>
      <w:lvlText w:val=""/>
      <w:lvlJc w:val="left"/>
    </w:lvl>
    <w:lvl w:ilvl="7" w:tplc="553C6164">
      <w:numFmt w:val="decimal"/>
      <w:lvlText w:val=""/>
      <w:lvlJc w:val="left"/>
    </w:lvl>
    <w:lvl w:ilvl="8" w:tplc="B3D2ED54">
      <w:numFmt w:val="decimal"/>
      <w:lvlText w:val=""/>
      <w:lvlJc w:val="left"/>
    </w:lvl>
  </w:abstractNum>
  <w:abstractNum w:abstractNumId="1" w15:restartNumberingAfterBreak="0">
    <w:nsid w:val="250735AC"/>
    <w:multiLevelType w:val="hybridMultilevel"/>
    <w:tmpl w:val="6FFEECD8"/>
    <w:lvl w:ilvl="0" w:tplc="C304F398">
      <w:start w:val="1"/>
      <w:numFmt w:val="bullet"/>
      <w:lvlText w:val="●"/>
      <w:lvlJc w:val="left"/>
      <w:pPr>
        <w:ind w:left="720" w:hanging="360"/>
      </w:pPr>
    </w:lvl>
    <w:lvl w:ilvl="1" w:tplc="D60650D4">
      <w:start w:val="1"/>
      <w:numFmt w:val="bullet"/>
      <w:lvlText w:val="○"/>
      <w:lvlJc w:val="left"/>
      <w:pPr>
        <w:ind w:left="1440" w:hanging="360"/>
      </w:pPr>
    </w:lvl>
    <w:lvl w:ilvl="2" w:tplc="587AA5FA">
      <w:start w:val="1"/>
      <w:numFmt w:val="bullet"/>
      <w:lvlText w:val="■"/>
      <w:lvlJc w:val="left"/>
      <w:pPr>
        <w:ind w:left="2160" w:hanging="360"/>
      </w:pPr>
    </w:lvl>
    <w:lvl w:ilvl="3" w:tplc="FCD89142">
      <w:start w:val="1"/>
      <w:numFmt w:val="bullet"/>
      <w:lvlText w:val="●"/>
      <w:lvlJc w:val="left"/>
      <w:pPr>
        <w:ind w:left="2880" w:hanging="360"/>
      </w:pPr>
    </w:lvl>
    <w:lvl w:ilvl="4" w:tplc="38FA5E9C">
      <w:start w:val="1"/>
      <w:numFmt w:val="bullet"/>
      <w:lvlText w:val="○"/>
      <w:lvlJc w:val="left"/>
      <w:pPr>
        <w:ind w:left="3600" w:hanging="360"/>
      </w:pPr>
    </w:lvl>
    <w:lvl w:ilvl="5" w:tplc="213C5B38">
      <w:start w:val="1"/>
      <w:numFmt w:val="bullet"/>
      <w:lvlText w:val="■"/>
      <w:lvlJc w:val="left"/>
      <w:pPr>
        <w:ind w:left="4320" w:hanging="360"/>
      </w:pPr>
    </w:lvl>
    <w:lvl w:ilvl="6" w:tplc="E9A6478E">
      <w:start w:val="1"/>
      <w:numFmt w:val="bullet"/>
      <w:lvlText w:val="●"/>
      <w:lvlJc w:val="left"/>
      <w:pPr>
        <w:ind w:left="5040" w:hanging="360"/>
      </w:pPr>
    </w:lvl>
    <w:lvl w:ilvl="7" w:tplc="80BC2360">
      <w:start w:val="1"/>
      <w:numFmt w:val="bullet"/>
      <w:lvlText w:val="●"/>
      <w:lvlJc w:val="left"/>
      <w:pPr>
        <w:ind w:left="5760" w:hanging="360"/>
      </w:pPr>
    </w:lvl>
    <w:lvl w:ilvl="8" w:tplc="A52E7C6E">
      <w:start w:val="1"/>
      <w:numFmt w:val="bullet"/>
      <w:lvlText w:val="●"/>
      <w:lvlJc w:val="left"/>
      <w:pPr>
        <w:ind w:left="6480" w:hanging="360"/>
      </w:pPr>
    </w:lvl>
  </w:abstractNum>
  <w:num w:numId="1" w16cid:durableId="10282206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046"/>
    <w:rsid w:val="00447046"/>
    <w:rsid w:val="005B0F89"/>
    <w:rsid w:val="009C17C1"/>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37B46D0"/>
  <w15:docId w15:val="{369C007F-FCA7-A34E-B70D-C540715A4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32"/>
      <w:szCs w:val="32"/>
    </w:rPr>
  </w:style>
  <w:style w:type="paragraph" w:styleId="Heading2">
    <w:name w:val="heading 2"/>
    <w:uiPriority w:val="9"/>
    <w:unhideWhenUsed/>
    <w:qFormat/>
    <w:pPr>
      <w:spacing w:before="300" w:after="180"/>
      <w:outlineLvl w:val="1"/>
    </w:pPr>
    <w:rPr>
      <w:b/>
      <w:bCs/>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2048</Words>
  <Characters>8821</Characters>
  <Application>Microsoft Office Word</Application>
  <DocSecurity>0</DocSecurity>
  <Lines>184</Lines>
  <Paragraphs>68</Paragraphs>
  <ScaleCrop>false</ScaleCrop>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정성훈</cp:lastModifiedBy>
  <cp:revision>2</cp:revision>
  <dcterms:created xsi:type="dcterms:W3CDTF">2026-01-27T03:24:00Z</dcterms:created>
  <dcterms:modified xsi:type="dcterms:W3CDTF">2026-01-27T03:40:00Z</dcterms:modified>
</cp:coreProperties>
</file>