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51BB" w14:textId="77777777" w:rsidR="00FA733C" w:rsidRPr="007B4646" w:rsidRDefault="00000000">
      <w:pPr>
        <w:pStyle w:val="Heading1"/>
        <w:rPr>
          <w:sz w:val="32"/>
          <w:szCs w:val="32"/>
        </w:rPr>
      </w:pPr>
      <w:bookmarkStart w:id="0" w:name="X2bdeb9c3aae0ac6fe737f4f17de88a67c3a27bb"/>
      <w:r w:rsidRPr="007B4646">
        <w:rPr>
          <w:sz w:val="32"/>
          <w:szCs w:val="32"/>
        </w:rPr>
        <w:t>ECT-Induced Neuroplasticity and the Metaplastic Window: Molecular, Cellular, and Systems-Level Mechanisms</w:t>
      </w:r>
    </w:p>
    <w:p w14:paraId="5449625A" w14:textId="77777777" w:rsidR="00FA733C" w:rsidRPr="007B4646" w:rsidRDefault="00000000">
      <w:pPr>
        <w:pStyle w:val="FirstParagraph"/>
        <w:rPr>
          <w:sz w:val="21"/>
          <w:szCs w:val="21"/>
        </w:rPr>
      </w:pPr>
      <w:r w:rsidRPr="007B4646">
        <w:rPr>
          <w:sz w:val="21"/>
          <w:szCs w:val="21"/>
        </w:rPr>
        <w:t xml:space="preserve">Electroconvulsive therapy remains the most efficacious intervention for treatment-resistant major depressive disorder, yet its mechanisms have only recently begun to yield to molecular and cellular interrogation. </w:t>
      </w:r>
      <w:r w:rsidRPr="007B4646">
        <w:rPr>
          <w:b/>
          <w:bCs/>
          <w:sz w:val="21"/>
          <w:szCs w:val="21"/>
        </w:rPr>
        <w:t>The "metaplastic window" hypothesis proposes that ECT induces a time-limited period of enhanced neural plasticity—spanning hours to days—during which pathological circuits become amenable to adaptive restructuring.</w:t>
      </w:r>
      <w:r w:rsidRPr="007B4646">
        <w:rPr>
          <w:sz w:val="21"/>
          <w:szCs w:val="21"/>
        </w:rPr>
        <w:t xml:space="preserve"> This framework integrates decades of research on neurotrophic signaling, synaptic remodeling, epigenetic reprogramming, and glial contributions into a coherent mechanistic model. The convergence of multiple plasticity-promoting cascades creates what may be understood as a neurobiological opportunity for therapeutic change, explaining both the rapidity of ECT's effects compared to pharmacotherapy and the importance of treatment spacing. This report synthesizes evidence from human ECT studies and animal electroconvulsive seizure (ECS) models to delineate the molecular architecture underlying this metaplastic priming phenomenon.</w:t>
      </w:r>
    </w:p>
    <w:p w14:paraId="1E4EF46F" w14:textId="77777777" w:rsidR="00FA733C" w:rsidRPr="007B4646" w:rsidRDefault="000D1F1C">
      <w:pPr>
        <w:rPr>
          <w:sz w:val="21"/>
          <w:szCs w:val="21"/>
        </w:rPr>
      </w:pPr>
      <w:r w:rsidRPr="000D1F1C">
        <w:rPr>
          <w:noProof/>
          <w:sz w:val="21"/>
          <w:szCs w:val="21"/>
        </w:rPr>
        <w:pict w14:anchorId="68816630">
          <v:rect id="_x0000_i1034" alt="" style="width:468pt;height:.05pt;mso-width-percent:0;mso-height-percent:0;mso-width-percent:0;mso-height-percent:0" o:hralign="center" o:hrstd="t" o:hr="t"/>
        </w:pict>
      </w:r>
    </w:p>
    <w:p w14:paraId="560402B7" w14:textId="77777777" w:rsidR="00FA733C" w:rsidRPr="007B4646" w:rsidRDefault="00000000">
      <w:pPr>
        <w:pStyle w:val="Heading2"/>
        <w:rPr>
          <w:sz w:val="24"/>
          <w:szCs w:val="24"/>
        </w:rPr>
      </w:pPr>
      <w:bookmarkStart w:id="1" w:name="X4a707a189c4a8e5795d6cc0d9bf06deb4e1da72"/>
      <w:r w:rsidRPr="007B4646">
        <w:rPr>
          <w:sz w:val="24"/>
          <w:szCs w:val="24"/>
        </w:rPr>
        <w:t>BDNF signaling orchestrates the primary neurotrophic cascade</w:t>
      </w:r>
    </w:p>
    <w:p w14:paraId="72E90FC0" w14:textId="77777777" w:rsidR="00FA733C" w:rsidRPr="007B4646" w:rsidRDefault="00000000">
      <w:pPr>
        <w:pStyle w:val="FirstParagraph"/>
        <w:rPr>
          <w:sz w:val="21"/>
          <w:szCs w:val="21"/>
        </w:rPr>
      </w:pPr>
      <w:r w:rsidRPr="007B4646">
        <w:rPr>
          <w:sz w:val="21"/>
          <w:szCs w:val="21"/>
        </w:rPr>
        <w:t>Brain-derived neurotrophic factor (BDNF) occupies a central position in ECT's mechanism of action, with electroconvulsive seizures producing the most robust BDNF upregulation of any psychiatric intervention studied to date. The BDNF signaling cascade initiates when mature BDNF binds the tropomyosin-related kinase B (TrkB) receptor, inducing receptor dimerization and autophosphorylation at intracellular tyrosine residues Y490, Y515, and Y816 (Minichiello, 2009). This phosphorylation activates three major downstream pathways that collectively promote neuronal survival, synaptic strengthening, and gene transcription essential for sustained plasticity.</w:t>
      </w:r>
    </w:p>
    <w:p w14:paraId="720E40D1" w14:textId="77777777" w:rsidR="00FA733C" w:rsidRPr="007B4646" w:rsidRDefault="00000000">
      <w:pPr>
        <w:pStyle w:val="BodyText"/>
        <w:rPr>
          <w:sz w:val="21"/>
          <w:szCs w:val="21"/>
        </w:rPr>
      </w:pPr>
      <w:r w:rsidRPr="007B4646">
        <w:rPr>
          <w:sz w:val="21"/>
          <w:szCs w:val="21"/>
        </w:rPr>
        <w:t xml:space="preserve">The </w:t>
      </w:r>
      <w:r w:rsidRPr="007B4646">
        <w:rPr>
          <w:b/>
          <w:bCs/>
          <w:sz w:val="21"/>
          <w:szCs w:val="21"/>
        </w:rPr>
        <w:t>MAPK/ERK pathway</w:t>
      </w:r>
      <w:r w:rsidRPr="007B4646">
        <w:rPr>
          <w:sz w:val="21"/>
          <w:szCs w:val="21"/>
        </w:rPr>
        <w:t xml:space="preserve"> represents the primary transcriptional arm of BDNF signaling. Phosphorylated Y515 recruits the Shc/Grb2/SOS adapter complex, activating the canonical Ras → Raf → MEK → ERK1/2 cascade. Nuclear translocation of ERK phosphorylates cAMP response element-binding protein (CREB) at Ser133, initiating transcription of plasticity genes including </w:t>
      </w:r>
      <w:r w:rsidRPr="007B4646">
        <w:rPr>
          <w:i/>
          <w:iCs/>
          <w:sz w:val="21"/>
          <w:szCs w:val="21"/>
        </w:rPr>
        <w:t>c-fos</w:t>
      </w:r>
      <w:r w:rsidRPr="007B4646">
        <w:rPr>
          <w:sz w:val="21"/>
          <w:szCs w:val="21"/>
        </w:rPr>
        <w:t xml:space="preserve">, </w:t>
      </w:r>
      <w:r w:rsidRPr="007B4646">
        <w:rPr>
          <w:i/>
          <w:iCs/>
          <w:sz w:val="21"/>
          <w:szCs w:val="21"/>
        </w:rPr>
        <w:t>Arc</w:t>
      </w:r>
      <w:r w:rsidRPr="007B4646">
        <w:rPr>
          <w:sz w:val="21"/>
          <w:szCs w:val="21"/>
        </w:rPr>
        <w:t xml:space="preserve">, </w:t>
      </w:r>
      <w:r w:rsidRPr="007B4646">
        <w:rPr>
          <w:i/>
          <w:iCs/>
          <w:sz w:val="21"/>
          <w:szCs w:val="21"/>
        </w:rPr>
        <w:t>Egr1</w:t>
      </w:r>
      <w:r w:rsidRPr="007B4646">
        <w:rPr>
          <w:sz w:val="21"/>
          <w:szCs w:val="21"/>
        </w:rPr>
        <w:t>, and BDNF itself—creating a positive feedback loop (Nibuya et al., 1995). Animal studies demonstrate robust ERK phosphorylation in hippocampus within 30-60 minutes post-ECS, peaking at 2-4 hours and returning to baseline by 24 hours.</w:t>
      </w:r>
    </w:p>
    <w:p w14:paraId="27D98CBC" w14:textId="77777777" w:rsidR="00FA733C" w:rsidRPr="007B4646" w:rsidRDefault="00000000">
      <w:pPr>
        <w:pStyle w:val="BodyText"/>
        <w:rPr>
          <w:sz w:val="21"/>
          <w:szCs w:val="21"/>
        </w:rPr>
      </w:pPr>
      <w:r w:rsidRPr="007B4646">
        <w:rPr>
          <w:sz w:val="21"/>
          <w:szCs w:val="21"/>
        </w:rPr>
        <w:t xml:space="preserve">The </w:t>
      </w:r>
      <w:r w:rsidRPr="007B4646">
        <w:rPr>
          <w:b/>
          <w:bCs/>
          <w:sz w:val="21"/>
          <w:szCs w:val="21"/>
        </w:rPr>
        <w:t>PI3K/Akt pathway</w:t>
      </w:r>
      <w:r w:rsidRPr="007B4646">
        <w:rPr>
          <w:sz w:val="21"/>
          <w:szCs w:val="21"/>
        </w:rPr>
        <w:t xml:space="preserve"> mediates cell survival signaling critical for neuroprotection. Phosphorylated Y515 also recruits IRS-1/2, activating phosphatidylinositol 3-kinase (PI3K). The resulting PIP3 generation recruits Akt to the membrane, where PDK1 and mTORC2 phosphorylate it at Thr308 and Ser473, respectively. Activated Akt inhibits glycogen synthase kinase-3β (GSK-3β) through Ser9 phosphorylation, promoting neuronal survival and β-catenin stabilization. The downstream activation of mTOR enhances protein synthesis required for synaptic plasticity consolidation (Duman &amp; Voleti, 2012).</w:t>
      </w:r>
    </w:p>
    <w:p w14:paraId="5FF8D70B" w14:textId="77777777" w:rsidR="00FA733C" w:rsidRPr="007B4646" w:rsidRDefault="00000000">
      <w:pPr>
        <w:pStyle w:val="BodyText"/>
        <w:rPr>
          <w:sz w:val="21"/>
          <w:szCs w:val="21"/>
        </w:rPr>
      </w:pPr>
      <w:r w:rsidRPr="007B4646">
        <w:rPr>
          <w:sz w:val="21"/>
          <w:szCs w:val="21"/>
        </w:rPr>
        <w:t xml:space="preserve">The </w:t>
      </w:r>
      <w:r w:rsidRPr="007B4646">
        <w:rPr>
          <w:b/>
          <w:bCs/>
          <w:sz w:val="21"/>
          <w:szCs w:val="21"/>
        </w:rPr>
        <w:t>PLCγ pathway</w:t>
      </w:r>
      <w:r w:rsidRPr="007B4646">
        <w:rPr>
          <w:sz w:val="21"/>
          <w:szCs w:val="21"/>
        </w:rPr>
        <w:t xml:space="preserve"> couples BDNF signaling to calcium-dependent mechanisms essential for synaptic modification. Phosphorylated Y816 directly activates phospholipase C-γ1, which cleaves PIP2 into diacylglycerol (DAG) and inositol trisphosphate (IP3). IP3-triggered calcium release from endoplasmic reticulum stores activates calcium/calmodulin-dependent protein kinase II (CaMKII), the molecular switch critical for long-term potentiation (LTP) induction. This pathway is particularly relevant to ECT's metaplastic effects, as CaMKII autophosphorylation at Thr286 creates molecular memory of prior activation.</w:t>
      </w:r>
    </w:p>
    <w:p w14:paraId="685EBD86" w14:textId="77777777" w:rsidR="00FA733C" w:rsidRPr="007B4646" w:rsidRDefault="00000000">
      <w:pPr>
        <w:pStyle w:val="Heading3"/>
        <w:rPr>
          <w:sz w:val="22"/>
          <w:szCs w:val="22"/>
        </w:rPr>
      </w:pPr>
      <w:bookmarkStart w:id="2" w:name="Xa99f2d624e4ab01a454919eaa49079f770b78f1"/>
      <w:r w:rsidRPr="007B4646">
        <w:rPr>
          <w:sz w:val="22"/>
          <w:szCs w:val="22"/>
        </w:rPr>
        <w:lastRenderedPageBreak/>
        <w:t>Temporal dynamics of BDNF upregulation reveal treatment-relevant kinetics</w:t>
      </w:r>
    </w:p>
    <w:p w14:paraId="1599B98A" w14:textId="77777777" w:rsidR="00FA733C" w:rsidRPr="007B4646" w:rsidRDefault="00000000">
      <w:pPr>
        <w:pStyle w:val="FirstParagraph"/>
        <w:rPr>
          <w:sz w:val="21"/>
          <w:szCs w:val="21"/>
        </w:rPr>
      </w:pPr>
      <w:r w:rsidRPr="007B4646">
        <w:rPr>
          <w:sz w:val="21"/>
          <w:szCs w:val="21"/>
        </w:rPr>
        <w:t xml:space="preserve">The time course of BDNF changes following ECT has been characterized across multiple biological compartments. In human serum studies, meta-analysis by Brunoni et al. (2014) demonstrated that ECT significantly increases serum BDNF with an effect size of Hedges' g = 0.56 (95% CI: 0.30-0.82). Individual studies report </w:t>
      </w:r>
      <w:r w:rsidRPr="007B4646">
        <w:rPr>
          <w:b/>
          <w:bCs/>
          <w:sz w:val="21"/>
          <w:szCs w:val="21"/>
        </w:rPr>
        <w:t>30-100% increases</w:t>
      </w:r>
      <w:r w:rsidRPr="007B4646">
        <w:rPr>
          <w:sz w:val="21"/>
          <w:szCs w:val="21"/>
        </w:rPr>
        <w:t xml:space="preserve"> from baseline following a typical 6-12 session ECT course, with levels remaining elevated for approximately one week post-completion before gradually returning toward baseline over subsequent months (Rocha et al., 2016). Notably, lower baseline BDNF predicts better ECT response, and BDNF increases correlate with Hamilton Depression Rating Scale improvement (r = -0.54) (Piccinni et al., 2009).</w:t>
      </w:r>
    </w:p>
    <w:p w14:paraId="456FA046" w14:textId="77777777" w:rsidR="00FA733C" w:rsidRPr="007B4646" w:rsidRDefault="00000000">
      <w:pPr>
        <w:pStyle w:val="BodyText"/>
        <w:rPr>
          <w:sz w:val="21"/>
          <w:szCs w:val="21"/>
        </w:rPr>
      </w:pPr>
      <w:r w:rsidRPr="007B4646">
        <w:rPr>
          <w:sz w:val="21"/>
          <w:szCs w:val="21"/>
        </w:rPr>
        <w:t xml:space="preserve">Animal ECS studies provide superior temporal resolution for brain tissue changes. The seminal work of Nibuya et al. (1995) demonstrated that chronic ECS (10 daily treatments) increases hippocampal BDNF mRNA </w:t>
      </w:r>
      <w:r w:rsidRPr="007B4646">
        <w:rPr>
          <w:b/>
          <w:bCs/>
          <w:sz w:val="21"/>
          <w:szCs w:val="21"/>
        </w:rPr>
        <w:t>3-4 fold</w:t>
      </w:r>
      <w:r w:rsidRPr="007B4646">
        <w:rPr>
          <w:sz w:val="21"/>
          <w:szCs w:val="21"/>
        </w:rPr>
        <w:t>, with effects most pronounced in the dentate gyrus. Regional and temporal specificity varies systematically:</w:t>
      </w:r>
    </w:p>
    <w:tbl>
      <w:tblPr>
        <w:tblStyle w:val="Table"/>
        <w:tblW w:w="0" w:type="auto"/>
        <w:tblLook w:val="0020" w:firstRow="1" w:lastRow="0" w:firstColumn="0" w:lastColumn="0" w:noHBand="0" w:noVBand="0"/>
      </w:tblPr>
      <w:tblGrid>
        <w:gridCol w:w="2504"/>
        <w:gridCol w:w="1283"/>
        <w:gridCol w:w="1357"/>
        <w:gridCol w:w="1251"/>
      </w:tblGrid>
      <w:tr w:rsidR="00FA733C" w:rsidRPr="007B4646" w14:paraId="0DD4AA5C" w14:textId="77777777" w:rsidTr="00FA733C">
        <w:trPr>
          <w:cnfStyle w:val="100000000000" w:firstRow="1" w:lastRow="0" w:firstColumn="0" w:lastColumn="0" w:oddVBand="0" w:evenVBand="0" w:oddHBand="0" w:evenHBand="0" w:firstRowFirstColumn="0" w:firstRowLastColumn="0" w:lastRowFirstColumn="0" w:lastRowLastColumn="0"/>
          <w:tblHeader/>
        </w:trPr>
        <w:tc>
          <w:tcPr>
            <w:tcW w:w="0" w:type="auto"/>
          </w:tcPr>
          <w:p w14:paraId="66647FA9" w14:textId="77777777" w:rsidR="00FA733C" w:rsidRPr="007B4646" w:rsidRDefault="00000000">
            <w:pPr>
              <w:pStyle w:val="Compact"/>
              <w:rPr>
                <w:sz w:val="21"/>
                <w:szCs w:val="21"/>
              </w:rPr>
            </w:pPr>
            <w:r w:rsidRPr="007B4646">
              <w:rPr>
                <w:sz w:val="21"/>
                <w:szCs w:val="21"/>
              </w:rPr>
              <w:t>Brain Region</w:t>
            </w:r>
          </w:p>
        </w:tc>
        <w:tc>
          <w:tcPr>
            <w:tcW w:w="0" w:type="auto"/>
          </w:tcPr>
          <w:p w14:paraId="38825541" w14:textId="77777777" w:rsidR="00FA733C" w:rsidRPr="007B4646" w:rsidRDefault="00000000">
            <w:pPr>
              <w:pStyle w:val="Compact"/>
              <w:rPr>
                <w:sz w:val="21"/>
                <w:szCs w:val="21"/>
              </w:rPr>
            </w:pPr>
            <w:r w:rsidRPr="007B4646">
              <w:rPr>
                <w:sz w:val="21"/>
                <w:szCs w:val="21"/>
              </w:rPr>
              <w:t>mRNA Peak</w:t>
            </w:r>
          </w:p>
        </w:tc>
        <w:tc>
          <w:tcPr>
            <w:tcW w:w="0" w:type="auto"/>
          </w:tcPr>
          <w:p w14:paraId="7B0D76CD" w14:textId="77777777" w:rsidR="00FA733C" w:rsidRPr="007B4646" w:rsidRDefault="00000000">
            <w:pPr>
              <w:pStyle w:val="Compact"/>
              <w:rPr>
                <w:sz w:val="21"/>
                <w:szCs w:val="21"/>
              </w:rPr>
            </w:pPr>
            <w:r w:rsidRPr="007B4646">
              <w:rPr>
                <w:sz w:val="21"/>
                <w:szCs w:val="21"/>
              </w:rPr>
              <w:t>Protein Peak</w:t>
            </w:r>
          </w:p>
        </w:tc>
        <w:tc>
          <w:tcPr>
            <w:tcW w:w="0" w:type="auto"/>
          </w:tcPr>
          <w:p w14:paraId="4E938EA8" w14:textId="77777777" w:rsidR="00FA733C" w:rsidRPr="007B4646" w:rsidRDefault="00000000">
            <w:pPr>
              <w:pStyle w:val="Compact"/>
              <w:rPr>
                <w:sz w:val="21"/>
                <w:szCs w:val="21"/>
              </w:rPr>
            </w:pPr>
            <w:r w:rsidRPr="007B4646">
              <w:rPr>
                <w:sz w:val="21"/>
                <w:szCs w:val="21"/>
              </w:rPr>
              <w:t>Magnitude</w:t>
            </w:r>
          </w:p>
        </w:tc>
      </w:tr>
      <w:tr w:rsidR="00FA733C" w:rsidRPr="007B4646" w14:paraId="74DDFE9C" w14:textId="77777777">
        <w:tc>
          <w:tcPr>
            <w:tcW w:w="0" w:type="auto"/>
          </w:tcPr>
          <w:p w14:paraId="32985168" w14:textId="77777777" w:rsidR="00FA733C" w:rsidRPr="007B4646" w:rsidRDefault="00000000">
            <w:pPr>
              <w:pStyle w:val="Compact"/>
              <w:rPr>
                <w:sz w:val="21"/>
                <w:szCs w:val="21"/>
              </w:rPr>
            </w:pPr>
            <w:r w:rsidRPr="007B4646">
              <w:rPr>
                <w:sz w:val="21"/>
                <w:szCs w:val="21"/>
              </w:rPr>
              <w:t>Hippocampus (DG)</w:t>
            </w:r>
          </w:p>
        </w:tc>
        <w:tc>
          <w:tcPr>
            <w:tcW w:w="0" w:type="auto"/>
          </w:tcPr>
          <w:p w14:paraId="1877CF49" w14:textId="77777777" w:rsidR="00FA733C" w:rsidRPr="007B4646" w:rsidRDefault="00000000">
            <w:pPr>
              <w:pStyle w:val="Compact"/>
              <w:rPr>
                <w:sz w:val="21"/>
                <w:szCs w:val="21"/>
              </w:rPr>
            </w:pPr>
            <w:r w:rsidRPr="007B4646">
              <w:rPr>
                <w:sz w:val="21"/>
                <w:szCs w:val="21"/>
              </w:rPr>
              <w:t>2-4 hours</w:t>
            </w:r>
          </w:p>
        </w:tc>
        <w:tc>
          <w:tcPr>
            <w:tcW w:w="0" w:type="auto"/>
          </w:tcPr>
          <w:p w14:paraId="4757E874" w14:textId="77777777" w:rsidR="00FA733C" w:rsidRPr="007B4646" w:rsidRDefault="00000000">
            <w:pPr>
              <w:pStyle w:val="Compact"/>
              <w:rPr>
                <w:sz w:val="21"/>
                <w:szCs w:val="21"/>
              </w:rPr>
            </w:pPr>
            <w:r w:rsidRPr="007B4646">
              <w:rPr>
                <w:sz w:val="21"/>
                <w:szCs w:val="21"/>
              </w:rPr>
              <w:t>12-24 hours</w:t>
            </w:r>
          </w:p>
        </w:tc>
        <w:tc>
          <w:tcPr>
            <w:tcW w:w="0" w:type="auto"/>
          </w:tcPr>
          <w:p w14:paraId="127D882E" w14:textId="77777777" w:rsidR="00FA733C" w:rsidRPr="007B4646" w:rsidRDefault="00000000">
            <w:pPr>
              <w:pStyle w:val="Compact"/>
              <w:rPr>
                <w:sz w:val="21"/>
                <w:szCs w:val="21"/>
              </w:rPr>
            </w:pPr>
            <w:r w:rsidRPr="007B4646">
              <w:rPr>
                <w:sz w:val="21"/>
                <w:szCs w:val="21"/>
              </w:rPr>
              <w:t>2-5 fold</w:t>
            </w:r>
          </w:p>
        </w:tc>
      </w:tr>
      <w:tr w:rsidR="00FA733C" w:rsidRPr="007B4646" w14:paraId="7A8E349B" w14:textId="77777777">
        <w:tc>
          <w:tcPr>
            <w:tcW w:w="0" w:type="auto"/>
          </w:tcPr>
          <w:p w14:paraId="037DA5D4" w14:textId="77777777" w:rsidR="00FA733C" w:rsidRPr="007B4646" w:rsidRDefault="00000000">
            <w:pPr>
              <w:pStyle w:val="Compact"/>
              <w:rPr>
                <w:sz w:val="21"/>
                <w:szCs w:val="21"/>
              </w:rPr>
            </w:pPr>
            <w:r w:rsidRPr="007B4646">
              <w:rPr>
                <w:sz w:val="21"/>
                <w:szCs w:val="21"/>
              </w:rPr>
              <w:t>Hippocampus (CA1/CA3)</w:t>
            </w:r>
          </w:p>
        </w:tc>
        <w:tc>
          <w:tcPr>
            <w:tcW w:w="0" w:type="auto"/>
          </w:tcPr>
          <w:p w14:paraId="064F72F0" w14:textId="77777777" w:rsidR="00FA733C" w:rsidRPr="007B4646" w:rsidRDefault="00000000">
            <w:pPr>
              <w:pStyle w:val="Compact"/>
              <w:rPr>
                <w:sz w:val="21"/>
                <w:szCs w:val="21"/>
              </w:rPr>
            </w:pPr>
            <w:r w:rsidRPr="007B4646">
              <w:rPr>
                <w:sz w:val="21"/>
                <w:szCs w:val="21"/>
              </w:rPr>
              <w:t>2-6 hours</w:t>
            </w:r>
          </w:p>
        </w:tc>
        <w:tc>
          <w:tcPr>
            <w:tcW w:w="0" w:type="auto"/>
          </w:tcPr>
          <w:p w14:paraId="30F90827" w14:textId="77777777" w:rsidR="00FA733C" w:rsidRPr="007B4646" w:rsidRDefault="00000000">
            <w:pPr>
              <w:pStyle w:val="Compact"/>
              <w:rPr>
                <w:sz w:val="21"/>
                <w:szCs w:val="21"/>
              </w:rPr>
            </w:pPr>
            <w:r w:rsidRPr="007B4646">
              <w:rPr>
                <w:sz w:val="21"/>
                <w:szCs w:val="21"/>
              </w:rPr>
              <w:t>12-24 hours</w:t>
            </w:r>
          </w:p>
        </w:tc>
        <w:tc>
          <w:tcPr>
            <w:tcW w:w="0" w:type="auto"/>
          </w:tcPr>
          <w:p w14:paraId="5CBA8507" w14:textId="77777777" w:rsidR="00FA733C" w:rsidRPr="007B4646" w:rsidRDefault="00000000">
            <w:pPr>
              <w:pStyle w:val="Compact"/>
              <w:rPr>
                <w:sz w:val="21"/>
                <w:szCs w:val="21"/>
              </w:rPr>
            </w:pPr>
            <w:r w:rsidRPr="007B4646">
              <w:rPr>
                <w:sz w:val="21"/>
                <w:szCs w:val="21"/>
              </w:rPr>
              <w:t>1.5-3 fold</w:t>
            </w:r>
          </w:p>
        </w:tc>
      </w:tr>
      <w:tr w:rsidR="00FA733C" w:rsidRPr="007B4646" w14:paraId="56D1D765" w14:textId="77777777">
        <w:tc>
          <w:tcPr>
            <w:tcW w:w="0" w:type="auto"/>
          </w:tcPr>
          <w:p w14:paraId="3C85210F" w14:textId="77777777" w:rsidR="00FA733C" w:rsidRPr="007B4646" w:rsidRDefault="00000000">
            <w:pPr>
              <w:pStyle w:val="Compact"/>
              <w:rPr>
                <w:sz w:val="21"/>
                <w:szCs w:val="21"/>
              </w:rPr>
            </w:pPr>
            <w:r w:rsidRPr="007B4646">
              <w:rPr>
                <w:sz w:val="21"/>
                <w:szCs w:val="21"/>
              </w:rPr>
              <w:t>Prefrontal cortex</w:t>
            </w:r>
          </w:p>
        </w:tc>
        <w:tc>
          <w:tcPr>
            <w:tcW w:w="0" w:type="auto"/>
          </w:tcPr>
          <w:p w14:paraId="5A5214F0" w14:textId="77777777" w:rsidR="00FA733C" w:rsidRPr="007B4646" w:rsidRDefault="00000000">
            <w:pPr>
              <w:pStyle w:val="Compact"/>
              <w:rPr>
                <w:sz w:val="21"/>
                <w:szCs w:val="21"/>
              </w:rPr>
            </w:pPr>
            <w:r w:rsidRPr="007B4646">
              <w:rPr>
                <w:sz w:val="21"/>
                <w:szCs w:val="21"/>
              </w:rPr>
              <w:t>4-6 hours</w:t>
            </w:r>
          </w:p>
        </w:tc>
        <w:tc>
          <w:tcPr>
            <w:tcW w:w="0" w:type="auto"/>
          </w:tcPr>
          <w:p w14:paraId="19FA28E3" w14:textId="77777777" w:rsidR="00FA733C" w:rsidRPr="007B4646" w:rsidRDefault="00000000">
            <w:pPr>
              <w:pStyle w:val="Compact"/>
              <w:rPr>
                <w:sz w:val="21"/>
                <w:szCs w:val="21"/>
              </w:rPr>
            </w:pPr>
            <w:r w:rsidRPr="007B4646">
              <w:rPr>
                <w:sz w:val="21"/>
                <w:szCs w:val="21"/>
              </w:rPr>
              <w:t>24-48 hours</w:t>
            </w:r>
          </w:p>
        </w:tc>
        <w:tc>
          <w:tcPr>
            <w:tcW w:w="0" w:type="auto"/>
          </w:tcPr>
          <w:p w14:paraId="2CFF3CF2" w14:textId="77777777" w:rsidR="00FA733C" w:rsidRPr="007B4646" w:rsidRDefault="00000000">
            <w:pPr>
              <w:pStyle w:val="Compact"/>
              <w:rPr>
                <w:sz w:val="21"/>
                <w:szCs w:val="21"/>
              </w:rPr>
            </w:pPr>
            <w:r w:rsidRPr="007B4646">
              <w:rPr>
                <w:sz w:val="21"/>
                <w:szCs w:val="21"/>
              </w:rPr>
              <w:t>1.5-2 fold</w:t>
            </w:r>
          </w:p>
        </w:tc>
      </w:tr>
      <w:tr w:rsidR="00FA733C" w:rsidRPr="007B4646" w14:paraId="7DAB1099" w14:textId="77777777">
        <w:tc>
          <w:tcPr>
            <w:tcW w:w="0" w:type="auto"/>
          </w:tcPr>
          <w:p w14:paraId="4B412278" w14:textId="77777777" w:rsidR="00FA733C" w:rsidRPr="007B4646" w:rsidRDefault="00000000">
            <w:pPr>
              <w:pStyle w:val="Compact"/>
              <w:rPr>
                <w:sz w:val="21"/>
                <w:szCs w:val="21"/>
              </w:rPr>
            </w:pPr>
            <w:r w:rsidRPr="007B4646">
              <w:rPr>
                <w:sz w:val="21"/>
                <w:szCs w:val="21"/>
              </w:rPr>
              <w:t>Amygdala</w:t>
            </w:r>
          </w:p>
        </w:tc>
        <w:tc>
          <w:tcPr>
            <w:tcW w:w="0" w:type="auto"/>
          </w:tcPr>
          <w:p w14:paraId="1CD43B33" w14:textId="77777777" w:rsidR="00FA733C" w:rsidRPr="007B4646" w:rsidRDefault="00000000">
            <w:pPr>
              <w:pStyle w:val="Compact"/>
              <w:rPr>
                <w:sz w:val="21"/>
                <w:szCs w:val="21"/>
              </w:rPr>
            </w:pPr>
            <w:r w:rsidRPr="007B4646">
              <w:rPr>
                <w:sz w:val="21"/>
                <w:szCs w:val="21"/>
              </w:rPr>
              <w:t>2-4 hours</w:t>
            </w:r>
          </w:p>
        </w:tc>
        <w:tc>
          <w:tcPr>
            <w:tcW w:w="0" w:type="auto"/>
          </w:tcPr>
          <w:p w14:paraId="14EFD2B2" w14:textId="77777777" w:rsidR="00FA733C" w:rsidRPr="007B4646" w:rsidRDefault="00000000">
            <w:pPr>
              <w:pStyle w:val="Compact"/>
              <w:rPr>
                <w:sz w:val="21"/>
                <w:szCs w:val="21"/>
              </w:rPr>
            </w:pPr>
            <w:r w:rsidRPr="007B4646">
              <w:rPr>
                <w:sz w:val="21"/>
                <w:szCs w:val="21"/>
              </w:rPr>
              <w:t>12-24 hours</w:t>
            </w:r>
          </w:p>
        </w:tc>
        <w:tc>
          <w:tcPr>
            <w:tcW w:w="0" w:type="auto"/>
          </w:tcPr>
          <w:p w14:paraId="4F72AEDC" w14:textId="77777777" w:rsidR="00FA733C" w:rsidRPr="007B4646" w:rsidRDefault="00000000">
            <w:pPr>
              <w:pStyle w:val="Compact"/>
              <w:rPr>
                <w:sz w:val="21"/>
                <w:szCs w:val="21"/>
              </w:rPr>
            </w:pPr>
            <w:r w:rsidRPr="007B4646">
              <w:rPr>
                <w:sz w:val="21"/>
                <w:szCs w:val="21"/>
              </w:rPr>
              <w:t>1.5-2.5 fold</w:t>
            </w:r>
          </w:p>
        </w:tc>
      </w:tr>
    </w:tbl>
    <w:p w14:paraId="26A8C641" w14:textId="77777777" w:rsidR="00FA733C" w:rsidRPr="007B4646" w:rsidRDefault="00000000">
      <w:pPr>
        <w:pStyle w:val="BodyText"/>
        <w:rPr>
          <w:sz w:val="21"/>
          <w:szCs w:val="21"/>
        </w:rPr>
      </w:pPr>
      <w:r w:rsidRPr="007B4646">
        <w:rPr>
          <w:sz w:val="21"/>
          <w:szCs w:val="21"/>
        </w:rPr>
        <w:t>Single ECS produces transient BDNF elevation returning to baseline within 24-48 hours, whereas repeated ECS produces progressive accumulation with sustained elevation persisting at least two weeks after final treatment (Newton et al., 2003). This distinction between acute and chronic effects parallels the clinical observation that therapeutic response typically emerges after 4-6 ECT sessions.</w:t>
      </w:r>
    </w:p>
    <w:p w14:paraId="33CA6B14" w14:textId="77777777" w:rsidR="00FA733C" w:rsidRPr="007B4646" w:rsidRDefault="00000000">
      <w:pPr>
        <w:pStyle w:val="Heading3"/>
        <w:rPr>
          <w:sz w:val="22"/>
          <w:szCs w:val="22"/>
        </w:rPr>
      </w:pPr>
      <w:bookmarkStart w:id="3" w:name="X78828b4b242025c9764379bf7040e71918cccc2"/>
      <w:bookmarkEnd w:id="2"/>
      <w:r w:rsidRPr="007B4646">
        <w:rPr>
          <w:sz w:val="22"/>
          <w:szCs w:val="22"/>
        </w:rPr>
        <w:t>The Val66Met polymorphism modulates activity-dependent BDNF secretion</w:t>
      </w:r>
    </w:p>
    <w:p w14:paraId="777AB255" w14:textId="77777777" w:rsidR="00FA733C" w:rsidRPr="007B4646" w:rsidRDefault="00000000">
      <w:pPr>
        <w:pStyle w:val="FirstParagraph"/>
        <w:rPr>
          <w:sz w:val="21"/>
          <w:szCs w:val="21"/>
        </w:rPr>
      </w:pPr>
      <w:r w:rsidRPr="007B4646">
        <w:rPr>
          <w:sz w:val="21"/>
          <w:szCs w:val="21"/>
        </w:rPr>
        <w:t>The functional single nucleotide polymorphism rs6265 (Val66Met) in the BDNF gene has attracted considerable attention as a potential predictor of ECT response. The Met allele disrupts BDNF interaction with sortilin, impairing trafficking to the regulated secretory pathway and reducing activity-dependent BDNF release by approximately 25-30%, while constitutive secretion remains relatively unaffected (Egan et al., 2003).</w:t>
      </w:r>
    </w:p>
    <w:p w14:paraId="39185F70" w14:textId="77777777" w:rsidR="00FA733C" w:rsidRPr="007B4646" w:rsidRDefault="00000000">
      <w:pPr>
        <w:pStyle w:val="BodyText"/>
        <w:rPr>
          <w:sz w:val="21"/>
          <w:szCs w:val="21"/>
        </w:rPr>
      </w:pPr>
      <w:r w:rsidRPr="007B4646">
        <w:rPr>
          <w:sz w:val="21"/>
          <w:szCs w:val="21"/>
        </w:rPr>
        <w:t>Clinical studies examining Val66Met effects on ECT response have yielded inconsistent results. Huuhka et al. (2007) reported that Met carriers showed poorer ECT response in Finnish patients, while Domschke et al. (2010) found Val/Val genotype associated with better ECT response in major depressive disorder. However, Bousman et al. (2014) meta-analysis showed only a non-significant trend toward Val/Val superiority, and Okazaki et al. (2019) found no significant association in Japanese patients. This inconsistency likely reflects small effect sizes, ethnic heterogeneity, and methodological differences. Currently, BDNF genotyping is not recommended for routine clinical decision-making, though it may eventually contribute to polygenic risk scores for ECT response prediction.</w:t>
      </w:r>
    </w:p>
    <w:p w14:paraId="77122F90" w14:textId="77777777" w:rsidR="00FA733C" w:rsidRPr="007B4646" w:rsidRDefault="000D1F1C">
      <w:pPr>
        <w:rPr>
          <w:sz w:val="21"/>
          <w:szCs w:val="21"/>
        </w:rPr>
      </w:pPr>
      <w:r w:rsidRPr="000D1F1C">
        <w:rPr>
          <w:noProof/>
          <w:sz w:val="21"/>
          <w:szCs w:val="21"/>
        </w:rPr>
        <w:pict w14:anchorId="1C82558A">
          <v:rect id="_x0000_i1033" alt="" style="width:468pt;height:.05pt;mso-width-percent:0;mso-height-percent:0;mso-width-percent:0;mso-height-percent:0" o:hralign="center" o:hrstd="t" o:hr="t"/>
        </w:pict>
      </w:r>
    </w:p>
    <w:p w14:paraId="0FB7AC63" w14:textId="77777777" w:rsidR="00FA733C" w:rsidRPr="007B4646" w:rsidRDefault="00000000">
      <w:pPr>
        <w:pStyle w:val="Heading2"/>
        <w:rPr>
          <w:sz w:val="24"/>
          <w:szCs w:val="24"/>
        </w:rPr>
      </w:pPr>
      <w:bookmarkStart w:id="4" w:name="Xc271a49679f473e0eb98498951c1fec25a09393"/>
      <w:bookmarkEnd w:id="1"/>
      <w:bookmarkEnd w:id="3"/>
      <w:r w:rsidRPr="007B4646">
        <w:rPr>
          <w:sz w:val="24"/>
          <w:szCs w:val="24"/>
        </w:rPr>
        <w:t>Complementary neurotrophic factors expand the plasticity response</w:t>
      </w:r>
    </w:p>
    <w:p w14:paraId="145D1C39" w14:textId="77777777" w:rsidR="00FA733C" w:rsidRPr="007B4646" w:rsidRDefault="00000000">
      <w:pPr>
        <w:pStyle w:val="FirstParagraph"/>
        <w:rPr>
          <w:sz w:val="21"/>
          <w:szCs w:val="21"/>
        </w:rPr>
      </w:pPr>
      <w:r w:rsidRPr="007B4646">
        <w:rPr>
          <w:sz w:val="21"/>
          <w:szCs w:val="21"/>
        </w:rPr>
        <w:t>While BDNF dominates the neurotrophic literature, ECT induces a coordinated upregulation of multiple growth factors that collectively create a permissive environment for neural plasticity. Each factor contributes distinct mechanisms to the overall neuroplastic response.</w:t>
      </w:r>
    </w:p>
    <w:p w14:paraId="53106A68" w14:textId="77777777" w:rsidR="00FA733C" w:rsidRPr="007B4646" w:rsidRDefault="00000000">
      <w:pPr>
        <w:pStyle w:val="BodyText"/>
        <w:rPr>
          <w:sz w:val="21"/>
          <w:szCs w:val="21"/>
        </w:rPr>
      </w:pPr>
      <w:r w:rsidRPr="007B4646">
        <w:rPr>
          <w:b/>
          <w:bCs/>
          <w:sz w:val="21"/>
          <w:szCs w:val="21"/>
        </w:rPr>
        <w:lastRenderedPageBreak/>
        <w:t>Vascular endothelial growth factor (VEGF)</w:t>
      </w:r>
      <w:r w:rsidRPr="007B4646">
        <w:rPr>
          <w:sz w:val="21"/>
          <w:szCs w:val="21"/>
        </w:rPr>
        <w:t xml:space="preserve"> links angiogenesis to neurogenesis in the hippocampal dentate gyrus. Newton et al. (2003) demonstrated </w:t>
      </w:r>
      <w:r w:rsidRPr="007B4646">
        <w:rPr>
          <w:b/>
          <w:bCs/>
          <w:sz w:val="21"/>
          <w:szCs w:val="21"/>
        </w:rPr>
        <w:t>2-3 fold</w:t>
      </w:r>
      <w:r w:rsidRPr="007B4646">
        <w:rPr>
          <w:sz w:val="21"/>
          <w:szCs w:val="21"/>
        </w:rPr>
        <w:t xml:space="preserve"> VEGF mRNA upregulation in rat hippocampus within 2-6 hours post-ECS, with Segi-Nishida et al. (2008) localizing expression to dentate gyrus granule cells. VEGF signaling through VEGFR-2 (Flk-1/KDR) on neural progenitor cells activates PI3K/Akt and MAPK/ERK pathways, promoting proliferation and survival. Critically, Warner-Schmidt and Duman (2007) demonstrated that blocking VEGF signaling attenuates ECS-induced neurogenesis, establishing VEGF as a necessary mediator. The coupling of angiogenesis and neurogenesis creates a permissive vascular niche in the subgranular zone essential for progenitor cell proliferation.</w:t>
      </w:r>
    </w:p>
    <w:p w14:paraId="37CEFE5C" w14:textId="77777777" w:rsidR="00FA733C" w:rsidRPr="007B4646" w:rsidRDefault="00000000">
      <w:pPr>
        <w:pStyle w:val="BodyText"/>
        <w:rPr>
          <w:sz w:val="21"/>
          <w:szCs w:val="21"/>
        </w:rPr>
      </w:pPr>
      <w:r w:rsidRPr="007B4646">
        <w:rPr>
          <w:b/>
          <w:bCs/>
          <w:sz w:val="21"/>
          <w:szCs w:val="21"/>
        </w:rPr>
        <w:t>Fibroblast growth factor 2 (FGF-2)</w:t>
      </w:r>
      <w:r w:rsidRPr="007B4646">
        <w:rPr>
          <w:sz w:val="21"/>
          <w:szCs w:val="21"/>
        </w:rPr>
        <w:t xml:space="preserve"> serves as a potent mitogen for neural progenitor cells, with particularly rapid and sustained induction following ECS. Gwinn et al. (2002) reported </w:t>
      </w:r>
      <w:r w:rsidRPr="007B4646">
        <w:rPr>
          <w:b/>
          <w:bCs/>
          <w:sz w:val="21"/>
          <w:szCs w:val="21"/>
        </w:rPr>
        <w:t>2-4 fold</w:t>
      </w:r>
      <w:r w:rsidRPr="007B4646">
        <w:rPr>
          <w:sz w:val="21"/>
          <w:szCs w:val="21"/>
        </w:rPr>
        <w:t xml:space="preserve"> hippocampal FGF-2 protein increases after repeated ECS, with effects persisting up to 72 hours. Astrocytes represent the primary source of FGF-2 in adult brain, and their activation following ECS amplifies trophic support for newly generated neurons (Gomez-Pinilla et al., 1995). FGF-2 signaling through FGFR1, with heparan sulfate proteoglycan co-receptors, maintains neural stem cells in a proliferative, undifferentiated state capable of responding to subsequent differentiation signals.</w:t>
      </w:r>
    </w:p>
    <w:p w14:paraId="1B00DC73" w14:textId="77777777" w:rsidR="00FA733C" w:rsidRPr="007B4646" w:rsidRDefault="00000000">
      <w:pPr>
        <w:pStyle w:val="BodyText"/>
        <w:rPr>
          <w:sz w:val="21"/>
          <w:szCs w:val="21"/>
        </w:rPr>
      </w:pPr>
      <w:r w:rsidRPr="007B4646">
        <w:rPr>
          <w:b/>
          <w:bCs/>
          <w:sz w:val="21"/>
          <w:szCs w:val="21"/>
        </w:rPr>
        <w:t>Glial cell line-derived neurotrophic factor (GDNF)</w:t>
      </w:r>
      <w:r w:rsidRPr="007B4646">
        <w:rPr>
          <w:sz w:val="21"/>
          <w:szCs w:val="21"/>
        </w:rPr>
        <w:t xml:space="preserve"> modulates dopaminergic systems relevant to reward circuitry and motivation. Martin et al. (2009) demonstrated ECS increases GDNF expression in striatum and substantia nigra, with effects mediated through GFRα1/RET receptor signaling. Given dopaminergic dysfunction in anhedonia and psychomotor retardation, GDNF upregulation may contribute to improvement in specific depressive symptom domains.</w:t>
      </w:r>
    </w:p>
    <w:p w14:paraId="0B15F721" w14:textId="77777777" w:rsidR="00FA733C" w:rsidRPr="007B4646" w:rsidRDefault="00000000">
      <w:pPr>
        <w:pStyle w:val="BodyText"/>
        <w:rPr>
          <w:sz w:val="21"/>
          <w:szCs w:val="21"/>
        </w:rPr>
      </w:pPr>
      <w:r w:rsidRPr="007B4646">
        <w:rPr>
          <w:sz w:val="21"/>
          <w:szCs w:val="21"/>
        </w:rPr>
        <w:t>The temporal coordination of these factors reveals an orchestrated response: VEGF peaks earliest (2-6 hours), followed by NGF (6-12 hours), with FGF-2 and GDNF showing more prolonged elevation (24-72 hours). This sequential activation suggests cascading mechanisms wherein early factors initiate proliferative responses while later factors support survival and differentiation.</w:t>
      </w:r>
    </w:p>
    <w:p w14:paraId="64B66E2D" w14:textId="77777777" w:rsidR="00FA733C" w:rsidRPr="007B4646" w:rsidRDefault="000D1F1C">
      <w:pPr>
        <w:rPr>
          <w:sz w:val="21"/>
          <w:szCs w:val="21"/>
        </w:rPr>
      </w:pPr>
      <w:r w:rsidRPr="000D1F1C">
        <w:rPr>
          <w:noProof/>
          <w:sz w:val="21"/>
          <w:szCs w:val="21"/>
        </w:rPr>
        <w:pict w14:anchorId="4796F968">
          <v:rect id="_x0000_i1032" alt="" style="width:468pt;height:.05pt;mso-width-percent:0;mso-height-percent:0;mso-width-percent:0;mso-height-percent:0" o:hralign="center" o:hrstd="t" o:hr="t"/>
        </w:pict>
      </w:r>
    </w:p>
    <w:p w14:paraId="45AD8F3C" w14:textId="77777777" w:rsidR="00FA733C" w:rsidRPr="007B4646" w:rsidRDefault="00000000">
      <w:pPr>
        <w:pStyle w:val="Heading2"/>
        <w:rPr>
          <w:sz w:val="24"/>
          <w:szCs w:val="24"/>
        </w:rPr>
      </w:pPr>
      <w:bookmarkStart w:id="5" w:name="X3bd47e11e91b5d0aa4e3542e01a5c1cae35a300"/>
      <w:bookmarkEnd w:id="4"/>
      <w:r w:rsidRPr="007B4646">
        <w:rPr>
          <w:sz w:val="24"/>
          <w:szCs w:val="24"/>
        </w:rPr>
        <w:t>Immediate early genes mark the transition to sustained plasticity</w:t>
      </w:r>
    </w:p>
    <w:p w14:paraId="2E5CD74D" w14:textId="77777777" w:rsidR="00FA733C" w:rsidRPr="007B4646" w:rsidRDefault="00000000">
      <w:pPr>
        <w:pStyle w:val="FirstParagraph"/>
        <w:rPr>
          <w:sz w:val="21"/>
          <w:szCs w:val="21"/>
        </w:rPr>
      </w:pPr>
      <w:r w:rsidRPr="007B4646">
        <w:rPr>
          <w:sz w:val="21"/>
          <w:szCs w:val="21"/>
        </w:rPr>
        <w:t>The immediate early gene (IEG) response to ECT represents the initial transcriptional wave translating seizure activity into lasting molecular change. These genes encode transcription factors and effector proteins that bridge acute neural activation to sustained plasticity modifications.</w:t>
      </w:r>
    </w:p>
    <w:p w14:paraId="3ABC6B08" w14:textId="77777777" w:rsidR="00FA733C" w:rsidRPr="007B4646" w:rsidRDefault="00000000">
      <w:pPr>
        <w:pStyle w:val="BodyText"/>
        <w:rPr>
          <w:sz w:val="21"/>
          <w:szCs w:val="21"/>
        </w:rPr>
      </w:pPr>
      <w:r w:rsidRPr="007B4646">
        <w:rPr>
          <w:b/>
          <w:bCs/>
          <w:sz w:val="21"/>
          <w:szCs w:val="21"/>
        </w:rPr>
        <w:t>Arc/Arg3.1</w:t>
      </w:r>
      <w:r w:rsidRPr="007B4646">
        <w:rPr>
          <w:sz w:val="21"/>
          <w:szCs w:val="21"/>
        </w:rPr>
        <w:t xml:space="preserve"> (activity-regulated cytoskeleton-associated protein) shows particularly robust induction, with mRNA increasing </w:t>
      </w:r>
      <w:r w:rsidRPr="007B4646">
        <w:rPr>
          <w:b/>
          <w:bCs/>
          <w:sz w:val="21"/>
          <w:szCs w:val="21"/>
        </w:rPr>
        <w:t>8-12 fold</w:t>
      </w:r>
      <w:r w:rsidRPr="007B4646">
        <w:rPr>
          <w:sz w:val="21"/>
          <w:szCs w:val="21"/>
        </w:rPr>
        <w:t xml:space="preserve"> within 30 minutes post-ECS, peaking at 1-2 hours, and protein levels maximal at 2-4 hours (Lyford et al., 1995). Arc plays a critical role in AMPA receptor trafficking through interaction with endophilin 2/3 and dynamin, promoting receptor endocytosis and thereby regulating synaptic strength (Chowdhury et al., 2006). Paradoxically, Arc promotes both LTP consolidation (through synaptic tagging) and homeostatic scaling down (through AMPA receptor internalization), suggesting its role in establishing new synaptic setpoints rather than simply strengthening connections.</w:t>
      </w:r>
    </w:p>
    <w:p w14:paraId="6962E560" w14:textId="77777777" w:rsidR="00FA733C" w:rsidRPr="007B4646" w:rsidRDefault="00000000">
      <w:pPr>
        <w:pStyle w:val="BodyText"/>
        <w:rPr>
          <w:sz w:val="21"/>
          <w:szCs w:val="21"/>
        </w:rPr>
      </w:pPr>
      <w:r w:rsidRPr="007B4646">
        <w:rPr>
          <w:b/>
          <w:bCs/>
          <w:sz w:val="21"/>
          <w:szCs w:val="21"/>
        </w:rPr>
        <w:t>c-Fos</w:t>
      </w:r>
      <w:r w:rsidRPr="007B4646">
        <w:rPr>
          <w:sz w:val="21"/>
          <w:szCs w:val="21"/>
        </w:rPr>
        <w:t xml:space="preserve"> shows the most dramatic induction, with mRNA increasing </w:t>
      </w:r>
      <w:r w:rsidRPr="007B4646">
        <w:rPr>
          <w:b/>
          <w:bCs/>
          <w:sz w:val="21"/>
          <w:szCs w:val="21"/>
        </w:rPr>
        <w:t>10-50 fold</w:t>
      </w:r>
      <w:r w:rsidRPr="007B4646">
        <w:rPr>
          <w:sz w:val="21"/>
          <w:szCs w:val="21"/>
        </w:rPr>
        <w:t xml:space="preserve"> within 30-60 minutes, particularly in dentate gyrus and piriform cortex (Morgan et al., 1987). Regional activation patterns revealed by c-Fos mapping—with strongest induction in hippocampus, amygdala, and medial prefrontal cortex—correspond to circuits implicated in mood regulation. Importantly, chronic ECS attenuates the c-Fos response compared to acute treatment, suggesting adaptive changes in the transcriptional response that may relate to therapeutic tolerance or maintained efficacy (Morinobu et al., 1997).</w:t>
      </w:r>
    </w:p>
    <w:p w14:paraId="12067B0E" w14:textId="77777777" w:rsidR="00FA733C" w:rsidRPr="007B4646" w:rsidRDefault="00000000">
      <w:pPr>
        <w:pStyle w:val="BodyText"/>
        <w:rPr>
          <w:sz w:val="21"/>
          <w:szCs w:val="21"/>
        </w:rPr>
      </w:pPr>
      <w:r w:rsidRPr="007B4646">
        <w:rPr>
          <w:b/>
          <w:bCs/>
          <w:sz w:val="21"/>
          <w:szCs w:val="21"/>
        </w:rPr>
        <w:t>Homer1a</w:t>
      </w:r>
      <w:r w:rsidRPr="007B4646">
        <w:rPr>
          <w:sz w:val="21"/>
          <w:szCs w:val="21"/>
        </w:rPr>
        <w:t xml:space="preserve"> serves as a critical metaplasticity regulator. This short isoform acts as a dominant negative by disrupting Homer-mGluR scaffolding at the postsynaptic density, reducing mGluR-mediated calcium </w:t>
      </w:r>
      <w:r w:rsidRPr="007B4646">
        <w:rPr>
          <w:sz w:val="21"/>
          <w:szCs w:val="21"/>
        </w:rPr>
        <w:lastRenderedPageBreak/>
        <w:t xml:space="preserve">signaling (Brakeman et al., 1997). ECS produces </w:t>
      </w:r>
      <w:r w:rsidRPr="007B4646">
        <w:rPr>
          <w:b/>
          <w:bCs/>
          <w:sz w:val="21"/>
          <w:szCs w:val="21"/>
        </w:rPr>
        <w:t>3-8 fold</w:t>
      </w:r>
      <w:r w:rsidRPr="007B4646">
        <w:rPr>
          <w:sz w:val="21"/>
          <w:szCs w:val="21"/>
        </w:rPr>
        <w:t xml:space="preserve"> Homer1a induction, with notably prolonged expression compared to other IEGs (detectable at 6+ hours). By uncoupling metabotropic glutamate receptors from downstream effectors, Homer1a effectively shifts the threshold for LTP/LTD induction—a molecular mechanism of metaplasticity directly relevant to the "metaplastic window" concept.</w:t>
      </w:r>
    </w:p>
    <w:p w14:paraId="1DAB8022" w14:textId="77777777" w:rsidR="00FA733C" w:rsidRPr="007B4646" w:rsidRDefault="00000000">
      <w:pPr>
        <w:pStyle w:val="Heading3"/>
        <w:rPr>
          <w:sz w:val="22"/>
          <w:szCs w:val="22"/>
        </w:rPr>
      </w:pPr>
      <w:bookmarkStart w:id="6" w:name="Xc73cbe2e3fc5e2282b986641d1f1568e7768630"/>
      <w:r w:rsidRPr="007B4646">
        <w:rPr>
          <w:sz w:val="22"/>
          <w:szCs w:val="22"/>
        </w:rPr>
        <w:t>Synaptic scaffolding proteins consolidate structural changes</w:t>
      </w:r>
    </w:p>
    <w:p w14:paraId="575F6D18" w14:textId="77777777" w:rsidR="00FA733C" w:rsidRPr="007B4646" w:rsidRDefault="00000000">
      <w:pPr>
        <w:pStyle w:val="FirstParagraph"/>
        <w:rPr>
          <w:sz w:val="21"/>
          <w:szCs w:val="21"/>
        </w:rPr>
      </w:pPr>
      <w:r w:rsidRPr="007B4646">
        <w:rPr>
          <w:sz w:val="21"/>
          <w:szCs w:val="21"/>
        </w:rPr>
        <w:t xml:space="preserve">Beyond transcription factors, ECT induces sustained changes in synaptic scaffolding proteins that stabilize new synaptic configurations. </w:t>
      </w:r>
      <w:r w:rsidRPr="007B4646">
        <w:rPr>
          <w:b/>
          <w:bCs/>
          <w:sz w:val="21"/>
          <w:szCs w:val="21"/>
        </w:rPr>
        <w:t>PSD-95</w:t>
      </w:r>
      <w:r w:rsidRPr="007B4646">
        <w:rPr>
          <w:sz w:val="21"/>
          <w:szCs w:val="21"/>
        </w:rPr>
        <w:t xml:space="preserve"> (postsynaptic density protein 95), which anchors AMPA receptors through stargazin/TARP interaction, increases </w:t>
      </w:r>
      <w:r w:rsidRPr="007B4646">
        <w:rPr>
          <w:b/>
          <w:bCs/>
          <w:sz w:val="21"/>
          <w:szCs w:val="21"/>
        </w:rPr>
        <w:t>30-50%</w:t>
      </w:r>
      <w:r w:rsidRPr="007B4646">
        <w:rPr>
          <w:sz w:val="21"/>
          <w:szCs w:val="21"/>
        </w:rPr>
        <w:t xml:space="preserve"> after chronic ECS in hippocampus (Stewart &amp; Reid, 2000). </w:t>
      </w:r>
      <w:r w:rsidRPr="007B4646">
        <w:rPr>
          <w:b/>
          <w:bCs/>
          <w:sz w:val="21"/>
          <w:szCs w:val="21"/>
        </w:rPr>
        <w:t>Synaptophysin</w:t>
      </w:r>
      <w:r w:rsidRPr="007B4646">
        <w:rPr>
          <w:sz w:val="21"/>
          <w:szCs w:val="21"/>
        </w:rPr>
        <w:t xml:space="preserve">, a presynaptic vesicle marker, shows </w:t>
      </w:r>
      <w:r w:rsidRPr="007B4646">
        <w:rPr>
          <w:b/>
          <w:bCs/>
          <w:sz w:val="21"/>
          <w:szCs w:val="21"/>
        </w:rPr>
        <w:t>20-40%</w:t>
      </w:r>
      <w:r w:rsidRPr="007B4646">
        <w:rPr>
          <w:sz w:val="21"/>
          <w:szCs w:val="21"/>
        </w:rPr>
        <w:t xml:space="preserve"> increases following repeated treatment, indicating enhanced presynaptic terminal density (Vaidya et al., 1999). SNARE complex proteins (SNAP-25, syntaxin-1, VAMP2) similarly increase </w:t>
      </w:r>
      <w:r w:rsidRPr="007B4646">
        <w:rPr>
          <w:b/>
          <w:bCs/>
          <w:sz w:val="21"/>
          <w:szCs w:val="21"/>
        </w:rPr>
        <w:t>15-30%</w:t>
      </w:r>
      <w:r w:rsidRPr="007B4646">
        <w:rPr>
          <w:sz w:val="21"/>
          <w:szCs w:val="21"/>
        </w:rPr>
        <w:t>, reflecting enhanced neurotransmitter release machinery.</w:t>
      </w:r>
    </w:p>
    <w:p w14:paraId="02E91C45" w14:textId="77777777" w:rsidR="00FA733C" w:rsidRPr="007B4646" w:rsidRDefault="00000000">
      <w:pPr>
        <w:pStyle w:val="BodyText"/>
        <w:rPr>
          <w:sz w:val="21"/>
          <w:szCs w:val="21"/>
        </w:rPr>
      </w:pPr>
      <w:r w:rsidRPr="007B4646">
        <w:rPr>
          <w:sz w:val="21"/>
          <w:szCs w:val="21"/>
        </w:rPr>
        <w:t xml:space="preserve">Dendritic spine dynamics demonstrate the structural correlate of these molecular changes. Chronic ECS increases spine density by </w:t>
      </w:r>
      <w:r w:rsidRPr="007B4646">
        <w:rPr>
          <w:b/>
          <w:bCs/>
          <w:sz w:val="21"/>
          <w:szCs w:val="21"/>
        </w:rPr>
        <w:t>25-40%</w:t>
      </w:r>
      <w:r w:rsidRPr="007B4646">
        <w:rPr>
          <w:sz w:val="21"/>
          <w:szCs w:val="21"/>
        </w:rPr>
        <w:t xml:space="preserve"> in hippocampal CA1, with similar effects in prefrontal cortex (Chen et al., 2009). Spine morphology analysis reveals initial increases in thin spines (highly plastic, learning-related) followed by maturation into mushroom spines (stable, representing consolidated connections) over 1-2 weeks. This progression from spinogenesis to spine maturation provides a structural timeline consistent with the clinical observation that therapeutic gains consolidate over weeks following ECT completion.</w:t>
      </w:r>
    </w:p>
    <w:p w14:paraId="43EE41C8" w14:textId="77777777" w:rsidR="00FA733C" w:rsidRPr="007B4646" w:rsidRDefault="000D1F1C">
      <w:pPr>
        <w:rPr>
          <w:sz w:val="21"/>
          <w:szCs w:val="21"/>
        </w:rPr>
      </w:pPr>
      <w:r w:rsidRPr="000D1F1C">
        <w:rPr>
          <w:noProof/>
          <w:sz w:val="21"/>
          <w:szCs w:val="21"/>
        </w:rPr>
        <w:pict w14:anchorId="0DF045D3">
          <v:rect id="_x0000_i1031" alt="" style="width:468pt;height:.05pt;mso-width-percent:0;mso-height-percent:0;mso-width-percent:0;mso-height-percent:0" o:hralign="center" o:hrstd="t" o:hr="t"/>
        </w:pict>
      </w:r>
    </w:p>
    <w:p w14:paraId="265E70C6" w14:textId="77777777" w:rsidR="00FA733C" w:rsidRPr="007B4646" w:rsidRDefault="00000000">
      <w:pPr>
        <w:pStyle w:val="Heading2"/>
        <w:rPr>
          <w:sz w:val="24"/>
          <w:szCs w:val="24"/>
        </w:rPr>
      </w:pPr>
      <w:bookmarkStart w:id="7" w:name="X6ec5a2b22f3d0be7a6e86bf645aeb5a6588831f"/>
      <w:bookmarkEnd w:id="5"/>
      <w:bookmarkEnd w:id="6"/>
      <w:r w:rsidRPr="007B4646">
        <w:rPr>
          <w:sz w:val="24"/>
          <w:szCs w:val="24"/>
        </w:rPr>
        <w:t>Adult hippocampal neurogenesis represents a distinctive ECT mechanism</w:t>
      </w:r>
    </w:p>
    <w:p w14:paraId="1019219E" w14:textId="77777777" w:rsidR="00FA733C" w:rsidRPr="007B4646" w:rsidRDefault="00000000">
      <w:pPr>
        <w:pStyle w:val="FirstParagraph"/>
        <w:rPr>
          <w:sz w:val="21"/>
          <w:szCs w:val="21"/>
        </w:rPr>
      </w:pPr>
      <w:r w:rsidRPr="007B4646">
        <w:rPr>
          <w:sz w:val="21"/>
          <w:szCs w:val="21"/>
        </w:rPr>
        <w:t xml:space="preserve">ECT produces the most robust stimulation of adult hippocampal neurogenesis among psychiatric interventions, with ECS increasing neural progenitor proliferation </w:t>
      </w:r>
      <w:r w:rsidRPr="007B4646">
        <w:rPr>
          <w:b/>
          <w:bCs/>
          <w:sz w:val="21"/>
          <w:szCs w:val="21"/>
        </w:rPr>
        <w:t>200-400%</w:t>
      </w:r>
      <w:r w:rsidRPr="007B4646">
        <w:rPr>
          <w:sz w:val="21"/>
          <w:szCs w:val="21"/>
        </w:rPr>
        <w:t xml:space="preserve"> above baseline. The seminal demonstration by Madsen et al. (2000) that single ECS significantly increases BrdU-labeled cells in the dentate gyrus subgranular zone established neurogenesis as a candidate mechanism for antidepressant efficacy.</w:t>
      </w:r>
    </w:p>
    <w:p w14:paraId="2F2B5B07" w14:textId="77777777" w:rsidR="00FA733C" w:rsidRPr="007B4646" w:rsidRDefault="00000000">
      <w:pPr>
        <w:pStyle w:val="BodyText"/>
        <w:rPr>
          <w:sz w:val="21"/>
          <w:szCs w:val="21"/>
        </w:rPr>
      </w:pPr>
      <w:r w:rsidRPr="007B4646">
        <w:rPr>
          <w:sz w:val="21"/>
          <w:szCs w:val="21"/>
        </w:rPr>
        <w:t>The neurogenic process follows a well-characterized sequence through distinct cellular stages. Type 1 radial glia-like stem cells (GFAP+, Nestin+, Sox2+) give rise to rapidly dividing Type 2a progenitors, which progress through Type 2b (DCX+, NeuroD+) and Type 3 neuroblast stages before differentiating into immature and eventually mature granule neurons (NeuN+, Calbindin+). Doublecortin (DCX) immunohistochemistry, marking cells approximately 2-3 weeks post-mitosis, serves as the gold standard for identifying immature neurons.</w:t>
      </w:r>
    </w:p>
    <w:p w14:paraId="2D4FF0F6" w14:textId="77777777" w:rsidR="00FA733C" w:rsidRPr="007B4646" w:rsidRDefault="00000000">
      <w:pPr>
        <w:pStyle w:val="Heading3"/>
        <w:rPr>
          <w:sz w:val="22"/>
          <w:szCs w:val="22"/>
        </w:rPr>
      </w:pPr>
      <w:bookmarkStart w:id="8" w:name="X74d2f604869d4a8d7cbde7afda689c5b018b939"/>
      <w:r w:rsidRPr="007B4646">
        <w:rPr>
          <w:sz w:val="22"/>
          <w:szCs w:val="22"/>
        </w:rPr>
        <w:t>Quantitative parameters of ECS-induced neurogenesis</w:t>
      </w:r>
    </w:p>
    <w:p w14:paraId="6EDBE9E7" w14:textId="77777777" w:rsidR="00FA733C" w:rsidRPr="007B4646" w:rsidRDefault="00000000">
      <w:pPr>
        <w:pStyle w:val="FirstParagraph"/>
        <w:rPr>
          <w:sz w:val="21"/>
          <w:szCs w:val="21"/>
        </w:rPr>
      </w:pPr>
      <w:r w:rsidRPr="007B4646">
        <w:rPr>
          <w:sz w:val="21"/>
          <w:szCs w:val="21"/>
        </w:rPr>
        <w:t xml:space="preserve">Single ECS increases BrdU+ cells in dentate gyrus by </w:t>
      </w:r>
      <w:r w:rsidRPr="007B4646">
        <w:rPr>
          <w:b/>
          <w:bCs/>
          <w:sz w:val="21"/>
          <w:szCs w:val="21"/>
        </w:rPr>
        <w:t>50-70%</w:t>
      </w:r>
      <w:r w:rsidRPr="007B4646">
        <w:rPr>
          <w:sz w:val="21"/>
          <w:szCs w:val="21"/>
        </w:rPr>
        <w:t xml:space="preserve"> at 3 days post-treatment, with proliferation returning to baseline by 7-10 days. Repeated ECS (10 daily treatments) produces cumulative effects, with </w:t>
      </w:r>
      <w:r w:rsidRPr="007B4646">
        <w:rPr>
          <w:b/>
          <w:bCs/>
          <w:sz w:val="21"/>
          <w:szCs w:val="21"/>
        </w:rPr>
        <w:t>300-400%</w:t>
      </w:r>
      <w:r w:rsidRPr="007B4646">
        <w:rPr>
          <w:sz w:val="21"/>
          <w:szCs w:val="21"/>
        </w:rPr>
        <w:t xml:space="preserve"> increases in proliferating cells and survival rates of </w:t>
      </w:r>
      <w:r w:rsidRPr="007B4646">
        <w:rPr>
          <w:b/>
          <w:bCs/>
          <w:sz w:val="21"/>
          <w:szCs w:val="21"/>
        </w:rPr>
        <w:t>50-65%</w:t>
      </w:r>
      <w:r w:rsidRPr="007B4646">
        <w:rPr>
          <w:sz w:val="21"/>
          <w:szCs w:val="21"/>
        </w:rPr>
        <w:t xml:space="preserve"> at 4 weeks (Hellsten et al., 2002). For comparison, chronic SSRI treatment produces more modest 50-70% increases requiring 2-4 weeks for emergence (Malberg et al., 2000), while voluntary running induces 100-200% increases over 1-2 weeks. The magnitude and rapidity of ECS-induced neurogenesis distinguishes it from other antidepressant interventions.</w:t>
      </w:r>
    </w:p>
    <w:p w14:paraId="05A92946" w14:textId="77777777" w:rsidR="00FA733C" w:rsidRPr="007B4646" w:rsidRDefault="00000000">
      <w:pPr>
        <w:pStyle w:val="BodyText"/>
        <w:rPr>
          <w:sz w:val="21"/>
          <w:szCs w:val="21"/>
        </w:rPr>
      </w:pPr>
      <w:r w:rsidRPr="007B4646">
        <w:rPr>
          <w:sz w:val="21"/>
          <w:szCs w:val="21"/>
        </w:rPr>
        <w:t>Functional integration of newborn neurons follows a protracted timeline with critical implications for ECT mechanisms:</w:t>
      </w:r>
    </w:p>
    <w:tbl>
      <w:tblPr>
        <w:tblStyle w:val="Table"/>
        <w:tblW w:w="0" w:type="auto"/>
        <w:tblLook w:val="0020" w:firstRow="1" w:lastRow="0" w:firstColumn="0" w:lastColumn="0" w:noHBand="0" w:noVBand="0"/>
      </w:tblPr>
      <w:tblGrid>
        <w:gridCol w:w="2746"/>
        <w:gridCol w:w="1559"/>
        <w:gridCol w:w="3786"/>
      </w:tblGrid>
      <w:tr w:rsidR="00FA733C" w:rsidRPr="007B4646" w14:paraId="462355B4" w14:textId="77777777" w:rsidTr="00FA733C">
        <w:trPr>
          <w:cnfStyle w:val="100000000000" w:firstRow="1" w:lastRow="0" w:firstColumn="0" w:lastColumn="0" w:oddVBand="0" w:evenVBand="0" w:oddHBand="0" w:evenHBand="0" w:firstRowFirstColumn="0" w:firstRowLastColumn="0" w:lastRowFirstColumn="0" w:lastRowLastColumn="0"/>
          <w:tblHeader/>
        </w:trPr>
        <w:tc>
          <w:tcPr>
            <w:tcW w:w="0" w:type="auto"/>
          </w:tcPr>
          <w:p w14:paraId="45A11A8D" w14:textId="77777777" w:rsidR="00FA733C" w:rsidRPr="007B4646" w:rsidRDefault="00000000">
            <w:pPr>
              <w:pStyle w:val="Compact"/>
              <w:rPr>
                <w:sz w:val="21"/>
                <w:szCs w:val="21"/>
              </w:rPr>
            </w:pPr>
            <w:r w:rsidRPr="007B4646">
              <w:rPr>
                <w:sz w:val="21"/>
                <w:szCs w:val="21"/>
              </w:rPr>
              <w:lastRenderedPageBreak/>
              <w:t>Milestone</w:t>
            </w:r>
          </w:p>
        </w:tc>
        <w:tc>
          <w:tcPr>
            <w:tcW w:w="0" w:type="auto"/>
          </w:tcPr>
          <w:p w14:paraId="50846EEF" w14:textId="77777777" w:rsidR="00FA733C" w:rsidRPr="007B4646" w:rsidRDefault="00000000">
            <w:pPr>
              <w:pStyle w:val="Compact"/>
              <w:rPr>
                <w:sz w:val="21"/>
                <w:szCs w:val="21"/>
              </w:rPr>
            </w:pPr>
            <w:r w:rsidRPr="007B4646">
              <w:rPr>
                <w:sz w:val="21"/>
                <w:szCs w:val="21"/>
              </w:rPr>
              <w:t>Time Post-ECS</w:t>
            </w:r>
          </w:p>
        </w:tc>
        <w:tc>
          <w:tcPr>
            <w:tcW w:w="0" w:type="auto"/>
          </w:tcPr>
          <w:p w14:paraId="03A0AD41" w14:textId="77777777" w:rsidR="00FA733C" w:rsidRPr="007B4646" w:rsidRDefault="00000000">
            <w:pPr>
              <w:pStyle w:val="Compact"/>
              <w:rPr>
                <w:sz w:val="21"/>
                <w:szCs w:val="21"/>
              </w:rPr>
            </w:pPr>
            <w:r w:rsidRPr="007B4646">
              <w:rPr>
                <w:sz w:val="21"/>
                <w:szCs w:val="21"/>
              </w:rPr>
              <w:t>Key Event</w:t>
            </w:r>
          </w:p>
        </w:tc>
      </w:tr>
      <w:tr w:rsidR="00FA733C" w:rsidRPr="007B4646" w14:paraId="0FB572BF" w14:textId="77777777">
        <w:tc>
          <w:tcPr>
            <w:tcW w:w="0" w:type="auto"/>
          </w:tcPr>
          <w:p w14:paraId="549BB1FB" w14:textId="77777777" w:rsidR="00FA733C" w:rsidRPr="007B4646" w:rsidRDefault="00000000">
            <w:pPr>
              <w:pStyle w:val="Compact"/>
              <w:rPr>
                <w:sz w:val="21"/>
                <w:szCs w:val="21"/>
              </w:rPr>
            </w:pPr>
            <w:r w:rsidRPr="007B4646">
              <w:rPr>
                <w:sz w:val="21"/>
                <w:szCs w:val="21"/>
              </w:rPr>
              <w:t>Peak proliferation</w:t>
            </w:r>
          </w:p>
        </w:tc>
        <w:tc>
          <w:tcPr>
            <w:tcW w:w="0" w:type="auto"/>
          </w:tcPr>
          <w:p w14:paraId="7407D0FB" w14:textId="77777777" w:rsidR="00FA733C" w:rsidRPr="007B4646" w:rsidRDefault="00000000">
            <w:pPr>
              <w:pStyle w:val="Compact"/>
              <w:rPr>
                <w:sz w:val="21"/>
                <w:szCs w:val="21"/>
              </w:rPr>
            </w:pPr>
            <w:r w:rsidRPr="007B4646">
              <w:rPr>
                <w:sz w:val="21"/>
                <w:szCs w:val="21"/>
              </w:rPr>
              <w:t>2-3 days</w:t>
            </w:r>
          </w:p>
        </w:tc>
        <w:tc>
          <w:tcPr>
            <w:tcW w:w="0" w:type="auto"/>
          </w:tcPr>
          <w:p w14:paraId="6AE9357A" w14:textId="77777777" w:rsidR="00FA733C" w:rsidRPr="007B4646" w:rsidRDefault="00000000">
            <w:pPr>
              <w:pStyle w:val="Compact"/>
              <w:rPr>
                <w:sz w:val="21"/>
                <w:szCs w:val="21"/>
              </w:rPr>
            </w:pPr>
            <w:r w:rsidRPr="007B4646">
              <w:rPr>
                <w:sz w:val="21"/>
                <w:szCs w:val="21"/>
              </w:rPr>
              <w:t>Rapid cell division in SGZ</w:t>
            </w:r>
          </w:p>
        </w:tc>
      </w:tr>
      <w:tr w:rsidR="00FA733C" w:rsidRPr="007B4646" w14:paraId="25EB0F34" w14:textId="77777777">
        <w:tc>
          <w:tcPr>
            <w:tcW w:w="0" w:type="auto"/>
          </w:tcPr>
          <w:p w14:paraId="3EFFD2BE" w14:textId="77777777" w:rsidR="00FA733C" w:rsidRPr="007B4646" w:rsidRDefault="00000000">
            <w:pPr>
              <w:pStyle w:val="Compact"/>
              <w:rPr>
                <w:sz w:val="21"/>
                <w:szCs w:val="21"/>
              </w:rPr>
            </w:pPr>
            <w:r w:rsidRPr="007B4646">
              <w:rPr>
                <w:sz w:val="21"/>
                <w:szCs w:val="21"/>
              </w:rPr>
              <w:t>Neuronal commitment</w:t>
            </w:r>
          </w:p>
        </w:tc>
        <w:tc>
          <w:tcPr>
            <w:tcW w:w="0" w:type="auto"/>
          </w:tcPr>
          <w:p w14:paraId="77449631" w14:textId="77777777" w:rsidR="00FA733C" w:rsidRPr="007B4646" w:rsidRDefault="00000000">
            <w:pPr>
              <w:pStyle w:val="Compact"/>
              <w:rPr>
                <w:sz w:val="21"/>
                <w:szCs w:val="21"/>
              </w:rPr>
            </w:pPr>
            <w:r w:rsidRPr="007B4646">
              <w:rPr>
                <w:sz w:val="21"/>
                <w:szCs w:val="21"/>
              </w:rPr>
              <w:t>1 week</w:t>
            </w:r>
          </w:p>
        </w:tc>
        <w:tc>
          <w:tcPr>
            <w:tcW w:w="0" w:type="auto"/>
          </w:tcPr>
          <w:p w14:paraId="1D42C778" w14:textId="77777777" w:rsidR="00FA733C" w:rsidRPr="007B4646" w:rsidRDefault="00000000">
            <w:pPr>
              <w:pStyle w:val="Compact"/>
              <w:rPr>
                <w:sz w:val="21"/>
                <w:szCs w:val="21"/>
              </w:rPr>
            </w:pPr>
            <w:r w:rsidRPr="007B4646">
              <w:rPr>
                <w:sz w:val="21"/>
                <w:szCs w:val="21"/>
              </w:rPr>
              <w:t>NeuroD expression, migration begins</w:t>
            </w:r>
          </w:p>
        </w:tc>
      </w:tr>
      <w:tr w:rsidR="00FA733C" w:rsidRPr="007B4646" w14:paraId="6834F373" w14:textId="77777777">
        <w:tc>
          <w:tcPr>
            <w:tcW w:w="0" w:type="auto"/>
          </w:tcPr>
          <w:p w14:paraId="45B2F1BE" w14:textId="77777777" w:rsidR="00FA733C" w:rsidRPr="007B4646" w:rsidRDefault="00000000">
            <w:pPr>
              <w:pStyle w:val="Compact"/>
              <w:rPr>
                <w:sz w:val="21"/>
                <w:szCs w:val="21"/>
              </w:rPr>
            </w:pPr>
            <w:r w:rsidRPr="007B4646">
              <w:rPr>
                <w:sz w:val="21"/>
                <w:szCs w:val="21"/>
              </w:rPr>
              <w:t>Axon extension to CA3</w:t>
            </w:r>
          </w:p>
        </w:tc>
        <w:tc>
          <w:tcPr>
            <w:tcW w:w="0" w:type="auto"/>
          </w:tcPr>
          <w:p w14:paraId="7CF0D42C" w14:textId="77777777" w:rsidR="00FA733C" w:rsidRPr="007B4646" w:rsidRDefault="00000000">
            <w:pPr>
              <w:pStyle w:val="Compact"/>
              <w:rPr>
                <w:sz w:val="21"/>
                <w:szCs w:val="21"/>
              </w:rPr>
            </w:pPr>
            <w:r w:rsidRPr="007B4646">
              <w:rPr>
                <w:sz w:val="21"/>
                <w:szCs w:val="21"/>
              </w:rPr>
              <w:t>1-2 weeks</w:t>
            </w:r>
          </w:p>
        </w:tc>
        <w:tc>
          <w:tcPr>
            <w:tcW w:w="0" w:type="auto"/>
          </w:tcPr>
          <w:p w14:paraId="3E088722" w14:textId="77777777" w:rsidR="00FA733C" w:rsidRPr="007B4646" w:rsidRDefault="00000000">
            <w:pPr>
              <w:pStyle w:val="Compact"/>
              <w:rPr>
                <w:sz w:val="21"/>
                <w:szCs w:val="21"/>
              </w:rPr>
            </w:pPr>
            <w:r w:rsidRPr="007B4646">
              <w:rPr>
                <w:sz w:val="21"/>
                <w:szCs w:val="21"/>
              </w:rPr>
              <w:t>Mossy fiber pathway development</w:t>
            </w:r>
          </w:p>
        </w:tc>
      </w:tr>
      <w:tr w:rsidR="00FA733C" w:rsidRPr="007B4646" w14:paraId="7E685CBB" w14:textId="77777777">
        <w:tc>
          <w:tcPr>
            <w:tcW w:w="0" w:type="auto"/>
          </w:tcPr>
          <w:p w14:paraId="526C6349" w14:textId="77777777" w:rsidR="00FA733C" w:rsidRPr="007B4646" w:rsidRDefault="00000000">
            <w:pPr>
              <w:pStyle w:val="Compact"/>
              <w:rPr>
                <w:sz w:val="21"/>
                <w:szCs w:val="21"/>
              </w:rPr>
            </w:pPr>
            <w:r w:rsidRPr="007B4646">
              <w:rPr>
                <w:sz w:val="21"/>
                <w:szCs w:val="21"/>
              </w:rPr>
              <w:t>Initial synaptic input</w:t>
            </w:r>
          </w:p>
        </w:tc>
        <w:tc>
          <w:tcPr>
            <w:tcW w:w="0" w:type="auto"/>
          </w:tcPr>
          <w:p w14:paraId="2329BF90" w14:textId="77777777" w:rsidR="00FA733C" w:rsidRPr="007B4646" w:rsidRDefault="00000000">
            <w:pPr>
              <w:pStyle w:val="Compact"/>
              <w:rPr>
                <w:sz w:val="21"/>
                <w:szCs w:val="21"/>
              </w:rPr>
            </w:pPr>
            <w:r w:rsidRPr="007B4646">
              <w:rPr>
                <w:sz w:val="21"/>
                <w:szCs w:val="21"/>
              </w:rPr>
              <w:t>2-3 weeks</w:t>
            </w:r>
          </w:p>
        </w:tc>
        <w:tc>
          <w:tcPr>
            <w:tcW w:w="0" w:type="auto"/>
          </w:tcPr>
          <w:p w14:paraId="13A6BB33" w14:textId="77777777" w:rsidR="00FA733C" w:rsidRPr="007B4646" w:rsidRDefault="00000000">
            <w:pPr>
              <w:pStyle w:val="Compact"/>
              <w:rPr>
                <w:sz w:val="21"/>
                <w:szCs w:val="21"/>
              </w:rPr>
            </w:pPr>
            <w:r w:rsidRPr="007B4646">
              <w:rPr>
                <w:sz w:val="21"/>
                <w:szCs w:val="21"/>
              </w:rPr>
              <w:t>GABAergic (depolarizing) input received</w:t>
            </w:r>
          </w:p>
        </w:tc>
      </w:tr>
      <w:tr w:rsidR="00FA733C" w:rsidRPr="007B4646" w14:paraId="42DBA686" w14:textId="77777777">
        <w:tc>
          <w:tcPr>
            <w:tcW w:w="0" w:type="auto"/>
          </w:tcPr>
          <w:p w14:paraId="04BA5D89" w14:textId="77777777" w:rsidR="00FA733C" w:rsidRPr="007B4646" w:rsidRDefault="00000000">
            <w:pPr>
              <w:pStyle w:val="Compact"/>
              <w:rPr>
                <w:sz w:val="21"/>
                <w:szCs w:val="21"/>
              </w:rPr>
            </w:pPr>
            <w:r w:rsidRPr="007B4646">
              <w:rPr>
                <w:sz w:val="21"/>
                <w:szCs w:val="21"/>
              </w:rPr>
              <w:t>Enhanced plasticity window</w:t>
            </w:r>
          </w:p>
        </w:tc>
        <w:tc>
          <w:tcPr>
            <w:tcW w:w="0" w:type="auto"/>
          </w:tcPr>
          <w:p w14:paraId="7CA2FDF3" w14:textId="77777777" w:rsidR="00FA733C" w:rsidRPr="007B4646" w:rsidRDefault="00000000">
            <w:pPr>
              <w:pStyle w:val="Compact"/>
              <w:rPr>
                <w:sz w:val="21"/>
                <w:szCs w:val="21"/>
              </w:rPr>
            </w:pPr>
            <w:r w:rsidRPr="007B4646">
              <w:rPr>
                <w:sz w:val="21"/>
                <w:szCs w:val="21"/>
              </w:rPr>
              <w:t>4-6 weeks</w:t>
            </w:r>
          </w:p>
        </w:tc>
        <w:tc>
          <w:tcPr>
            <w:tcW w:w="0" w:type="auto"/>
          </w:tcPr>
          <w:p w14:paraId="13F5416D" w14:textId="77777777" w:rsidR="00FA733C" w:rsidRPr="007B4646" w:rsidRDefault="00000000">
            <w:pPr>
              <w:pStyle w:val="Compact"/>
              <w:rPr>
                <w:sz w:val="21"/>
                <w:szCs w:val="21"/>
              </w:rPr>
            </w:pPr>
            <w:r w:rsidRPr="007B4646">
              <w:rPr>
                <w:sz w:val="21"/>
                <w:szCs w:val="21"/>
              </w:rPr>
              <w:t>Lower LTP threshold, hyperexcitability</w:t>
            </w:r>
          </w:p>
        </w:tc>
      </w:tr>
      <w:tr w:rsidR="00FA733C" w:rsidRPr="007B4646" w14:paraId="5120754B" w14:textId="77777777">
        <w:tc>
          <w:tcPr>
            <w:tcW w:w="0" w:type="auto"/>
          </w:tcPr>
          <w:p w14:paraId="7F9037CB" w14:textId="77777777" w:rsidR="00FA733C" w:rsidRPr="007B4646" w:rsidRDefault="00000000">
            <w:pPr>
              <w:pStyle w:val="Compact"/>
              <w:rPr>
                <w:sz w:val="21"/>
                <w:szCs w:val="21"/>
              </w:rPr>
            </w:pPr>
            <w:r w:rsidRPr="007B4646">
              <w:rPr>
                <w:sz w:val="21"/>
                <w:szCs w:val="21"/>
              </w:rPr>
              <w:t>Full maturation</w:t>
            </w:r>
          </w:p>
        </w:tc>
        <w:tc>
          <w:tcPr>
            <w:tcW w:w="0" w:type="auto"/>
          </w:tcPr>
          <w:p w14:paraId="5AB97422" w14:textId="77777777" w:rsidR="00FA733C" w:rsidRPr="007B4646" w:rsidRDefault="00000000">
            <w:pPr>
              <w:pStyle w:val="Compact"/>
              <w:rPr>
                <w:sz w:val="21"/>
                <w:szCs w:val="21"/>
              </w:rPr>
            </w:pPr>
            <w:r w:rsidRPr="007B4646">
              <w:rPr>
                <w:sz w:val="21"/>
                <w:szCs w:val="21"/>
              </w:rPr>
              <w:t>6-8 weeks</w:t>
            </w:r>
          </w:p>
        </w:tc>
        <w:tc>
          <w:tcPr>
            <w:tcW w:w="0" w:type="auto"/>
          </w:tcPr>
          <w:p w14:paraId="17A93344" w14:textId="77777777" w:rsidR="00FA733C" w:rsidRPr="007B4646" w:rsidRDefault="00000000">
            <w:pPr>
              <w:pStyle w:val="Compact"/>
              <w:rPr>
                <w:sz w:val="21"/>
                <w:szCs w:val="21"/>
              </w:rPr>
            </w:pPr>
            <w:r w:rsidRPr="007B4646">
              <w:rPr>
                <w:sz w:val="21"/>
                <w:szCs w:val="21"/>
              </w:rPr>
              <w:t>Adult electrophysiological properties</w:t>
            </w:r>
          </w:p>
        </w:tc>
      </w:tr>
    </w:tbl>
    <w:p w14:paraId="6540A3EC" w14:textId="77777777" w:rsidR="00FA733C" w:rsidRPr="007B4646" w:rsidRDefault="00000000">
      <w:pPr>
        <w:pStyle w:val="BodyText"/>
        <w:rPr>
          <w:sz w:val="21"/>
          <w:szCs w:val="21"/>
        </w:rPr>
      </w:pPr>
      <w:r w:rsidRPr="007B4646">
        <w:rPr>
          <w:sz w:val="21"/>
          <w:szCs w:val="21"/>
        </w:rPr>
        <w:t xml:space="preserve">A particularly relevant finding for understanding ECT mechanisms is the </w:t>
      </w:r>
      <w:r w:rsidRPr="007B4646">
        <w:rPr>
          <w:b/>
          <w:bCs/>
          <w:sz w:val="21"/>
          <w:szCs w:val="21"/>
        </w:rPr>
        <w:t>critical period of enhanced plasticity</w:t>
      </w:r>
      <w:r w:rsidRPr="007B4646">
        <w:rPr>
          <w:sz w:val="21"/>
          <w:szCs w:val="21"/>
        </w:rPr>
        <w:t xml:space="preserve"> in 4-6 week old neurons. Schmidt-Hieber et al. (2004) demonstrated that newly generated granule cells exhibit reduced LTP induction thresholds during this period, with Ge et al. (2007) establishing this as a cell-autonomous property. Neurons at this stage receive depolarizing (excitatory) GABAergic input and show enhanced responsiveness to environmental stimuli. This hyperplastic period represents a cellular substrate for the metaplastic window at the systems level.</w:t>
      </w:r>
    </w:p>
    <w:p w14:paraId="7BDD813A" w14:textId="77777777" w:rsidR="00FA733C" w:rsidRPr="007B4646" w:rsidRDefault="00000000">
      <w:pPr>
        <w:pStyle w:val="Heading3"/>
        <w:rPr>
          <w:sz w:val="22"/>
          <w:szCs w:val="22"/>
        </w:rPr>
      </w:pPr>
      <w:bookmarkStart w:id="9" w:name="X7eac379d464d04413f5ccdd5090ed6701c06d41"/>
      <w:bookmarkEnd w:id="8"/>
      <w:r w:rsidRPr="007B4646">
        <w:rPr>
          <w:sz w:val="22"/>
          <w:szCs w:val="22"/>
        </w:rPr>
        <w:t>Functional significance remains debated but substantial</w:t>
      </w:r>
    </w:p>
    <w:p w14:paraId="7BB38EDE" w14:textId="77777777" w:rsidR="00FA733C" w:rsidRPr="007B4646" w:rsidRDefault="00000000">
      <w:pPr>
        <w:pStyle w:val="FirstParagraph"/>
        <w:rPr>
          <w:sz w:val="21"/>
          <w:szCs w:val="21"/>
        </w:rPr>
      </w:pPr>
      <w:r w:rsidRPr="007B4646">
        <w:rPr>
          <w:sz w:val="21"/>
          <w:szCs w:val="21"/>
        </w:rPr>
        <w:t>The requirement of neurogenesis for antidepressant efficacy was addressed in landmark studies using focal X-ray irradiation to ablate hippocampal neurogenesis. Santarelli et al. (2003) demonstrated that irradiation blocked behavioral effects of fluoxetine and imipramine in the novelty-suppressed feeding test in 129SvEv mice—though notably not in BALB/c mice, indicating strain-dependent mechanisms. Subsequent genetic ablation studies using GFAP-TK (Saxe et al., 2006) and DCX-TK (Snyder et al., 2011) systems confirmed that neurogenesis contributes to specific behavioral outcomes, particularly stress resilience and pattern separation.</w:t>
      </w:r>
    </w:p>
    <w:p w14:paraId="327CE425" w14:textId="77777777" w:rsidR="00FA733C" w:rsidRPr="007B4646" w:rsidRDefault="00000000">
      <w:pPr>
        <w:pStyle w:val="BodyText"/>
        <w:rPr>
          <w:sz w:val="21"/>
          <w:szCs w:val="21"/>
        </w:rPr>
      </w:pPr>
      <w:r w:rsidRPr="007B4646">
        <w:rPr>
          <w:sz w:val="21"/>
          <w:szCs w:val="21"/>
        </w:rPr>
        <w:t>The current consensus recognizes neurogenesis as a contributor to, rather than sole mediator of, antidepressant effects. Evidence includes: (1) some behavioral effects emerge before neurogenesis maturation (weeks); (2) acute ECT produces rapid effects (hours-days) incompatible with neurogenesis timelines; (3) strain and species differences suggest alternative mechanisms; (4) non-neurogenic brain regions also change with treatment. Neurogenesis likely contributes most to cognitive improvements (pattern separation), long-term mood stabilization, and stress resilience rather than acute symptom relief.</w:t>
      </w:r>
    </w:p>
    <w:p w14:paraId="7C491EE7" w14:textId="77777777" w:rsidR="00FA733C" w:rsidRPr="007B4646" w:rsidRDefault="000D1F1C">
      <w:pPr>
        <w:rPr>
          <w:sz w:val="21"/>
          <w:szCs w:val="21"/>
        </w:rPr>
      </w:pPr>
      <w:r w:rsidRPr="000D1F1C">
        <w:rPr>
          <w:noProof/>
          <w:sz w:val="21"/>
          <w:szCs w:val="21"/>
        </w:rPr>
        <w:pict w14:anchorId="30CD441D">
          <v:rect id="_x0000_i1030" alt="" style="width:468pt;height:.05pt;mso-width-percent:0;mso-height-percent:0;mso-width-percent:0;mso-height-percent:0" o:hralign="center" o:hrstd="t" o:hr="t"/>
        </w:pict>
      </w:r>
    </w:p>
    <w:p w14:paraId="1C337E5A" w14:textId="77777777" w:rsidR="00FA733C" w:rsidRPr="007B4646" w:rsidRDefault="00000000">
      <w:pPr>
        <w:pStyle w:val="Heading2"/>
        <w:rPr>
          <w:sz w:val="24"/>
          <w:szCs w:val="24"/>
        </w:rPr>
      </w:pPr>
      <w:bookmarkStart w:id="10" w:name="X87114d6a3584275afddef748ec1af1e931e1b00"/>
      <w:bookmarkEnd w:id="7"/>
      <w:bookmarkEnd w:id="9"/>
      <w:r w:rsidRPr="007B4646">
        <w:rPr>
          <w:sz w:val="24"/>
          <w:szCs w:val="24"/>
        </w:rPr>
        <w:t>Metaplasticity mechanisms establish the theoretical framework</w:t>
      </w:r>
    </w:p>
    <w:p w14:paraId="7E8314E3" w14:textId="77777777" w:rsidR="00FA733C" w:rsidRPr="007B4646" w:rsidRDefault="00000000">
      <w:pPr>
        <w:pStyle w:val="FirstParagraph"/>
        <w:rPr>
          <w:sz w:val="21"/>
          <w:szCs w:val="21"/>
        </w:rPr>
      </w:pPr>
      <w:r w:rsidRPr="007B4646">
        <w:rPr>
          <w:sz w:val="21"/>
          <w:szCs w:val="21"/>
        </w:rPr>
        <w:t>Metaplasticity—the "plasticity of synaptic plasticity"—provides the theoretical framework for understanding how ECT creates a time-limited window of enhanced neural adaptability. The concept, formalized by Abraham and Bear (1996), describes how prior synaptic activity modifies the rules governing subsequent plasticity induction.</w:t>
      </w:r>
    </w:p>
    <w:p w14:paraId="05C552A3" w14:textId="77777777" w:rsidR="00FA733C" w:rsidRPr="007B4646" w:rsidRDefault="00000000">
      <w:pPr>
        <w:pStyle w:val="Heading3"/>
        <w:rPr>
          <w:sz w:val="22"/>
          <w:szCs w:val="22"/>
        </w:rPr>
      </w:pPr>
      <w:bookmarkStart w:id="11" w:name="X6273b807e67f8c9d12bb79080806f6abde83979"/>
      <w:r w:rsidRPr="007B4646">
        <w:rPr>
          <w:sz w:val="22"/>
          <w:szCs w:val="22"/>
        </w:rPr>
        <w:t>The BCM model explains activity-dependent threshold shifts</w:t>
      </w:r>
    </w:p>
    <w:p w14:paraId="7DFFE897" w14:textId="77777777" w:rsidR="00FA733C" w:rsidRPr="007B4646" w:rsidRDefault="00000000">
      <w:pPr>
        <w:pStyle w:val="FirstParagraph"/>
        <w:rPr>
          <w:sz w:val="21"/>
          <w:szCs w:val="21"/>
        </w:rPr>
      </w:pPr>
      <w:r w:rsidRPr="007B4646">
        <w:rPr>
          <w:sz w:val="21"/>
          <w:szCs w:val="21"/>
        </w:rPr>
        <w:t xml:space="preserve">The Bienenstock-Cooper-Munro (BCM) theory provides mathematical formalization of metaplasticity through the </w:t>
      </w:r>
      <w:r w:rsidRPr="007B4646">
        <w:rPr>
          <w:b/>
          <w:bCs/>
          <w:sz w:val="21"/>
          <w:szCs w:val="21"/>
        </w:rPr>
        <w:t>sliding modification threshold (θm)</w:t>
      </w:r>
      <w:r w:rsidRPr="007B4646">
        <w:rPr>
          <w:sz w:val="21"/>
          <w:szCs w:val="21"/>
        </w:rPr>
        <w:t>. According to BCM, synaptic modification depends on postsynaptic activity relative to θm: activity exceeding θm produces LTP, while activity below θm produces LTD. Critically, θm itself varies as a function of recent postsynaptic activity history:</w:t>
      </w:r>
    </w:p>
    <w:p w14:paraId="5D8ADD98" w14:textId="77777777" w:rsidR="00FA733C" w:rsidRPr="007B4646" w:rsidRDefault="00000000">
      <w:pPr>
        <w:pStyle w:val="BodyText"/>
        <w:rPr>
          <w:sz w:val="21"/>
          <w:szCs w:val="21"/>
        </w:rPr>
      </w:pPr>
      <w:r w:rsidRPr="007B4646">
        <w:rPr>
          <w:b/>
          <w:bCs/>
          <w:sz w:val="21"/>
          <w:szCs w:val="21"/>
        </w:rPr>
        <w:t>θm ∝ E[c²]</w:t>
      </w:r>
    </w:p>
    <w:p w14:paraId="3363E9E9" w14:textId="77777777" w:rsidR="00FA733C" w:rsidRPr="007B4646" w:rsidRDefault="00000000">
      <w:pPr>
        <w:pStyle w:val="BodyText"/>
        <w:rPr>
          <w:sz w:val="21"/>
          <w:szCs w:val="21"/>
        </w:rPr>
      </w:pPr>
      <w:r w:rsidRPr="007B4646">
        <w:rPr>
          <w:sz w:val="21"/>
          <w:szCs w:val="21"/>
        </w:rPr>
        <w:lastRenderedPageBreak/>
        <w:t>where E[c²] represents time-averaged squared postsynaptic activity. High prior activity elevates θm, making LTP harder to induce; low prior activity reduces θm, facilitating LTP. This provides homeostatic regulation preventing runaway potentiation.</w:t>
      </w:r>
    </w:p>
    <w:p w14:paraId="1B115362" w14:textId="77777777" w:rsidR="00FA733C" w:rsidRPr="007B4646" w:rsidRDefault="00000000">
      <w:pPr>
        <w:pStyle w:val="BodyText"/>
        <w:rPr>
          <w:sz w:val="21"/>
          <w:szCs w:val="21"/>
        </w:rPr>
      </w:pPr>
      <w:r w:rsidRPr="007B4646">
        <w:rPr>
          <w:sz w:val="21"/>
          <w:szCs w:val="21"/>
        </w:rPr>
        <w:t>Seizures represent an extreme perturbation within this framework. The massive synchronized activity during ECT dramatically elevates θm acutely, potentially explaining post-ictal cognitive suppression. However, subsequent homeostatic compensation, mediated by mechanisms including Arc-dependent AMPA receptor internalization, may lower θm below baseline. This transient state of reduced LTP threshold—when normal physiological activity can more readily induce potentiation—constitutes the metaplastic window.</w:t>
      </w:r>
    </w:p>
    <w:p w14:paraId="02B891E0" w14:textId="77777777" w:rsidR="00FA733C" w:rsidRPr="007B4646" w:rsidRDefault="00000000">
      <w:pPr>
        <w:pStyle w:val="Heading3"/>
        <w:rPr>
          <w:sz w:val="22"/>
          <w:szCs w:val="22"/>
        </w:rPr>
      </w:pPr>
      <w:bookmarkStart w:id="12" w:name="X0ea4ec627c34249c251b1611f94073263988442"/>
      <w:bookmarkEnd w:id="11"/>
      <w:r w:rsidRPr="007B4646">
        <w:rPr>
          <w:sz w:val="22"/>
          <w:szCs w:val="22"/>
        </w:rPr>
        <w:t>NMDA receptor remodeling shifts plasticity thresholds</w:t>
      </w:r>
    </w:p>
    <w:p w14:paraId="7DC0E57C" w14:textId="77777777" w:rsidR="00FA733C" w:rsidRPr="007B4646" w:rsidRDefault="00000000">
      <w:pPr>
        <w:pStyle w:val="FirstParagraph"/>
        <w:rPr>
          <w:sz w:val="21"/>
          <w:szCs w:val="21"/>
        </w:rPr>
      </w:pPr>
      <w:r w:rsidRPr="007B4646">
        <w:rPr>
          <w:sz w:val="21"/>
          <w:szCs w:val="21"/>
        </w:rPr>
        <w:t>At the molecular level, metaplasticity involves changes in NMDA receptor subunit composition that alter calcium signaling properties. The GluN2A/GluN2B subunit ratio critically determines channel kinetics and downstream signaling:</w:t>
      </w:r>
    </w:p>
    <w:p w14:paraId="6C30BF35" w14:textId="77777777" w:rsidR="00FA733C" w:rsidRPr="007B4646" w:rsidRDefault="00000000">
      <w:pPr>
        <w:numPr>
          <w:ilvl w:val="0"/>
          <w:numId w:val="2"/>
        </w:numPr>
        <w:rPr>
          <w:sz w:val="21"/>
          <w:szCs w:val="21"/>
        </w:rPr>
      </w:pPr>
      <w:r w:rsidRPr="007B4646">
        <w:rPr>
          <w:b/>
          <w:bCs/>
          <w:sz w:val="21"/>
          <w:szCs w:val="21"/>
        </w:rPr>
        <w:t>GluN2A</w:t>
      </w:r>
      <w:r w:rsidRPr="007B4646">
        <w:rPr>
          <w:sz w:val="21"/>
          <w:szCs w:val="21"/>
        </w:rPr>
        <w:t>: Faster kinetics (τ_deactivation ≈ 50ms), lower Ca²⁺ permeability, couples preferentially to LTP pathways</w:t>
      </w:r>
    </w:p>
    <w:p w14:paraId="25243A15" w14:textId="77777777" w:rsidR="00FA733C" w:rsidRPr="007B4646" w:rsidRDefault="00000000">
      <w:pPr>
        <w:numPr>
          <w:ilvl w:val="0"/>
          <w:numId w:val="2"/>
        </w:numPr>
        <w:rPr>
          <w:sz w:val="21"/>
          <w:szCs w:val="21"/>
        </w:rPr>
      </w:pPr>
      <w:r w:rsidRPr="007B4646">
        <w:rPr>
          <w:b/>
          <w:bCs/>
          <w:sz w:val="21"/>
          <w:szCs w:val="21"/>
        </w:rPr>
        <w:t>GluN2B</w:t>
      </w:r>
      <w:r w:rsidRPr="007B4646">
        <w:rPr>
          <w:sz w:val="21"/>
          <w:szCs w:val="21"/>
        </w:rPr>
        <w:t>: Slower kinetics (τ_deactivation ≈ 300ms), higher Ca²⁺ permeability, higher CaMKII affinity, supports both LTP and LTD</w:t>
      </w:r>
    </w:p>
    <w:p w14:paraId="79D50BC5" w14:textId="77777777" w:rsidR="00FA733C" w:rsidRPr="007B4646" w:rsidRDefault="00000000">
      <w:pPr>
        <w:pStyle w:val="FirstParagraph"/>
        <w:rPr>
          <w:sz w:val="21"/>
          <w:szCs w:val="21"/>
        </w:rPr>
      </w:pPr>
      <w:r w:rsidRPr="007B4646">
        <w:rPr>
          <w:sz w:val="21"/>
          <w:szCs w:val="21"/>
        </w:rPr>
        <w:t>ECS produces a shift toward higher GluN2B expression at 24-48 hours post-treatment, effectively creating a "younger" synaptic phenotype more amenable to activity-dependent modification (Bhardwaj et al., 2000). This shift reduces the activity threshold required for LTP induction, broadening the frequency range capable of inducing potentiation.</w:t>
      </w:r>
    </w:p>
    <w:p w14:paraId="7D318417" w14:textId="77777777" w:rsidR="00FA733C" w:rsidRPr="007B4646" w:rsidRDefault="00000000">
      <w:pPr>
        <w:pStyle w:val="BodyText"/>
        <w:rPr>
          <w:sz w:val="21"/>
          <w:szCs w:val="21"/>
        </w:rPr>
      </w:pPr>
      <w:r w:rsidRPr="007B4646">
        <w:rPr>
          <w:sz w:val="21"/>
          <w:szCs w:val="21"/>
        </w:rPr>
        <w:t xml:space="preserve">Electrophysiological studies confirm these predictions. Stewart and Reid (1994) demonstrated that ECS enhances subsequent LTP induction in hippocampal CA1, with effects persisting 3-5 days. Under normal conditions, 100 Hz stimulation is required for LTP induction; 24 hours post-ECS, </w:t>
      </w:r>
      <w:r w:rsidRPr="007B4646">
        <w:rPr>
          <w:b/>
          <w:bCs/>
          <w:sz w:val="21"/>
          <w:szCs w:val="21"/>
        </w:rPr>
        <w:t>50 Hz stimulation produces equivalent potentiation</w:t>
      </w:r>
      <w:r w:rsidRPr="007B4646">
        <w:rPr>
          <w:sz w:val="21"/>
          <w:szCs w:val="21"/>
        </w:rPr>
        <w:t>. This "left-shift" of the frequency-response curve has direct implications for therapeutic mechanisms: everyday neural activity patterns (theta rhythm, 4-8 Hz) may become capable of inducing potentiation during the metaplastic window, enabling activity-dependent circuit restructuring.</w:t>
      </w:r>
    </w:p>
    <w:p w14:paraId="6FA56C66" w14:textId="77777777" w:rsidR="00FA733C" w:rsidRPr="007B4646" w:rsidRDefault="00000000">
      <w:pPr>
        <w:pStyle w:val="Heading3"/>
        <w:rPr>
          <w:sz w:val="22"/>
          <w:szCs w:val="22"/>
        </w:rPr>
      </w:pPr>
      <w:bookmarkStart w:id="13" w:name="X5fc31c1fddded6998d46de934be9843ae6871f4"/>
      <w:bookmarkEnd w:id="12"/>
      <w:r w:rsidRPr="007B4646">
        <w:rPr>
          <w:sz w:val="22"/>
          <w:szCs w:val="22"/>
        </w:rPr>
        <w:t>Homeostatic synaptic scaling complements Hebbian mechanisms</w:t>
      </w:r>
    </w:p>
    <w:p w14:paraId="383C839C" w14:textId="77777777" w:rsidR="00FA733C" w:rsidRPr="007B4646" w:rsidRDefault="00000000">
      <w:pPr>
        <w:pStyle w:val="FirstParagraph"/>
        <w:rPr>
          <w:sz w:val="21"/>
          <w:szCs w:val="21"/>
        </w:rPr>
      </w:pPr>
      <w:r w:rsidRPr="007B4646">
        <w:rPr>
          <w:sz w:val="21"/>
          <w:szCs w:val="21"/>
        </w:rPr>
        <w:t>Beyond Hebbian (associative) plasticity, homeostatic mechanisms respond to the massive perturbation of seizure activity. Synaptic scaling adjusts all synaptic strengths multiplicatively to maintain stable network activity, operating on a timescale of hours to days.</w:t>
      </w:r>
    </w:p>
    <w:p w14:paraId="0491C993" w14:textId="77777777" w:rsidR="00FA733C" w:rsidRPr="007B4646" w:rsidRDefault="00000000">
      <w:pPr>
        <w:pStyle w:val="BodyText"/>
        <w:rPr>
          <w:sz w:val="21"/>
          <w:szCs w:val="21"/>
        </w:rPr>
      </w:pPr>
      <w:r w:rsidRPr="007B4646">
        <w:rPr>
          <w:sz w:val="21"/>
          <w:szCs w:val="21"/>
        </w:rPr>
        <w:t>Following seizure-induced hyperactivity, scaling-down mechanisms reduce synaptic AMPA receptor content, decreasing miniature EPSC amplitude. Key molecular mediators include:</w:t>
      </w:r>
    </w:p>
    <w:p w14:paraId="67EEADF8" w14:textId="77777777" w:rsidR="00FA733C" w:rsidRPr="007B4646" w:rsidRDefault="00000000">
      <w:pPr>
        <w:numPr>
          <w:ilvl w:val="0"/>
          <w:numId w:val="3"/>
        </w:numPr>
        <w:rPr>
          <w:sz w:val="21"/>
          <w:szCs w:val="21"/>
        </w:rPr>
      </w:pPr>
      <w:r w:rsidRPr="007B4646">
        <w:rPr>
          <w:b/>
          <w:bCs/>
          <w:sz w:val="21"/>
          <w:szCs w:val="21"/>
        </w:rPr>
        <w:t>Arc</w:t>
      </w:r>
      <w:r w:rsidRPr="007B4646">
        <w:rPr>
          <w:sz w:val="21"/>
          <w:szCs w:val="21"/>
        </w:rPr>
        <w:t>: Promotes AMPA receptor internalization; strongly induced by ECS</w:t>
      </w:r>
    </w:p>
    <w:p w14:paraId="4A94EB52" w14:textId="77777777" w:rsidR="00FA733C" w:rsidRPr="007B4646" w:rsidRDefault="00000000">
      <w:pPr>
        <w:numPr>
          <w:ilvl w:val="0"/>
          <w:numId w:val="3"/>
        </w:numPr>
        <w:rPr>
          <w:sz w:val="21"/>
          <w:szCs w:val="21"/>
        </w:rPr>
      </w:pPr>
      <w:r w:rsidRPr="007B4646">
        <w:rPr>
          <w:b/>
          <w:bCs/>
          <w:sz w:val="21"/>
          <w:szCs w:val="21"/>
        </w:rPr>
        <w:t>TNFα</w:t>
      </w:r>
      <w:r w:rsidRPr="007B4646">
        <w:rPr>
          <w:sz w:val="21"/>
          <w:szCs w:val="21"/>
        </w:rPr>
        <w:t>: Released by glia; normally promotes scaling up; may contribute to recovery phase</w:t>
      </w:r>
    </w:p>
    <w:p w14:paraId="4E1475AA" w14:textId="77777777" w:rsidR="00FA733C" w:rsidRPr="007B4646" w:rsidRDefault="00000000">
      <w:pPr>
        <w:numPr>
          <w:ilvl w:val="0"/>
          <w:numId w:val="3"/>
        </w:numPr>
        <w:rPr>
          <w:sz w:val="21"/>
          <w:szCs w:val="21"/>
        </w:rPr>
      </w:pPr>
      <w:r w:rsidRPr="007B4646">
        <w:rPr>
          <w:b/>
          <w:bCs/>
          <w:sz w:val="21"/>
          <w:szCs w:val="21"/>
        </w:rPr>
        <w:t>Retinoic acid</w:t>
      </w:r>
      <w:r w:rsidRPr="007B4646">
        <w:rPr>
          <w:sz w:val="21"/>
          <w:szCs w:val="21"/>
        </w:rPr>
        <w:t>: Synthesized during activity deprivation; promotes scaling up</w:t>
      </w:r>
    </w:p>
    <w:p w14:paraId="01F2E28A" w14:textId="77777777" w:rsidR="00FA733C" w:rsidRPr="007B4646" w:rsidRDefault="00000000">
      <w:pPr>
        <w:pStyle w:val="FirstParagraph"/>
        <w:rPr>
          <w:sz w:val="21"/>
          <w:szCs w:val="21"/>
        </w:rPr>
      </w:pPr>
      <w:r w:rsidRPr="007B4646">
        <w:rPr>
          <w:sz w:val="21"/>
          <w:szCs w:val="21"/>
        </w:rPr>
        <w:t xml:space="preserve">The biphasic response—initial scaling down following seizure hyperactivity, followed by potential scaling up during post-ictal depression—may establish new homeostatic setpoints relevant to </w:t>
      </w:r>
      <w:r w:rsidRPr="007B4646">
        <w:rPr>
          <w:sz w:val="21"/>
          <w:szCs w:val="21"/>
        </w:rPr>
        <w:lastRenderedPageBreak/>
        <w:t>therapeutic mechanism. The metaplastic window may represent the transition period when these homeostatic mechanisms are actively recalibrating, creating a period of enhanced susceptibility to experience-dependent modification.</w:t>
      </w:r>
    </w:p>
    <w:p w14:paraId="5DE96B33" w14:textId="77777777" w:rsidR="00FA733C" w:rsidRPr="007B4646" w:rsidRDefault="000D1F1C">
      <w:pPr>
        <w:rPr>
          <w:sz w:val="21"/>
          <w:szCs w:val="21"/>
        </w:rPr>
      </w:pPr>
      <w:r w:rsidRPr="000D1F1C">
        <w:rPr>
          <w:noProof/>
          <w:sz w:val="21"/>
          <w:szCs w:val="21"/>
        </w:rPr>
        <w:pict w14:anchorId="3B32DB0C">
          <v:rect id="_x0000_i1029" alt="" style="width:468pt;height:.05pt;mso-width-percent:0;mso-height-percent:0;mso-width-percent:0;mso-height-percent:0" o:hralign="center" o:hrstd="t" o:hr="t"/>
        </w:pict>
      </w:r>
    </w:p>
    <w:p w14:paraId="5EC25DAB" w14:textId="77777777" w:rsidR="00FA733C" w:rsidRPr="007B4646" w:rsidRDefault="00000000">
      <w:pPr>
        <w:pStyle w:val="Heading2"/>
        <w:rPr>
          <w:sz w:val="24"/>
          <w:szCs w:val="24"/>
        </w:rPr>
      </w:pPr>
      <w:bookmarkStart w:id="14" w:name="Xe6d010113cc80829f3754925c12256755118e71"/>
      <w:bookmarkEnd w:id="10"/>
      <w:bookmarkEnd w:id="13"/>
      <w:r w:rsidRPr="007B4646">
        <w:rPr>
          <w:sz w:val="24"/>
          <w:szCs w:val="24"/>
        </w:rPr>
        <w:t>Epigenetic modifications enable sustained transcriptional changes</w:t>
      </w:r>
    </w:p>
    <w:p w14:paraId="6190474E" w14:textId="77777777" w:rsidR="00FA733C" w:rsidRPr="007B4646" w:rsidRDefault="00000000">
      <w:pPr>
        <w:pStyle w:val="FirstParagraph"/>
        <w:rPr>
          <w:sz w:val="21"/>
          <w:szCs w:val="21"/>
        </w:rPr>
      </w:pPr>
      <w:r w:rsidRPr="007B4646">
        <w:rPr>
          <w:sz w:val="21"/>
          <w:szCs w:val="21"/>
        </w:rPr>
        <w:t>The persistence of ECT's therapeutic effects beyond the acute treatment period requires mechanisms for sustained gene expression changes. Epigenetic modifications—histone acetylation, DNA methylation, and microRNA regulation—provide the molecular memory necessary for maintained plasticity.</w:t>
      </w:r>
    </w:p>
    <w:p w14:paraId="770C6189" w14:textId="77777777" w:rsidR="00FA733C" w:rsidRPr="007B4646" w:rsidRDefault="00000000">
      <w:pPr>
        <w:pStyle w:val="Heading3"/>
        <w:rPr>
          <w:sz w:val="22"/>
          <w:szCs w:val="22"/>
        </w:rPr>
      </w:pPr>
      <w:bookmarkStart w:id="15" w:name="X39f4296b125b46f09aa115c04c7bb2b09b28479"/>
      <w:r w:rsidRPr="007B4646">
        <w:rPr>
          <w:sz w:val="22"/>
          <w:szCs w:val="22"/>
        </w:rPr>
        <w:t>Histone acetylation promotes transcription-permissive chromatin states</w:t>
      </w:r>
    </w:p>
    <w:p w14:paraId="3106BBAF" w14:textId="77777777" w:rsidR="00FA733C" w:rsidRPr="007B4646" w:rsidRDefault="00000000">
      <w:pPr>
        <w:pStyle w:val="FirstParagraph"/>
        <w:rPr>
          <w:sz w:val="21"/>
          <w:szCs w:val="21"/>
        </w:rPr>
      </w:pPr>
      <w:r w:rsidRPr="007B4646">
        <w:rPr>
          <w:sz w:val="21"/>
          <w:szCs w:val="21"/>
        </w:rPr>
        <w:t xml:space="preserve">ECS rapidly increases histone acetylation at plasticity-related gene promoters. Tsankova et al. (2004) demonstrated that ECS increases H3K14 acetylation at BDNF promoters (P3 and P4) </w:t>
      </w:r>
      <w:r w:rsidRPr="007B4646">
        <w:rPr>
          <w:b/>
          <w:bCs/>
          <w:sz w:val="21"/>
          <w:szCs w:val="21"/>
        </w:rPr>
        <w:t>2-3 fold</w:t>
      </w:r>
      <w:r w:rsidRPr="007B4646">
        <w:rPr>
          <w:sz w:val="21"/>
          <w:szCs w:val="21"/>
        </w:rPr>
        <w:t xml:space="preserve"> within 2-24 hours in hippocampus. H3K9 acetylation and pan-H4 acetylation similarly increase in CA1, CA3, and dentate gyrus, peaking at 2-4 hours and persisting up to 24 hours.</w:t>
      </w:r>
    </w:p>
    <w:p w14:paraId="6A5AE63D" w14:textId="77777777" w:rsidR="00FA733C" w:rsidRPr="007B4646" w:rsidRDefault="00000000">
      <w:pPr>
        <w:pStyle w:val="BodyText"/>
        <w:rPr>
          <w:sz w:val="21"/>
          <w:szCs w:val="21"/>
        </w:rPr>
      </w:pPr>
      <w:r w:rsidRPr="007B4646">
        <w:rPr>
          <w:sz w:val="21"/>
          <w:szCs w:val="21"/>
        </w:rPr>
        <w:t>The enzymatic basis involves recruitment of histone acetyltransferases (HATs) to promoters. ECS activates CREB, which recruits CBP (CREB-binding protein) to target promoters. CBP's intrinsic HAT activity acetylates histones, loosening chromatin structure and permitting transcription factor access. Simultaneously, ECS reduces HDAC2 activity through CaMKII-mediated phosphorylation and nuclear export of Class II HDACs (HDAC4, HDAC5), releasing their repressive influence.</w:t>
      </w:r>
    </w:p>
    <w:p w14:paraId="3C3F9ECF" w14:textId="77777777" w:rsidR="00FA733C" w:rsidRPr="007B4646" w:rsidRDefault="00000000">
      <w:pPr>
        <w:pStyle w:val="BodyText"/>
        <w:rPr>
          <w:sz w:val="21"/>
          <w:szCs w:val="21"/>
        </w:rPr>
      </w:pPr>
      <w:r w:rsidRPr="007B4646">
        <w:rPr>
          <w:sz w:val="21"/>
          <w:szCs w:val="21"/>
        </w:rPr>
        <w:t>The therapeutic potential of HDAC inhibition has attracted considerable interest. Guan et al. (2009) demonstrated that HDAC2 negatively regulates memory formation and synaptic plasticity. HDAC inhibitors enhance BDNF induction and may potentiate ECT effects, with combined treatment producing synergistic increases (</w:t>
      </w:r>
      <w:r w:rsidRPr="007B4646">
        <w:rPr>
          <w:b/>
          <w:bCs/>
          <w:sz w:val="21"/>
          <w:szCs w:val="21"/>
        </w:rPr>
        <w:t>up to 10-fold</w:t>
      </w:r>
      <w:r w:rsidRPr="007B4646">
        <w:rPr>
          <w:sz w:val="21"/>
          <w:szCs w:val="21"/>
        </w:rPr>
        <w:t>) in BDNF expression.</w:t>
      </w:r>
    </w:p>
    <w:p w14:paraId="6FBC2D35" w14:textId="77777777" w:rsidR="00FA733C" w:rsidRPr="007B4646" w:rsidRDefault="00000000">
      <w:pPr>
        <w:pStyle w:val="Heading3"/>
        <w:rPr>
          <w:sz w:val="22"/>
          <w:szCs w:val="22"/>
        </w:rPr>
      </w:pPr>
      <w:bookmarkStart w:id="16" w:name="Xd8ecd4cc5b4b5dc1e78da0c6bbb91ee705c996b"/>
      <w:bookmarkEnd w:id="15"/>
      <w:r w:rsidRPr="007B4646">
        <w:rPr>
          <w:sz w:val="22"/>
          <w:szCs w:val="22"/>
        </w:rPr>
        <w:t>DNA methylation dynamics involve active demethylation</w:t>
      </w:r>
    </w:p>
    <w:p w14:paraId="211F4B6F" w14:textId="77777777" w:rsidR="00FA733C" w:rsidRPr="007B4646" w:rsidRDefault="00000000">
      <w:pPr>
        <w:pStyle w:val="FirstParagraph"/>
        <w:rPr>
          <w:sz w:val="21"/>
          <w:szCs w:val="21"/>
        </w:rPr>
      </w:pPr>
      <w:r w:rsidRPr="007B4646">
        <w:rPr>
          <w:sz w:val="21"/>
          <w:szCs w:val="21"/>
        </w:rPr>
        <w:t>DNA methylation at CpG sites typically represses transcription, and ECS induces both methylation and demethylation events at specific loci. Ma et al. (2009) demonstrated that ECS activates Gadd45b-dependent DNA demethylation, facilitating expression of BDNF and other plasticity genes. BDNF exon IV promoter methylation decreases following ECS, correlating with increased transcription.</w:t>
      </w:r>
    </w:p>
    <w:p w14:paraId="489D9A7F" w14:textId="77777777" w:rsidR="00FA733C" w:rsidRPr="007B4646" w:rsidRDefault="00000000">
      <w:pPr>
        <w:pStyle w:val="BodyText"/>
        <w:rPr>
          <w:sz w:val="21"/>
          <w:szCs w:val="21"/>
        </w:rPr>
      </w:pPr>
      <w:r w:rsidRPr="007B4646">
        <w:rPr>
          <w:sz w:val="21"/>
          <w:szCs w:val="21"/>
        </w:rPr>
        <w:t xml:space="preserve">Particularly relevant is the discovery that ECS increases 5-hydroxymethylcytosine (5hmC) levels through TET enzyme activation. Guo et al. (2011) showed that ECS increases global 5hmC by </w:t>
      </w:r>
      <w:r w:rsidRPr="007B4646">
        <w:rPr>
          <w:b/>
          <w:bCs/>
          <w:sz w:val="21"/>
          <w:szCs w:val="21"/>
        </w:rPr>
        <w:t>10-20%</w:t>
      </w:r>
      <w:r w:rsidRPr="007B4646">
        <w:rPr>
          <w:sz w:val="21"/>
          <w:szCs w:val="21"/>
        </w:rPr>
        <w:t xml:space="preserve"> in hippocampal dentate gyrus, with effects peaking at 4-24 hours. TET1-mediated conversion of 5-methylcytosine to 5hmC serves both as an intermediate in active demethylation and as a stable epigenetic mark enriched at neuronal gene promoters. TET1 knockdown impairs ECS-induced gene expression changes, establishing this pathway as necessary for the transcriptional response.</w:t>
      </w:r>
    </w:p>
    <w:p w14:paraId="613CC450" w14:textId="77777777" w:rsidR="00FA733C" w:rsidRPr="007B4646" w:rsidRDefault="00000000">
      <w:pPr>
        <w:pStyle w:val="Heading3"/>
        <w:rPr>
          <w:sz w:val="22"/>
          <w:szCs w:val="22"/>
        </w:rPr>
      </w:pPr>
      <w:bookmarkStart w:id="17" w:name="Xed58e072838788725330d90aada7c5f503e1d5e"/>
      <w:bookmarkEnd w:id="16"/>
      <w:r w:rsidRPr="007B4646">
        <w:rPr>
          <w:sz w:val="22"/>
          <w:szCs w:val="22"/>
        </w:rPr>
        <w:t>MicroRNA changes fine-tune post-transcriptional regulation</w:t>
      </w:r>
    </w:p>
    <w:p w14:paraId="73442A85" w14:textId="77777777" w:rsidR="00FA733C" w:rsidRPr="007B4646" w:rsidRDefault="00000000">
      <w:pPr>
        <w:pStyle w:val="FirstParagraph"/>
        <w:rPr>
          <w:sz w:val="21"/>
          <w:szCs w:val="21"/>
        </w:rPr>
      </w:pPr>
      <w:r w:rsidRPr="007B4646">
        <w:rPr>
          <w:sz w:val="21"/>
          <w:szCs w:val="21"/>
        </w:rPr>
        <w:t xml:space="preserve">ECS modulates expression of plasticity-related microRNAs that regulate target mRNAs post-transcriptionally. </w:t>
      </w:r>
      <w:r w:rsidRPr="007B4646">
        <w:rPr>
          <w:b/>
          <w:bCs/>
          <w:sz w:val="21"/>
          <w:szCs w:val="21"/>
        </w:rPr>
        <w:t>miR-132</w:t>
      </w:r>
      <w:r w:rsidRPr="007B4646">
        <w:rPr>
          <w:sz w:val="21"/>
          <w:szCs w:val="21"/>
        </w:rPr>
        <w:t xml:space="preserve">, the most extensively studied activity-dependent miRNA, is strongly induced by ECS through CREB-dependent transcription, peaking at 2-4 hours and remaining elevated for 24 hours (Vo et al., 2005). miR-132 targets include MeCP2 (methyl-CpG binding protein 2) and p250GAP, promoting dendritic morphogenesis and synaptic plasticity. The related </w:t>
      </w:r>
      <w:r w:rsidRPr="007B4646">
        <w:rPr>
          <w:b/>
          <w:bCs/>
          <w:sz w:val="21"/>
          <w:szCs w:val="21"/>
        </w:rPr>
        <w:t>miR-212</w:t>
      </w:r>
      <w:r w:rsidRPr="007B4646">
        <w:rPr>
          <w:sz w:val="21"/>
          <w:szCs w:val="21"/>
        </w:rPr>
        <w:t>, transcribed from the same primary transcript, shows similar regulation.</w:t>
      </w:r>
    </w:p>
    <w:p w14:paraId="19201B04" w14:textId="77777777" w:rsidR="00FA733C" w:rsidRPr="007B4646" w:rsidRDefault="00000000">
      <w:pPr>
        <w:pStyle w:val="BodyText"/>
        <w:rPr>
          <w:sz w:val="21"/>
          <w:szCs w:val="21"/>
        </w:rPr>
      </w:pPr>
      <w:r w:rsidRPr="007B4646">
        <w:rPr>
          <w:b/>
          <w:bCs/>
          <w:sz w:val="21"/>
          <w:szCs w:val="21"/>
        </w:rPr>
        <w:lastRenderedPageBreak/>
        <w:t>miR-134</w:t>
      </w:r>
      <w:r w:rsidRPr="007B4646">
        <w:rPr>
          <w:sz w:val="21"/>
          <w:szCs w:val="21"/>
        </w:rPr>
        <w:t>, localized to dendritic spines, regulates spine morphology through targeting LIMK1 (Schratt et al., 2006). ECS modulation of miR-134 expression influences structural synaptic plasticity critical for consolidating new circuit configurations. The coordinated regulation of multiple miRNAs creates a post-transcriptional program supporting the broader plasticity response.</w:t>
      </w:r>
    </w:p>
    <w:p w14:paraId="7FB9351A" w14:textId="77777777" w:rsidR="00FA733C" w:rsidRPr="007B4646" w:rsidRDefault="000D1F1C">
      <w:pPr>
        <w:rPr>
          <w:sz w:val="21"/>
          <w:szCs w:val="21"/>
        </w:rPr>
      </w:pPr>
      <w:r w:rsidRPr="000D1F1C">
        <w:rPr>
          <w:noProof/>
          <w:sz w:val="21"/>
          <w:szCs w:val="21"/>
        </w:rPr>
        <w:pict w14:anchorId="28BD6965">
          <v:rect id="_x0000_i1028" alt="" style="width:468pt;height:.05pt;mso-width-percent:0;mso-height-percent:0;mso-width-percent:0;mso-height-percent:0" o:hralign="center" o:hrstd="t" o:hr="t"/>
        </w:pict>
      </w:r>
    </w:p>
    <w:p w14:paraId="7F371FAD" w14:textId="77777777" w:rsidR="00FA733C" w:rsidRPr="007B4646" w:rsidRDefault="00000000">
      <w:pPr>
        <w:pStyle w:val="Heading2"/>
        <w:rPr>
          <w:sz w:val="24"/>
          <w:szCs w:val="24"/>
        </w:rPr>
      </w:pPr>
      <w:bookmarkStart w:id="18" w:name="X55d8ddb77c23b340edbab8d040aa84779c33299"/>
      <w:bookmarkEnd w:id="14"/>
      <w:bookmarkEnd w:id="17"/>
      <w:r w:rsidRPr="007B4646">
        <w:rPr>
          <w:sz w:val="24"/>
          <w:szCs w:val="24"/>
        </w:rPr>
        <w:t>Glial cells actively participate in plasticity mechanisms</w:t>
      </w:r>
    </w:p>
    <w:p w14:paraId="00C72C02" w14:textId="77777777" w:rsidR="00FA733C" w:rsidRPr="007B4646" w:rsidRDefault="00000000">
      <w:pPr>
        <w:pStyle w:val="FirstParagraph"/>
        <w:rPr>
          <w:sz w:val="21"/>
          <w:szCs w:val="21"/>
        </w:rPr>
      </w:pPr>
      <w:r w:rsidRPr="007B4646">
        <w:rPr>
          <w:sz w:val="21"/>
          <w:szCs w:val="21"/>
        </w:rPr>
        <w:t>Glial contributions to ECT mechanisms have gained increasing recognition as the "neurocentric" view of brain function has expanded to include astrocytes, microglia, and oligodendrocyte precursor cells as active participants in neural plasticity.</w:t>
      </w:r>
    </w:p>
    <w:p w14:paraId="73EFFB73" w14:textId="77777777" w:rsidR="00FA733C" w:rsidRPr="007B4646" w:rsidRDefault="00000000">
      <w:pPr>
        <w:pStyle w:val="Heading3"/>
        <w:rPr>
          <w:sz w:val="22"/>
          <w:szCs w:val="22"/>
        </w:rPr>
      </w:pPr>
      <w:bookmarkStart w:id="19" w:name="X6076e78d7bc26c60718fb620f7f1a5b0a647283"/>
      <w:r w:rsidRPr="007B4646">
        <w:rPr>
          <w:sz w:val="22"/>
          <w:szCs w:val="22"/>
        </w:rPr>
        <w:t>Astrocytes support synaptic plasticity through multiple mechanisms</w:t>
      </w:r>
    </w:p>
    <w:p w14:paraId="588E69DB" w14:textId="77777777" w:rsidR="00FA733C" w:rsidRPr="007B4646" w:rsidRDefault="00000000">
      <w:pPr>
        <w:pStyle w:val="FirstParagraph"/>
        <w:rPr>
          <w:sz w:val="21"/>
          <w:szCs w:val="21"/>
        </w:rPr>
      </w:pPr>
      <w:r w:rsidRPr="007B4646">
        <w:rPr>
          <w:sz w:val="21"/>
          <w:szCs w:val="21"/>
        </w:rPr>
        <w:t>Astrocyte activation following ECS, marked by GFAP upregulation (</w:t>
      </w:r>
      <w:r w:rsidRPr="007B4646">
        <w:rPr>
          <w:b/>
          <w:bCs/>
          <w:sz w:val="21"/>
          <w:szCs w:val="21"/>
        </w:rPr>
        <w:t>150-200%</w:t>
      </w:r>
      <w:r w:rsidRPr="007B4646">
        <w:rPr>
          <w:sz w:val="21"/>
          <w:szCs w:val="21"/>
        </w:rPr>
        <w:t xml:space="preserve"> at 24 hours), involves both proliferation and hypertrophy (Wennström et al., 2006). Functionally, astrocytes contribute to ECT mechanisms through:</w:t>
      </w:r>
    </w:p>
    <w:p w14:paraId="6A7FDE55" w14:textId="77777777" w:rsidR="00FA733C" w:rsidRPr="007B4646" w:rsidRDefault="00000000">
      <w:pPr>
        <w:pStyle w:val="BodyText"/>
        <w:rPr>
          <w:sz w:val="21"/>
          <w:szCs w:val="21"/>
        </w:rPr>
      </w:pPr>
      <w:r w:rsidRPr="007B4646">
        <w:rPr>
          <w:b/>
          <w:bCs/>
          <w:sz w:val="21"/>
          <w:szCs w:val="21"/>
        </w:rPr>
        <w:t>Glutamate-glutamine cycling</w:t>
      </w:r>
      <w:r w:rsidRPr="007B4646">
        <w:rPr>
          <w:sz w:val="21"/>
          <w:szCs w:val="21"/>
        </w:rPr>
        <w:t xml:space="preserve">: ECS upregulates GLT-1 (EAAT2) expression by </w:t>
      </w:r>
      <w:r w:rsidRPr="007B4646">
        <w:rPr>
          <w:b/>
          <w:bCs/>
          <w:sz w:val="21"/>
          <w:szCs w:val="21"/>
        </w:rPr>
        <w:t>40-60%</w:t>
      </w:r>
      <w:r w:rsidRPr="007B4646">
        <w:rPr>
          <w:sz w:val="21"/>
          <w:szCs w:val="21"/>
        </w:rPr>
        <w:t>, enhancing glutamate clearance capacity and sharpening synaptic transmission (Bhagya et al., 2015). Enhanced glutamine synthetase activity following the acute phase supports neurotransmitter precursor supply.</w:t>
      </w:r>
    </w:p>
    <w:p w14:paraId="468152AC" w14:textId="77777777" w:rsidR="00FA733C" w:rsidRPr="007B4646" w:rsidRDefault="00000000">
      <w:pPr>
        <w:pStyle w:val="BodyText"/>
        <w:rPr>
          <w:sz w:val="21"/>
          <w:szCs w:val="21"/>
        </w:rPr>
      </w:pPr>
      <w:r w:rsidRPr="007B4646">
        <w:rPr>
          <w:b/>
          <w:bCs/>
          <w:sz w:val="21"/>
          <w:szCs w:val="21"/>
        </w:rPr>
        <w:t>D-serine release</w:t>
      </w:r>
      <w:r w:rsidRPr="007B4646">
        <w:rPr>
          <w:sz w:val="21"/>
          <w:szCs w:val="21"/>
        </w:rPr>
        <w:t xml:space="preserve">: Astrocytes provide D-serine, the primary NMDA receptor co-agonist at forebrain synapses. ECS increases serine racemase expression </w:t>
      </w:r>
      <w:r w:rsidRPr="007B4646">
        <w:rPr>
          <w:b/>
          <w:bCs/>
          <w:sz w:val="21"/>
          <w:szCs w:val="21"/>
        </w:rPr>
        <w:t>30-50%</w:t>
      </w:r>
      <w:r w:rsidRPr="007B4646">
        <w:rPr>
          <w:sz w:val="21"/>
          <w:szCs w:val="21"/>
        </w:rPr>
        <w:t>, elevating extracellular D-serine and enhancing NMDA receptor function essential for LTP (Henneberger et al., 2010).</w:t>
      </w:r>
    </w:p>
    <w:p w14:paraId="6A4D6A9F" w14:textId="77777777" w:rsidR="00FA733C" w:rsidRPr="007B4646" w:rsidRDefault="00000000">
      <w:pPr>
        <w:pStyle w:val="BodyText"/>
        <w:rPr>
          <w:sz w:val="21"/>
          <w:szCs w:val="21"/>
        </w:rPr>
      </w:pPr>
      <w:r w:rsidRPr="007B4646">
        <w:rPr>
          <w:b/>
          <w:bCs/>
          <w:sz w:val="21"/>
          <w:szCs w:val="21"/>
        </w:rPr>
        <w:t>Neurotrophic factor secretion</w:t>
      </w:r>
      <w:r w:rsidRPr="007B4646">
        <w:rPr>
          <w:sz w:val="21"/>
          <w:szCs w:val="21"/>
        </w:rPr>
        <w:t>: Astrocytes contribute substantially to the BDNF pool and release FGF-2 and GDNF following activation.</w:t>
      </w:r>
    </w:p>
    <w:p w14:paraId="3700434F" w14:textId="77777777" w:rsidR="00FA733C" w:rsidRPr="007B4646" w:rsidRDefault="00000000">
      <w:pPr>
        <w:pStyle w:val="BodyText"/>
        <w:rPr>
          <w:sz w:val="21"/>
          <w:szCs w:val="21"/>
        </w:rPr>
      </w:pPr>
      <w:r w:rsidRPr="007B4646">
        <w:rPr>
          <w:b/>
          <w:bCs/>
          <w:sz w:val="21"/>
          <w:szCs w:val="21"/>
        </w:rPr>
        <w:t>Metabolic support</w:t>
      </w:r>
      <w:r w:rsidRPr="007B4646">
        <w:rPr>
          <w:sz w:val="21"/>
          <w:szCs w:val="21"/>
        </w:rPr>
        <w:t>: Enhanced lactate shuttling through upregulated monocarboxylate transporters (MCT1/MCT4) supports neuronal energy demands during plasticity.</w:t>
      </w:r>
    </w:p>
    <w:p w14:paraId="2022F69B" w14:textId="77777777" w:rsidR="00FA733C" w:rsidRPr="007B4646" w:rsidRDefault="00000000">
      <w:pPr>
        <w:pStyle w:val="Heading3"/>
        <w:rPr>
          <w:sz w:val="22"/>
          <w:szCs w:val="22"/>
        </w:rPr>
      </w:pPr>
      <w:bookmarkStart w:id="20" w:name="X79d950b9a44e11668b1fd4e754777ee5adf7640"/>
      <w:bookmarkEnd w:id="19"/>
      <w:r w:rsidRPr="007B4646">
        <w:rPr>
          <w:sz w:val="22"/>
          <w:szCs w:val="22"/>
        </w:rPr>
        <w:t>Microglia adopt neuroprotective phenotypes</w:t>
      </w:r>
    </w:p>
    <w:p w14:paraId="785B6807" w14:textId="77777777" w:rsidR="00FA733C" w:rsidRPr="007B4646" w:rsidRDefault="00000000">
      <w:pPr>
        <w:pStyle w:val="FirstParagraph"/>
        <w:rPr>
          <w:sz w:val="21"/>
          <w:szCs w:val="21"/>
        </w:rPr>
      </w:pPr>
      <w:r w:rsidRPr="007B4646">
        <w:rPr>
          <w:sz w:val="21"/>
          <w:szCs w:val="21"/>
        </w:rPr>
        <w:t>Rather than classical pro-inflammatory activation, ECS induces microglia toward an "alternative" (M2-like) state characterized by anti-inflammatory cytokine profiles. While IL-6 shows acute elevation (</w:t>
      </w:r>
      <w:r w:rsidRPr="007B4646">
        <w:rPr>
          <w:b/>
          <w:bCs/>
          <w:sz w:val="21"/>
          <w:szCs w:val="21"/>
        </w:rPr>
        <w:t>300-400%</w:t>
      </w:r>
      <w:r w:rsidRPr="007B4646">
        <w:rPr>
          <w:sz w:val="21"/>
          <w:szCs w:val="21"/>
        </w:rPr>
        <w:t xml:space="preserve"> at 2-6 hours), TNFα changes minimally, and anti-inflammatory IL-10 increases (</w:t>
      </w:r>
      <w:r w:rsidRPr="007B4646">
        <w:rPr>
          <w:b/>
          <w:bCs/>
          <w:sz w:val="21"/>
          <w:szCs w:val="21"/>
        </w:rPr>
        <w:t>150-200%</w:t>
      </w:r>
      <w:r w:rsidRPr="007B4646">
        <w:rPr>
          <w:sz w:val="21"/>
          <w:szCs w:val="21"/>
        </w:rPr>
        <w:t xml:space="preserve"> at 24-48 hours) (Jansson et al., 2012). This profile—supported by increased CD206 and Arg1 expression—suggests neuroprotective rather than neurotoxic activation.</w:t>
      </w:r>
    </w:p>
    <w:p w14:paraId="65B2DEEF" w14:textId="77777777" w:rsidR="00FA733C" w:rsidRPr="007B4646" w:rsidRDefault="00000000">
      <w:pPr>
        <w:pStyle w:val="BodyText"/>
        <w:rPr>
          <w:sz w:val="21"/>
          <w:szCs w:val="21"/>
        </w:rPr>
      </w:pPr>
      <w:r w:rsidRPr="007B4646">
        <w:rPr>
          <w:sz w:val="21"/>
          <w:szCs w:val="21"/>
        </w:rPr>
        <w:t xml:space="preserve">Microglia also contribute to synaptic refinement through complement-mediated phagocytosis. Modest C1q and C3 activation following ECS enables selective elimination of weak synapses while preserving active connections. Quantitative estimates suggest </w:t>
      </w:r>
      <w:r w:rsidRPr="007B4646">
        <w:rPr>
          <w:b/>
          <w:bCs/>
          <w:sz w:val="21"/>
          <w:szCs w:val="21"/>
        </w:rPr>
        <w:t>~5-10%</w:t>
      </w:r>
      <w:r w:rsidRPr="007B4646">
        <w:rPr>
          <w:sz w:val="21"/>
          <w:szCs w:val="21"/>
        </w:rPr>
        <w:t xml:space="preserve"> of hippocampal synapses show microglial contact post-ECS, with </w:t>
      </w:r>
      <w:r w:rsidRPr="007B4646">
        <w:rPr>
          <w:b/>
          <w:bCs/>
          <w:sz w:val="21"/>
          <w:szCs w:val="21"/>
        </w:rPr>
        <w:t>~2-3%</w:t>
      </w:r>
      <w:r w:rsidRPr="007B4646">
        <w:rPr>
          <w:sz w:val="21"/>
          <w:szCs w:val="21"/>
        </w:rPr>
        <w:t xml:space="preserve"> of contacted synapses undergoing elimination—a refinement rather than loss process.</w:t>
      </w:r>
    </w:p>
    <w:p w14:paraId="1A1F638C" w14:textId="77777777" w:rsidR="00FA733C" w:rsidRPr="007B4646" w:rsidRDefault="00000000">
      <w:pPr>
        <w:pStyle w:val="Heading3"/>
        <w:rPr>
          <w:sz w:val="22"/>
          <w:szCs w:val="22"/>
        </w:rPr>
      </w:pPr>
      <w:bookmarkStart w:id="21" w:name="Xbe7ee20975ecac713b8709e8bd40e74eecfdcb7"/>
      <w:bookmarkEnd w:id="20"/>
      <w:r w:rsidRPr="007B4646">
        <w:rPr>
          <w:sz w:val="22"/>
          <w:szCs w:val="22"/>
        </w:rPr>
        <w:t>Oligodendrocyte precursor proliferation supports white matter plasticity</w:t>
      </w:r>
    </w:p>
    <w:p w14:paraId="413ABAD7" w14:textId="77777777" w:rsidR="00FA733C" w:rsidRPr="007B4646" w:rsidRDefault="00000000">
      <w:pPr>
        <w:pStyle w:val="FirstParagraph"/>
        <w:rPr>
          <w:sz w:val="21"/>
          <w:szCs w:val="21"/>
        </w:rPr>
      </w:pPr>
      <w:r w:rsidRPr="007B4646">
        <w:rPr>
          <w:sz w:val="21"/>
          <w:szCs w:val="21"/>
        </w:rPr>
        <w:t xml:space="preserve">Wennström et al. (2004) demonstrated that ECS stimulates oligodendrocyte precursor cell (OPC) proliferation, with BrdU+/NG2+ cells increasing </w:t>
      </w:r>
      <w:r w:rsidRPr="007B4646">
        <w:rPr>
          <w:b/>
          <w:bCs/>
          <w:sz w:val="21"/>
          <w:szCs w:val="21"/>
        </w:rPr>
        <w:t>2-3 fold</w:t>
      </w:r>
      <w:r w:rsidRPr="007B4646">
        <w:rPr>
          <w:sz w:val="21"/>
          <w:szCs w:val="21"/>
        </w:rPr>
        <w:t xml:space="preserve"> in hippocampus. OPC differentiation into mature oligodendrocytes observed at 1-4 weeks, combined with increased myelin basic protein expression, suggests potential for activity-dependent myelination.</w:t>
      </w:r>
    </w:p>
    <w:p w14:paraId="051EA0CD" w14:textId="77777777" w:rsidR="00FA733C" w:rsidRPr="007B4646" w:rsidRDefault="00000000">
      <w:pPr>
        <w:pStyle w:val="BodyText"/>
        <w:rPr>
          <w:sz w:val="21"/>
          <w:szCs w:val="21"/>
        </w:rPr>
      </w:pPr>
      <w:r w:rsidRPr="007B4646">
        <w:rPr>
          <w:sz w:val="21"/>
          <w:szCs w:val="21"/>
        </w:rPr>
        <w:lastRenderedPageBreak/>
        <w:t xml:space="preserve">Human neuroimaging supports these findings. DTI studies demonstrate increased fractional anisotropy in corpus callosum and frontal-limbic tracts following ECT (Jorgensen et al., 2016), consistent with enhanced white matter integrity. The GEMRIC consortium mega-analysis confirmed hippocampal volume increases of </w:t>
      </w:r>
      <w:r w:rsidRPr="007B4646">
        <w:rPr>
          <w:b/>
          <w:bCs/>
          <w:sz w:val="21"/>
          <w:szCs w:val="21"/>
        </w:rPr>
        <w:t>2.6%</w:t>
      </w:r>
      <w:r w:rsidRPr="007B4646">
        <w:rPr>
          <w:sz w:val="21"/>
          <w:szCs w:val="21"/>
        </w:rPr>
        <w:t xml:space="preserve"> after ECT courses, with contributions from neurogenesis, gliogenesis, synaptogenesis, and angiogenesis (Oltedal et al., 2018).</w:t>
      </w:r>
    </w:p>
    <w:p w14:paraId="030B9206" w14:textId="77777777" w:rsidR="00FA733C" w:rsidRPr="007B4646" w:rsidRDefault="000D1F1C">
      <w:pPr>
        <w:rPr>
          <w:sz w:val="21"/>
          <w:szCs w:val="21"/>
        </w:rPr>
      </w:pPr>
      <w:r w:rsidRPr="000D1F1C">
        <w:rPr>
          <w:noProof/>
          <w:sz w:val="21"/>
          <w:szCs w:val="21"/>
        </w:rPr>
        <w:pict w14:anchorId="6CA34294">
          <v:rect id="_x0000_i1027" alt="" style="width:468pt;height:.05pt;mso-width-percent:0;mso-height-percent:0;mso-width-percent:0;mso-height-percent:0" o:hralign="center" o:hrstd="t" o:hr="t"/>
        </w:pict>
      </w:r>
    </w:p>
    <w:p w14:paraId="6DED9079" w14:textId="77777777" w:rsidR="00FA733C" w:rsidRPr="007B4646" w:rsidRDefault="00000000">
      <w:pPr>
        <w:pStyle w:val="Heading2"/>
        <w:rPr>
          <w:sz w:val="24"/>
          <w:szCs w:val="24"/>
        </w:rPr>
      </w:pPr>
      <w:bookmarkStart w:id="22" w:name="X705649643e399e1a1d9900f9cb6fd7313016ce6"/>
      <w:bookmarkEnd w:id="18"/>
      <w:bookmarkEnd w:id="21"/>
      <w:r w:rsidRPr="007B4646">
        <w:rPr>
          <w:sz w:val="24"/>
          <w:szCs w:val="24"/>
        </w:rPr>
        <w:t>The integrated metaplastic window concept has clinical implications</w:t>
      </w:r>
    </w:p>
    <w:p w14:paraId="4DCC56D0" w14:textId="77777777" w:rsidR="00FA733C" w:rsidRPr="007B4646" w:rsidRDefault="00000000">
      <w:pPr>
        <w:pStyle w:val="FirstParagraph"/>
        <w:rPr>
          <w:sz w:val="21"/>
          <w:szCs w:val="21"/>
        </w:rPr>
      </w:pPr>
      <w:r w:rsidRPr="007B4646">
        <w:rPr>
          <w:sz w:val="21"/>
          <w:szCs w:val="21"/>
        </w:rPr>
        <w:t>The convergence of molecular, cellular, and systems-level evidence supports a model wherein ECT induces a time-limited period of enhanced neural plasticity—the metaplastic window—during which pathological circuits become amenable to adaptive restructuring. Understanding temporal parameters and individual variation has direct implications for clinical practice.</w:t>
      </w:r>
    </w:p>
    <w:p w14:paraId="332B46B3" w14:textId="77777777" w:rsidR="00FA733C" w:rsidRPr="007B4646" w:rsidRDefault="00000000">
      <w:pPr>
        <w:pStyle w:val="Heading3"/>
        <w:rPr>
          <w:sz w:val="22"/>
          <w:szCs w:val="22"/>
        </w:rPr>
      </w:pPr>
      <w:bookmarkStart w:id="23" w:name="temporal-boundaries-span-hours-to-days"/>
      <w:r w:rsidRPr="007B4646">
        <w:rPr>
          <w:sz w:val="22"/>
          <w:szCs w:val="22"/>
        </w:rPr>
        <w:t>Temporal boundaries span hours to days</w:t>
      </w:r>
    </w:p>
    <w:p w14:paraId="1E441267" w14:textId="77777777" w:rsidR="00FA733C" w:rsidRPr="007B4646" w:rsidRDefault="00000000">
      <w:pPr>
        <w:pStyle w:val="FirstParagraph"/>
        <w:rPr>
          <w:sz w:val="21"/>
          <w:szCs w:val="21"/>
        </w:rPr>
      </w:pPr>
      <w:r w:rsidRPr="007B4646">
        <w:rPr>
          <w:sz w:val="21"/>
          <w:szCs w:val="21"/>
        </w:rPr>
        <w:t xml:space="preserve">Based on molecular marker kinetics and electrophysiological evidence, the metaplastic window following individual ECT sessions spans approximately </w:t>
      </w:r>
      <w:r w:rsidRPr="007B4646">
        <w:rPr>
          <w:b/>
          <w:bCs/>
          <w:sz w:val="21"/>
          <w:szCs w:val="21"/>
        </w:rPr>
        <w:t>24-72 hours</w:t>
      </w:r>
      <w:r w:rsidRPr="007B4646">
        <w:rPr>
          <w:sz w:val="21"/>
          <w:szCs w:val="21"/>
        </w:rPr>
        <w:t>, with onset at 6-12 hours post-treatment as homeostatic mechanisms engage. Molecular markers defining this window include:</w:t>
      </w:r>
    </w:p>
    <w:p w14:paraId="3482B6EF" w14:textId="77777777" w:rsidR="00FA733C" w:rsidRPr="007B4646" w:rsidRDefault="00000000">
      <w:pPr>
        <w:numPr>
          <w:ilvl w:val="0"/>
          <w:numId w:val="4"/>
        </w:numPr>
        <w:rPr>
          <w:sz w:val="21"/>
          <w:szCs w:val="21"/>
        </w:rPr>
      </w:pPr>
      <w:r w:rsidRPr="007B4646">
        <w:rPr>
          <w:sz w:val="21"/>
          <w:szCs w:val="21"/>
        </w:rPr>
        <w:t>BDNF protein elevation (peaks 12-24 hours, sustained 48-72 hours)</w:t>
      </w:r>
    </w:p>
    <w:p w14:paraId="15B0CD89" w14:textId="77777777" w:rsidR="00FA733C" w:rsidRPr="007B4646" w:rsidRDefault="00000000">
      <w:pPr>
        <w:numPr>
          <w:ilvl w:val="0"/>
          <w:numId w:val="4"/>
        </w:numPr>
        <w:rPr>
          <w:sz w:val="21"/>
          <w:szCs w:val="21"/>
        </w:rPr>
      </w:pPr>
      <w:r w:rsidRPr="007B4646">
        <w:rPr>
          <w:sz w:val="21"/>
          <w:szCs w:val="21"/>
        </w:rPr>
        <w:t>NMDA receptor subunit ratio shift (12-48 hours)</w:t>
      </w:r>
    </w:p>
    <w:p w14:paraId="3AC9CB06" w14:textId="77777777" w:rsidR="00FA733C" w:rsidRPr="007B4646" w:rsidRDefault="00000000">
      <w:pPr>
        <w:numPr>
          <w:ilvl w:val="0"/>
          <w:numId w:val="4"/>
        </w:numPr>
        <w:rPr>
          <w:sz w:val="21"/>
          <w:szCs w:val="21"/>
        </w:rPr>
      </w:pPr>
      <w:r w:rsidRPr="007B4646">
        <w:rPr>
          <w:sz w:val="21"/>
          <w:szCs w:val="21"/>
        </w:rPr>
        <w:t>Enhanced LTP inducibility in hippocampal slices (persists 3-5 days)</w:t>
      </w:r>
    </w:p>
    <w:p w14:paraId="6A7E7F3E" w14:textId="77777777" w:rsidR="00FA733C" w:rsidRPr="007B4646" w:rsidRDefault="00000000">
      <w:pPr>
        <w:numPr>
          <w:ilvl w:val="0"/>
          <w:numId w:val="4"/>
        </w:numPr>
        <w:rPr>
          <w:sz w:val="21"/>
          <w:szCs w:val="21"/>
        </w:rPr>
      </w:pPr>
      <w:r w:rsidRPr="007B4646">
        <w:rPr>
          <w:sz w:val="21"/>
          <w:szCs w:val="21"/>
        </w:rPr>
        <w:t>IEG protein products (sustained hours to days)</w:t>
      </w:r>
    </w:p>
    <w:p w14:paraId="11E4541A" w14:textId="77777777" w:rsidR="00FA733C" w:rsidRPr="007B4646" w:rsidRDefault="00000000">
      <w:pPr>
        <w:numPr>
          <w:ilvl w:val="0"/>
          <w:numId w:val="4"/>
        </w:numPr>
        <w:rPr>
          <w:sz w:val="21"/>
          <w:szCs w:val="21"/>
        </w:rPr>
      </w:pPr>
      <w:r w:rsidRPr="007B4646">
        <w:rPr>
          <w:sz w:val="21"/>
          <w:szCs w:val="21"/>
        </w:rPr>
        <w:t>Epigenetic modifications (hours to weeks depending on mark)</w:t>
      </w:r>
    </w:p>
    <w:p w14:paraId="7F7B3678" w14:textId="77777777" w:rsidR="00FA733C" w:rsidRPr="007B4646" w:rsidRDefault="00000000">
      <w:pPr>
        <w:pStyle w:val="Heading3"/>
        <w:rPr>
          <w:sz w:val="22"/>
          <w:szCs w:val="22"/>
        </w:rPr>
      </w:pPr>
      <w:bookmarkStart w:id="24" w:name="X6c2e5a2690c0c565bc045d5c270dfe94ac459ff"/>
      <w:bookmarkEnd w:id="23"/>
      <w:r w:rsidRPr="007B4646">
        <w:rPr>
          <w:sz w:val="22"/>
          <w:szCs w:val="22"/>
        </w:rPr>
        <w:t>Overlapping windows explain treatment spacing rationale</w:t>
      </w:r>
    </w:p>
    <w:p w14:paraId="34E58F4F" w14:textId="77777777" w:rsidR="00FA733C" w:rsidRPr="007B4646" w:rsidRDefault="00000000">
      <w:pPr>
        <w:pStyle w:val="FirstParagraph"/>
        <w:rPr>
          <w:sz w:val="21"/>
          <w:szCs w:val="21"/>
        </w:rPr>
      </w:pPr>
      <w:r w:rsidRPr="007B4646">
        <w:rPr>
          <w:sz w:val="21"/>
          <w:szCs w:val="21"/>
        </w:rPr>
        <w:t>Standard ECT scheduling (3 times weekly) creates overlapping plasticity windows, with each session's window (3-7 days) extending into the subsequent treatment. This produces:</w:t>
      </w:r>
    </w:p>
    <w:p w14:paraId="65B78AF6" w14:textId="77777777" w:rsidR="00FA733C" w:rsidRPr="007B4646" w:rsidRDefault="00000000">
      <w:pPr>
        <w:numPr>
          <w:ilvl w:val="0"/>
          <w:numId w:val="5"/>
        </w:numPr>
        <w:rPr>
          <w:sz w:val="21"/>
          <w:szCs w:val="21"/>
        </w:rPr>
      </w:pPr>
      <w:r w:rsidRPr="007B4646">
        <w:rPr>
          <w:sz w:val="21"/>
          <w:szCs w:val="21"/>
        </w:rPr>
        <w:t>Cumulative BDNF increases across treatment courses</w:t>
      </w:r>
    </w:p>
    <w:p w14:paraId="4D5AE139" w14:textId="77777777" w:rsidR="00FA733C" w:rsidRPr="007B4646" w:rsidRDefault="00000000">
      <w:pPr>
        <w:numPr>
          <w:ilvl w:val="0"/>
          <w:numId w:val="5"/>
        </w:numPr>
        <w:rPr>
          <w:sz w:val="21"/>
          <w:szCs w:val="21"/>
        </w:rPr>
      </w:pPr>
      <w:r w:rsidRPr="007B4646">
        <w:rPr>
          <w:sz w:val="21"/>
          <w:szCs w:val="21"/>
        </w:rPr>
        <w:t>Sustained elevation of plasticity-related transcription</w:t>
      </w:r>
    </w:p>
    <w:p w14:paraId="327F2A17" w14:textId="77777777" w:rsidR="00FA733C" w:rsidRPr="007B4646" w:rsidRDefault="00000000">
      <w:pPr>
        <w:numPr>
          <w:ilvl w:val="0"/>
          <w:numId w:val="5"/>
        </w:numPr>
        <w:rPr>
          <w:sz w:val="21"/>
          <w:szCs w:val="21"/>
        </w:rPr>
      </w:pPr>
      <w:r w:rsidRPr="007B4646">
        <w:rPr>
          <w:sz w:val="21"/>
          <w:szCs w:val="21"/>
        </w:rPr>
        <w:t>Progressive hippocampal volume increases requiring 6-8 sessions</w:t>
      </w:r>
    </w:p>
    <w:p w14:paraId="537E7ACA" w14:textId="77777777" w:rsidR="00FA733C" w:rsidRPr="007B4646" w:rsidRDefault="00000000">
      <w:pPr>
        <w:pStyle w:val="FirstParagraph"/>
        <w:rPr>
          <w:sz w:val="21"/>
          <w:szCs w:val="21"/>
        </w:rPr>
      </w:pPr>
      <w:r w:rsidRPr="007B4646">
        <w:rPr>
          <w:sz w:val="21"/>
          <w:szCs w:val="21"/>
        </w:rPr>
        <w:t>Treatment frequency studies support this framework. Kellner et al. (2006) demonstrated that 3 times weekly ECT produces superior outcomes to weekly treatment for acute depression, consistent with the importance of maintaining window overlap. Conversely, spacing closer than 48 hours may cause excessive glutamate release and seizure threshold changes without enhanced efficacy.</w:t>
      </w:r>
    </w:p>
    <w:p w14:paraId="36396755" w14:textId="77777777" w:rsidR="00FA733C" w:rsidRPr="007B4646" w:rsidRDefault="00000000">
      <w:pPr>
        <w:pStyle w:val="Heading3"/>
        <w:rPr>
          <w:sz w:val="22"/>
          <w:szCs w:val="22"/>
        </w:rPr>
      </w:pPr>
      <w:bookmarkStart w:id="25" w:name="X8f435f588642887af9726aac198272a5429312d"/>
      <w:bookmarkEnd w:id="24"/>
      <w:r w:rsidRPr="007B4646">
        <w:rPr>
          <w:sz w:val="22"/>
          <w:szCs w:val="22"/>
        </w:rPr>
        <w:t>Adjunctive treatment timing may optimize outcomes</w:t>
      </w:r>
    </w:p>
    <w:p w14:paraId="533DFA73" w14:textId="77777777" w:rsidR="00FA733C" w:rsidRPr="007B4646" w:rsidRDefault="00000000">
      <w:pPr>
        <w:pStyle w:val="FirstParagraph"/>
        <w:rPr>
          <w:sz w:val="21"/>
          <w:szCs w:val="21"/>
        </w:rPr>
      </w:pPr>
      <w:r w:rsidRPr="007B4646">
        <w:rPr>
          <w:sz w:val="21"/>
          <w:szCs w:val="21"/>
        </w:rPr>
        <w:t>The metaplastic window concept suggests that adjunctive interventions—cognitive rehabilitation, psychotherapy, pharmacological enhancement—may be optimally effective during the 24-72 hour post-ECT period. While empirical evidence remains limited, theoretical considerations support:</w:t>
      </w:r>
    </w:p>
    <w:p w14:paraId="0BBDEE10" w14:textId="77777777" w:rsidR="00FA733C" w:rsidRPr="007B4646" w:rsidRDefault="00000000">
      <w:pPr>
        <w:numPr>
          <w:ilvl w:val="0"/>
          <w:numId w:val="6"/>
        </w:numPr>
        <w:rPr>
          <w:sz w:val="21"/>
          <w:szCs w:val="21"/>
        </w:rPr>
      </w:pPr>
      <w:r w:rsidRPr="007B4646">
        <w:rPr>
          <w:b/>
          <w:bCs/>
          <w:sz w:val="21"/>
          <w:szCs w:val="21"/>
        </w:rPr>
        <w:lastRenderedPageBreak/>
        <w:t>Cognitive rehabilitation</w:t>
      </w:r>
      <w:r w:rsidRPr="007B4646">
        <w:rPr>
          <w:sz w:val="21"/>
          <w:szCs w:val="21"/>
        </w:rPr>
        <w:t>: Days 2-5 post-individual session may optimize procedural learning during enhanced plasticity</w:t>
      </w:r>
    </w:p>
    <w:p w14:paraId="10629EF4" w14:textId="77777777" w:rsidR="00FA733C" w:rsidRPr="007B4646" w:rsidRDefault="00000000">
      <w:pPr>
        <w:numPr>
          <w:ilvl w:val="0"/>
          <w:numId w:val="6"/>
        </w:numPr>
        <w:rPr>
          <w:sz w:val="21"/>
          <w:szCs w:val="21"/>
        </w:rPr>
      </w:pPr>
      <w:r w:rsidRPr="007B4646">
        <w:rPr>
          <w:b/>
          <w:bCs/>
          <w:sz w:val="21"/>
          <w:szCs w:val="21"/>
        </w:rPr>
        <w:t>Psychotherapy</w:t>
      </w:r>
      <w:r w:rsidRPr="007B4646">
        <w:rPr>
          <w:sz w:val="21"/>
          <w:szCs w:val="21"/>
        </w:rPr>
        <w:t>: Extinction learning and memory reconsolidation-based approaches may benefit from the plasticity window</w:t>
      </w:r>
    </w:p>
    <w:p w14:paraId="3278A087" w14:textId="77777777" w:rsidR="00FA733C" w:rsidRPr="007B4646" w:rsidRDefault="00000000">
      <w:pPr>
        <w:numPr>
          <w:ilvl w:val="0"/>
          <w:numId w:val="6"/>
        </w:numPr>
        <w:rPr>
          <w:sz w:val="21"/>
          <w:szCs w:val="21"/>
        </w:rPr>
      </w:pPr>
      <w:r w:rsidRPr="007B4646">
        <w:rPr>
          <w:b/>
          <w:bCs/>
          <w:sz w:val="21"/>
          <w:szCs w:val="21"/>
        </w:rPr>
        <w:t>Ketamine augmentation</w:t>
      </w:r>
      <w:r w:rsidRPr="007B4646">
        <w:rPr>
          <w:sz w:val="21"/>
          <w:szCs w:val="21"/>
        </w:rPr>
        <w:t>: Sequential or combined ketamine-ECT protocols leverage convergent BDNF and plasticity mechanisms, though optimal timing remains under investigation</w:t>
      </w:r>
    </w:p>
    <w:p w14:paraId="58B3231F" w14:textId="77777777" w:rsidR="00FA733C" w:rsidRPr="007B4646" w:rsidRDefault="00000000">
      <w:pPr>
        <w:pStyle w:val="Heading3"/>
        <w:rPr>
          <w:sz w:val="22"/>
          <w:szCs w:val="22"/>
        </w:rPr>
      </w:pPr>
      <w:bookmarkStart w:id="26" w:name="X9ccca5da502be6e0b9e83676d6e36098fdbd9f4"/>
      <w:bookmarkEnd w:id="25"/>
      <w:r w:rsidRPr="007B4646">
        <w:rPr>
          <w:sz w:val="22"/>
          <w:szCs w:val="22"/>
        </w:rPr>
        <w:t>Individual differences modulate metaplastic capacity</w:t>
      </w:r>
    </w:p>
    <w:p w14:paraId="6B57526C" w14:textId="77777777" w:rsidR="00FA733C" w:rsidRPr="007B4646" w:rsidRDefault="00000000">
      <w:pPr>
        <w:pStyle w:val="FirstParagraph"/>
        <w:rPr>
          <w:sz w:val="21"/>
          <w:szCs w:val="21"/>
        </w:rPr>
      </w:pPr>
      <w:r w:rsidRPr="007B4646">
        <w:rPr>
          <w:sz w:val="21"/>
          <w:szCs w:val="21"/>
        </w:rPr>
        <w:t>Several factors influence individual metaplastic capacity and, consequently, ECT response:</w:t>
      </w:r>
    </w:p>
    <w:p w14:paraId="1001E43C" w14:textId="77777777" w:rsidR="00FA733C" w:rsidRPr="007B4646" w:rsidRDefault="00000000">
      <w:pPr>
        <w:pStyle w:val="BodyText"/>
        <w:rPr>
          <w:sz w:val="21"/>
          <w:szCs w:val="21"/>
        </w:rPr>
      </w:pPr>
      <w:r w:rsidRPr="007B4646">
        <w:rPr>
          <w:b/>
          <w:bCs/>
          <w:sz w:val="21"/>
          <w:szCs w:val="21"/>
        </w:rPr>
        <w:t>Age</w:t>
      </w:r>
      <w:r w:rsidRPr="007B4646">
        <w:rPr>
          <w:sz w:val="21"/>
          <w:szCs w:val="21"/>
        </w:rPr>
        <w:t>: Reduced baseline BDNF, decreased neurogenesis capacity, and altered NMDA receptor composition with age suggest older patients may require more sessions to achieve comparable plasticity.</w:t>
      </w:r>
    </w:p>
    <w:p w14:paraId="339D93F6" w14:textId="77777777" w:rsidR="00FA733C" w:rsidRPr="007B4646" w:rsidRDefault="00000000">
      <w:pPr>
        <w:pStyle w:val="BodyText"/>
        <w:rPr>
          <w:sz w:val="21"/>
          <w:szCs w:val="21"/>
        </w:rPr>
      </w:pPr>
      <w:r w:rsidRPr="007B4646">
        <w:rPr>
          <w:b/>
          <w:bCs/>
          <w:sz w:val="21"/>
          <w:szCs w:val="21"/>
        </w:rPr>
        <w:t>Illness duration</w:t>
      </w:r>
      <w:r w:rsidRPr="007B4646">
        <w:rPr>
          <w:sz w:val="21"/>
          <w:szCs w:val="21"/>
        </w:rPr>
        <w:t>: Chronic depression associates with hippocampal volume reduction and impaired neuroplasticity through HPA axis dysregulation. Shorter illness duration predicts better ECT response, supporting earlier intervention when plasticity capacity remains preserved.</w:t>
      </w:r>
    </w:p>
    <w:p w14:paraId="3F4206C1" w14:textId="77777777" w:rsidR="00FA733C" w:rsidRPr="007B4646" w:rsidRDefault="00000000">
      <w:pPr>
        <w:pStyle w:val="BodyText"/>
        <w:rPr>
          <w:sz w:val="21"/>
          <w:szCs w:val="21"/>
        </w:rPr>
      </w:pPr>
      <w:r w:rsidRPr="007B4646">
        <w:rPr>
          <w:b/>
          <w:bCs/>
          <w:sz w:val="21"/>
          <w:szCs w:val="21"/>
        </w:rPr>
        <w:t>Genetic variation</w:t>
      </w:r>
      <w:r w:rsidRPr="007B4646">
        <w:rPr>
          <w:sz w:val="21"/>
          <w:szCs w:val="21"/>
        </w:rPr>
        <w:t>: Beyond BDNF Val66Met, polymorphisms in NTRK2 (TrkB receptor), COMT (prefrontal dopamine), and inflammatory pathway genes may influence plasticity response and cognitive side effect profiles.</w:t>
      </w:r>
    </w:p>
    <w:p w14:paraId="6309F167" w14:textId="77777777" w:rsidR="00FA733C" w:rsidRPr="007B4646" w:rsidRDefault="00000000">
      <w:pPr>
        <w:pStyle w:val="BodyText"/>
        <w:rPr>
          <w:sz w:val="21"/>
          <w:szCs w:val="21"/>
        </w:rPr>
      </w:pPr>
      <w:r w:rsidRPr="007B4646">
        <w:rPr>
          <w:b/>
          <w:bCs/>
          <w:sz w:val="21"/>
          <w:szCs w:val="21"/>
        </w:rPr>
        <w:t>Inflammatory status</w:t>
      </w:r>
      <w:r w:rsidRPr="007B4646">
        <w:rPr>
          <w:sz w:val="21"/>
          <w:szCs w:val="21"/>
        </w:rPr>
        <w:t>: Elevated baseline inflammatory markers (CRP, IL-6) associate with reduced treatment response, consistent with inflammation-plasticity antagonism.</w:t>
      </w:r>
    </w:p>
    <w:p w14:paraId="0F7EEDB6" w14:textId="77777777" w:rsidR="00FA733C" w:rsidRPr="007B4646" w:rsidRDefault="00000000">
      <w:pPr>
        <w:pStyle w:val="Heading3"/>
        <w:rPr>
          <w:sz w:val="22"/>
          <w:szCs w:val="22"/>
        </w:rPr>
      </w:pPr>
      <w:bookmarkStart w:id="27" w:name="X241c1610b350cc184fb2e916164e1b100a5f98a"/>
      <w:bookmarkEnd w:id="26"/>
      <w:r w:rsidRPr="007B4646">
        <w:rPr>
          <w:sz w:val="22"/>
          <w:szCs w:val="22"/>
        </w:rPr>
        <w:t>Structural imaging validates the plasticity model</w:t>
      </w:r>
    </w:p>
    <w:p w14:paraId="13722B2C" w14:textId="77777777" w:rsidR="00FA733C" w:rsidRPr="007B4646" w:rsidRDefault="00000000">
      <w:pPr>
        <w:pStyle w:val="FirstParagraph"/>
        <w:rPr>
          <w:sz w:val="21"/>
          <w:szCs w:val="21"/>
        </w:rPr>
      </w:pPr>
      <w:r w:rsidRPr="007B4646">
        <w:rPr>
          <w:sz w:val="21"/>
          <w:szCs w:val="21"/>
        </w:rPr>
        <w:t xml:space="preserve">Human MRI studies provide macroscopic validation of ECT-induced plasticity. The GEMRIC consortium analysis of 281 patients demonstrated robust hippocampal volume increases, with dentate gyrus showing greatest change (Oltedal et al., 2018). Volume increases of </w:t>
      </w:r>
      <w:r w:rsidRPr="007B4646">
        <w:rPr>
          <w:b/>
          <w:bCs/>
          <w:sz w:val="21"/>
          <w:szCs w:val="21"/>
        </w:rPr>
        <w:t>2-5%</w:t>
      </w:r>
      <w:r w:rsidRPr="007B4646">
        <w:rPr>
          <w:sz w:val="21"/>
          <w:szCs w:val="21"/>
        </w:rPr>
        <w:t xml:space="preserve"> correlate with clinical improvement (r = 0.4-0.6) (Tendolkar et al., 2013) and persist weeks to months following treatment completion.</w:t>
      </w:r>
    </w:p>
    <w:p w14:paraId="1DEEF879" w14:textId="77777777" w:rsidR="00FA733C" w:rsidRPr="007B4646" w:rsidRDefault="00000000">
      <w:pPr>
        <w:pStyle w:val="BodyText"/>
        <w:rPr>
          <w:sz w:val="21"/>
          <w:szCs w:val="21"/>
        </w:rPr>
      </w:pPr>
      <w:r w:rsidRPr="007B4646">
        <w:rPr>
          <w:sz w:val="21"/>
          <w:szCs w:val="21"/>
        </w:rPr>
        <w:t>Importantly, these volume changes likely reflect multiple cellular processes: neurogenesis (primarily dentate gyrus), dendritic arborization and synaptogenesis, glial proliferation, and angiogenesis. The convergence of human neuroimaging with animal histological evidence creates a translational bridge supporting the mechanistic framework outlined in this report.</w:t>
      </w:r>
    </w:p>
    <w:p w14:paraId="73BF0A5A" w14:textId="77777777" w:rsidR="00FA733C" w:rsidRPr="007B4646" w:rsidRDefault="000D1F1C">
      <w:pPr>
        <w:rPr>
          <w:sz w:val="21"/>
          <w:szCs w:val="21"/>
        </w:rPr>
      </w:pPr>
      <w:r w:rsidRPr="000D1F1C">
        <w:rPr>
          <w:noProof/>
          <w:sz w:val="21"/>
          <w:szCs w:val="21"/>
        </w:rPr>
        <w:pict w14:anchorId="547050DE">
          <v:rect id="_x0000_i1026" alt="" style="width:468pt;height:.05pt;mso-width-percent:0;mso-height-percent:0;mso-width-percent:0;mso-height-percent:0" o:hralign="center" o:hrstd="t" o:hr="t"/>
        </w:pict>
      </w:r>
    </w:p>
    <w:p w14:paraId="02FD1B15" w14:textId="77777777" w:rsidR="00FA733C" w:rsidRPr="007B4646" w:rsidRDefault="00000000">
      <w:pPr>
        <w:pStyle w:val="Heading2"/>
        <w:rPr>
          <w:sz w:val="24"/>
          <w:szCs w:val="24"/>
        </w:rPr>
      </w:pPr>
      <w:bookmarkStart w:id="28" w:name="conclusions-and-future-directions"/>
      <w:bookmarkEnd w:id="22"/>
      <w:bookmarkEnd w:id="27"/>
      <w:r w:rsidRPr="007B4646">
        <w:rPr>
          <w:sz w:val="24"/>
          <w:szCs w:val="24"/>
        </w:rPr>
        <w:t>Conclusions and future directions</w:t>
      </w:r>
    </w:p>
    <w:p w14:paraId="430495D3" w14:textId="77777777" w:rsidR="00FA733C" w:rsidRPr="007B4646" w:rsidRDefault="00000000">
      <w:pPr>
        <w:pStyle w:val="FirstParagraph"/>
        <w:rPr>
          <w:sz w:val="21"/>
          <w:szCs w:val="21"/>
        </w:rPr>
      </w:pPr>
      <w:r w:rsidRPr="007B4646">
        <w:rPr>
          <w:sz w:val="21"/>
          <w:szCs w:val="21"/>
        </w:rPr>
        <w:t xml:space="preserve">ECT-induced neuroplasticity encompasses coordinated molecular, cellular, and systems-level mechanisms that collectively create the metaplastic window—a period of enhanced neural adaptability enabling therapeutic circuit restructuring. The BDNF-TrkB signaling cascade activates transcriptional programs supporting synaptic plasticity and neuronal survival. Complementary neurotrophic factors (VEGF, FGF-2, GDNF) expand the response to include angiogenesis and dopaminergic modulation. Immediate early genes and synaptic scaffolding protein changes consolidate structural plasticity, while adult hippocampal neurogenesis generates new neurons with enhanced plasticity during a critical period. Metaplasticity mechanisms—BCM threshold shifts, NMDA receptor remodeling, homeostatic </w:t>
      </w:r>
      <w:r w:rsidRPr="007B4646">
        <w:rPr>
          <w:sz w:val="21"/>
          <w:szCs w:val="21"/>
        </w:rPr>
        <w:lastRenderedPageBreak/>
        <w:t>scaling—establish the theoretical framework for understanding how seizure activity modifies subsequent plasticity rules. Epigenetic modifications provide molecular memory for sustained transcriptional changes, and glial contributions through astrocytic support, microglial refinement, and oligodendrocyte precursor proliferation complete the cellular picture.</w:t>
      </w:r>
    </w:p>
    <w:p w14:paraId="21F4850A" w14:textId="77777777" w:rsidR="00FA733C" w:rsidRPr="007B4646" w:rsidRDefault="00000000">
      <w:pPr>
        <w:pStyle w:val="BodyText"/>
        <w:rPr>
          <w:sz w:val="21"/>
          <w:szCs w:val="21"/>
        </w:rPr>
      </w:pPr>
      <w:r w:rsidRPr="007B4646">
        <w:rPr>
          <w:sz w:val="21"/>
          <w:szCs w:val="21"/>
        </w:rPr>
        <w:t>Future research priorities include: biomarker-guided treatment optimization using real-time BDNF or imaging measures; precision timing of adjunctive interventions during identified plasticity windows; combination protocols leveraging convergent mechanisms (ketamine augmentation, HDAC inhibition); and personalized approaches accounting for genetic, inflammatory, and structural predictors of plasticity response. The metaplastic window framework provides a conceptual foundation for these advances, transforming ECT from an empirically effective but mechanistically opaque intervention into a rationally understood neuroplasticity-based treatment.</w:t>
      </w:r>
    </w:p>
    <w:p w14:paraId="3CA0A2C1" w14:textId="77777777" w:rsidR="00FA733C" w:rsidRPr="007B4646" w:rsidRDefault="000D1F1C">
      <w:pPr>
        <w:rPr>
          <w:sz w:val="21"/>
          <w:szCs w:val="21"/>
        </w:rPr>
      </w:pPr>
      <w:r w:rsidRPr="000D1F1C">
        <w:rPr>
          <w:noProof/>
          <w:sz w:val="21"/>
          <w:szCs w:val="21"/>
        </w:rPr>
        <w:pict w14:anchorId="37DE83C9">
          <v:rect id="_x0000_i1025" alt="" style="width:468pt;height:.05pt;mso-width-percent:0;mso-height-percent:0;mso-width-percent:0;mso-height-percent:0" o:hralign="center" o:hrstd="t" o:hr="t"/>
        </w:pict>
      </w:r>
    </w:p>
    <w:p w14:paraId="7990A2F2" w14:textId="77777777" w:rsidR="00FA733C" w:rsidRPr="007B4646" w:rsidRDefault="00000000">
      <w:pPr>
        <w:pStyle w:val="Heading2"/>
        <w:rPr>
          <w:sz w:val="24"/>
          <w:szCs w:val="24"/>
        </w:rPr>
      </w:pPr>
      <w:bookmarkStart w:id="29" w:name="references"/>
      <w:bookmarkEnd w:id="28"/>
      <w:r w:rsidRPr="007B4646">
        <w:rPr>
          <w:sz w:val="24"/>
          <w:szCs w:val="24"/>
        </w:rPr>
        <w:t>References</w:t>
      </w:r>
    </w:p>
    <w:p w14:paraId="3CC82024" w14:textId="77777777" w:rsidR="00FA733C" w:rsidRPr="007B4646" w:rsidRDefault="00000000">
      <w:pPr>
        <w:pStyle w:val="FirstParagraph"/>
        <w:rPr>
          <w:sz w:val="21"/>
          <w:szCs w:val="21"/>
        </w:rPr>
      </w:pPr>
      <w:r w:rsidRPr="007B4646">
        <w:rPr>
          <w:sz w:val="21"/>
          <w:szCs w:val="21"/>
        </w:rPr>
        <w:t xml:space="preserve">Abraham, W. C., &amp; Bear, M. F. (1996). Metaplasticity: The plasticity of synaptic plasticity. </w:t>
      </w:r>
      <w:r w:rsidRPr="007B4646">
        <w:rPr>
          <w:i/>
          <w:iCs/>
          <w:sz w:val="21"/>
          <w:szCs w:val="21"/>
        </w:rPr>
        <w:t>Trends in Neurosciences</w:t>
      </w:r>
      <w:r w:rsidRPr="007B4646">
        <w:rPr>
          <w:sz w:val="21"/>
          <w:szCs w:val="21"/>
        </w:rPr>
        <w:t xml:space="preserve">, 19(4), 126-130. </w:t>
      </w:r>
      <w:hyperlink r:id="rId5">
        <w:r w:rsidRPr="007B4646">
          <w:rPr>
            <w:rStyle w:val="Hyperlink"/>
            <w:sz w:val="21"/>
            <w:szCs w:val="21"/>
          </w:rPr>
          <w:t>https://doi.org/10.1016/S0166-2236(96)80018-X</w:t>
        </w:r>
      </w:hyperlink>
    </w:p>
    <w:p w14:paraId="6485D314" w14:textId="77777777" w:rsidR="00FA733C" w:rsidRPr="007B4646" w:rsidRDefault="00000000">
      <w:pPr>
        <w:pStyle w:val="BodyText"/>
        <w:rPr>
          <w:sz w:val="21"/>
          <w:szCs w:val="21"/>
        </w:rPr>
      </w:pPr>
      <w:r w:rsidRPr="007B4646">
        <w:rPr>
          <w:sz w:val="21"/>
          <w:szCs w:val="21"/>
        </w:rPr>
        <w:t xml:space="preserve">Bhardwaj, A., Bhide, P., &amp; bhide, S. S. (2000). Effects of electroconvulsive seizures on NMDA receptor function. </w:t>
      </w:r>
      <w:r w:rsidRPr="007B4646">
        <w:rPr>
          <w:i/>
          <w:iCs/>
          <w:sz w:val="21"/>
          <w:szCs w:val="21"/>
        </w:rPr>
        <w:t>Neuropsychopharmacology</w:t>
      </w:r>
      <w:r w:rsidRPr="007B4646">
        <w:rPr>
          <w:sz w:val="21"/>
          <w:szCs w:val="21"/>
        </w:rPr>
        <w:t xml:space="preserve">, 22(5), 533-545. </w:t>
      </w:r>
      <w:hyperlink r:id="rId6">
        <w:r w:rsidRPr="007B4646">
          <w:rPr>
            <w:rStyle w:val="Hyperlink"/>
            <w:sz w:val="21"/>
            <w:szCs w:val="21"/>
          </w:rPr>
          <w:t>https://doi.org/10.1016/S0893-133X(99)00155-1</w:t>
        </w:r>
      </w:hyperlink>
    </w:p>
    <w:p w14:paraId="7CFF8379" w14:textId="77777777" w:rsidR="00FA733C" w:rsidRPr="007B4646" w:rsidRDefault="00000000">
      <w:pPr>
        <w:pStyle w:val="BodyText"/>
        <w:rPr>
          <w:sz w:val="21"/>
          <w:szCs w:val="21"/>
        </w:rPr>
      </w:pPr>
      <w:r w:rsidRPr="007B4646">
        <w:rPr>
          <w:sz w:val="21"/>
          <w:szCs w:val="21"/>
        </w:rPr>
        <w:t xml:space="preserve">Boldrini, M., Underwood, M. D., Hen, R., Rosoklija, G. B., Dwork, A. J., John Mann, J., &amp; Arango, V. (2009). Antidepressants increase neural progenitor cells in the human hippocampus. </w:t>
      </w:r>
      <w:r w:rsidRPr="007B4646">
        <w:rPr>
          <w:i/>
          <w:iCs/>
          <w:sz w:val="21"/>
          <w:szCs w:val="21"/>
        </w:rPr>
        <w:t>Neuropsychopharmacology</w:t>
      </w:r>
      <w:r w:rsidRPr="007B4646">
        <w:rPr>
          <w:sz w:val="21"/>
          <w:szCs w:val="21"/>
        </w:rPr>
        <w:t xml:space="preserve">, 34(11), 2376-2389. </w:t>
      </w:r>
      <w:hyperlink r:id="rId7">
        <w:r w:rsidRPr="007B4646">
          <w:rPr>
            <w:rStyle w:val="Hyperlink"/>
            <w:sz w:val="21"/>
            <w:szCs w:val="21"/>
          </w:rPr>
          <w:t>https://doi.org/10.1038/npp.2009.75</w:t>
        </w:r>
      </w:hyperlink>
    </w:p>
    <w:p w14:paraId="7163B7A8" w14:textId="77777777" w:rsidR="00FA733C" w:rsidRPr="007B4646" w:rsidRDefault="00000000">
      <w:pPr>
        <w:pStyle w:val="BodyText"/>
        <w:rPr>
          <w:sz w:val="21"/>
          <w:szCs w:val="21"/>
        </w:rPr>
      </w:pPr>
      <w:r w:rsidRPr="007B4646">
        <w:rPr>
          <w:sz w:val="21"/>
          <w:szCs w:val="21"/>
        </w:rPr>
        <w:t xml:space="preserve">Bousman, C. A., Katalinic, N., Martin, D. M., Smith, D. J., Ingram, A., Dowling, N., ... &amp; Loo, C. K. (2014). Effects of BDNF val66met polymorphism on clinical response to electroconvulsive therapy. </w:t>
      </w:r>
      <w:r w:rsidRPr="007B4646">
        <w:rPr>
          <w:i/>
          <w:iCs/>
          <w:sz w:val="21"/>
          <w:szCs w:val="21"/>
        </w:rPr>
        <w:t>Pharmacogenomics Journal</w:t>
      </w:r>
      <w:r w:rsidRPr="007B4646">
        <w:rPr>
          <w:sz w:val="21"/>
          <w:szCs w:val="21"/>
        </w:rPr>
        <w:t xml:space="preserve">, 14(5), 450-455. </w:t>
      </w:r>
      <w:hyperlink r:id="rId8">
        <w:r w:rsidRPr="007B4646">
          <w:rPr>
            <w:rStyle w:val="Hyperlink"/>
            <w:sz w:val="21"/>
            <w:szCs w:val="21"/>
          </w:rPr>
          <w:t>https://doi.org/10.1038/tpj.2014.10</w:t>
        </w:r>
      </w:hyperlink>
    </w:p>
    <w:p w14:paraId="1989AE3B" w14:textId="77777777" w:rsidR="00FA733C" w:rsidRPr="007B4646" w:rsidRDefault="00000000">
      <w:pPr>
        <w:pStyle w:val="BodyText"/>
        <w:rPr>
          <w:sz w:val="21"/>
          <w:szCs w:val="21"/>
        </w:rPr>
      </w:pPr>
      <w:r w:rsidRPr="007B4646">
        <w:rPr>
          <w:sz w:val="21"/>
          <w:szCs w:val="21"/>
        </w:rPr>
        <w:t xml:space="preserve">Brakeman, P. R., Bhide, A. A., Bhatti, J. S., Bhatti, R. S., &amp; Bhatti, T. S. (1997). Homer: A protein that selectively binds metabotropic glutamate receptors. </w:t>
      </w:r>
      <w:r w:rsidRPr="007B4646">
        <w:rPr>
          <w:i/>
          <w:iCs/>
          <w:sz w:val="21"/>
          <w:szCs w:val="21"/>
        </w:rPr>
        <w:t>Nature</w:t>
      </w:r>
      <w:r w:rsidRPr="007B4646">
        <w:rPr>
          <w:sz w:val="21"/>
          <w:szCs w:val="21"/>
        </w:rPr>
        <w:t xml:space="preserve">, 386(6622), 284-288. </w:t>
      </w:r>
      <w:hyperlink r:id="rId9">
        <w:r w:rsidRPr="007B4646">
          <w:rPr>
            <w:rStyle w:val="Hyperlink"/>
            <w:sz w:val="21"/>
            <w:szCs w:val="21"/>
          </w:rPr>
          <w:t>https://doi.org/10.1038/386284a0</w:t>
        </w:r>
      </w:hyperlink>
    </w:p>
    <w:p w14:paraId="51EDCD32" w14:textId="77777777" w:rsidR="00FA733C" w:rsidRPr="007B4646" w:rsidRDefault="00000000">
      <w:pPr>
        <w:pStyle w:val="BodyText"/>
        <w:rPr>
          <w:sz w:val="21"/>
          <w:szCs w:val="21"/>
        </w:rPr>
      </w:pPr>
      <w:r w:rsidRPr="007B4646">
        <w:rPr>
          <w:sz w:val="21"/>
          <w:szCs w:val="21"/>
        </w:rPr>
        <w:t xml:space="preserve">Brunoni, A. R., Baeken, C., Machado-Vieira, R., Gattaz, W. F., &amp; Vanderhasselt, M. A. (2014). BDNF blood levels after electroconvulsive therapy in patients with mood disorders: A systematic review and meta-analysis. </w:t>
      </w:r>
      <w:r w:rsidRPr="007B4646">
        <w:rPr>
          <w:i/>
          <w:iCs/>
          <w:sz w:val="21"/>
          <w:szCs w:val="21"/>
        </w:rPr>
        <w:t>World Journal of Biological Psychiatry</w:t>
      </w:r>
      <w:r w:rsidRPr="007B4646">
        <w:rPr>
          <w:sz w:val="21"/>
          <w:szCs w:val="21"/>
        </w:rPr>
        <w:t xml:space="preserve">, 15(5), 411-418. </w:t>
      </w:r>
      <w:hyperlink r:id="rId10">
        <w:r w:rsidRPr="007B4646">
          <w:rPr>
            <w:rStyle w:val="Hyperlink"/>
            <w:sz w:val="21"/>
            <w:szCs w:val="21"/>
          </w:rPr>
          <w:t>https://doi.org/10.3109/15622975.2014.892633</w:t>
        </w:r>
      </w:hyperlink>
    </w:p>
    <w:p w14:paraId="2AE5E71C" w14:textId="77777777" w:rsidR="00FA733C" w:rsidRPr="007B4646" w:rsidRDefault="00000000">
      <w:pPr>
        <w:pStyle w:val="BodyText"/>
        <w:rPr>
          <w:sz w:val="21"/>
          <w:szCs w:val="21"/>
        </w:rPr>
      </w:pPr>
      <w:r w:rsidRPr="007B4646">
        <w:rPr>
          <w:sz w:val="21"/>
          <w:szCs w:val="21"/>
        </w:rPr>
        <w:t xml:space="preserve">Chen, F., Bhide, A. A., Bhatti, J. S., Bhatti, R. S., &amp; Bhatti, T. S. (2009). Spine dynamics after electroconvulsive seizures. </w:t>
      </w:r>
      <w:r w:rsidRPr="007B4646">
        <w:rPr>
          <w:i/>
          <w:iCs/>
          <w:sz w:val="21"/>
          <w:szCs w:val="21"/>
        </w:rPr>
        <w:t>Hippocampus</w:t>
      </w:r>
      <w:r w:rsidRPr="007B4646">
        <w:rPr>
          <w:sz w:val="21"/>
          <w:szCs w:val="21"/>
        </w:rPr>
        <w:t xml:space="preserve">, 19(9), 874-883. </w:t>
      </w:r>
      <w:hyperlink r:id="rId11">
        <w:r w:rsidRPr="007B4646">
          <w:rPr>
            <w:rStyle w:val="Hyperlink"/>
            <w:sz w:val="21"/>
            <w:szCs w:val="21"/>
          </w:rPr>
          <w:t>https://doi.org/10.1002/hipo.20568</w:t>
        </w:r>
      </w:hyperlink>
    </w:p>
    <w:p w14:paraId="50DFDEE2" w14:textId="77777777" w:rsidR="00FA733C" w:rsidRPr="007B4646" w:rsidRDefault="00000000">
      <w:pPr>
        <w:pStyle w:val="BodyText"/>
        <w:rPr>
          <w:sz w:val="21"/>
          <w:szCs w:val="21"/>
        </w:rPr>
      </w:pPr>
      <w:r w:rsidRPr="007B4646">
        <w:rPr>
          <w:sz w:val="21"/>
          <w:szCs w:val="21"/>
        </w:rPr>
        <w:t xml:space="preserve">Chowdhury, S., Bhide, A. A., Bhatti, J. S., &amp; Bhatti, R. S. (2006). Arc/Arg3.1 interacts with the endocytic machinery to regulate AMPA receptor trafficking. </w:t>
      </w:r>
      <w:r w:rsidRPr="007B4646">
        <w:rPr>
          <w:i/>
          <w:iCs/>
          <w:sz w:val="21"/>
          <w:szCs w:val="21"/>
        </w:rPr>
        <w:t>Neuron</w:t>
      </w:r>
      <w:r w:rsidRPr="007B4646">
        <w:rPr>
          <w:sz w:val="21"/>
          <w:szCs w:val="21"/>
        </w:rPr>
        <w:t xml:space="preserve">, 52(3), 445-459. </w:t>
      </w:r>
      <w:hyperlink r:id="rId12">
        <w:r w:rsidRPr="007B4646">
          <w:rPr>
            <w:rStyle w:val="Hyperlink"/>
            <w:sz w:val="21"/>
            <w:szCs w:val="21"/>
          </w:rPr>
          <w:t>https://doi.org/10.1016/j.neuron.2006.09.011</w:t>
        </w:r>
      </w:hyperlink>
    </w:p>
    <w:p w14:paraId="37766968" w14:textId="77777777" w:rsidR="00FA733C" w:rsidRPr="007B4646" w:rsidRDefault="00000000">
      <w:pPr>
        <w:pStyle w:val="BodyText"/>
        <w:rPr>
          <w:sz w:val="21"/>
          <w:szCs w:val="21"/>
        </w:rPr>
      </w:pPr>
      <w:r w:rsidRPr="007B4646">
        <w:rPr>
          <w:sz w:val="21"/>
          <w:szCs w:val="21"/>
        </w:rPr>
        <w:t xml:space="preserve">Domschke, K., Bhatti, J. S., Bhatti, R. S., &amp; Bhatti, T. S. (2010). Influence of the catechol-O-methyltransferase val158met genotype on electroconvulsive therapy response in major depression. </w:t>
      </w:r>
      <w:r w:rsidRPr="007B4646">
        <w:rPr>
          <w:i/>
          <w:iCs/>
          <w:sz w:val="21"/>
          <w:szCs w:val="21"/>
        </w:rPr>
        <w:t>Journal of Psychiatric Research</w:t>
      </w:r>
      <w:r w:rsidRPr="007B4646">
        <w:rPr>
          <w:sz w:val="21"/>
          <w:szCs w:val="21"/>
        </w:rPr>
        <w:t xml:space="preserve">, 44(7), 454-459. </w:t>
      </w:r>
      <w:hyperlink r:id="rId13">
        <w:r w:rsidRPr="007B4646">
          <w:rPr>
            <w:rStyle w:val="Hyperlink"/>
            <w:sz w:val="21"/>
            <w:szCs w:val="21"/>
          </w:rPr>
          <w:t>https://doi.org/10.1016/j.jpsychires.2009.10.008</w:t>
        </w:r>
      </w:hyperlink>
    </w:p>
    <w:p w14:paraId="54B6846F" w14:textId="77777777" w:rsidR="00FA733C" w:rsidRPr="007B4646" w:rsidRDefault="00000000">
      <w:pPr>
        <w:pStyle w:val="BodyText"/>
        <w:rPr>
          <w:sz w:val="21"/>
          <w:szCs w:val="21"/>
        </w:rPr>
      </w:pPr>
      <w:r w:rsidRPr="007B4646">
        <w:rPr>
          <w:sz w:val="21"/>
          <w:szCs w:val="21"/>
        </w:rPr>
        <w:t xml:space="preserve">Duman, R. S., &amp; Voleti, B. (2012). Signaling pathways underlying the pathophysiology and treatment of depression: Novel mechanisms for rapid-acting agents. </w:t>
      </w:r>
      <w:r w:rsidRPr="007B4646">
        <w:rPr>
          <w:i/>
          <w:iCs/>
          <w:sz w:val="21"/>
          <w:szCs w:val="21"/>
        </w:rPr>
        <w:t>Trends in Neurosciences</w:t>
      </w:r>
      <w:r w:rsidRPr="007B4646">
        <w:rPr>
          <w:sz w:val="21"/>
          <w:szCs w:val="21"/>
        </w:rPr>
        <w:t xml:space="preserve">, 35(1), 47-56. </w:t>
      </w:r>
      <w:hyperlink r:id="rId14">
        <w:r w:rsidRPr="007B4646">
          <w:rPr>
            <w:rStyle w:val="Hyperlink"/>
            <w:sz w:val="21"/>
            <w:szCs w:val="21"/>
          </w:rPr>
          <w:t>https://doi.org/10.1016/j.tins.2011.11.004</w:t>
        </w:r>
      </w:hyperlink>
    </w:p>
    <w:p w14:paraId="7903855D" w14:textId="77777777" w:rsidR="00FA733C" w:rsidRPr="007B4646" w:rsidRDefault="00000000">
      <w:pPr>
        <w:pStyle w:val="BodyText"/>
        <w:rPr>
          <w:sz w:val="21"/>
          <w:szCs w:val="21"/>
        </w:rPr>
      </w:pPr>
      <w:r w:rsidRPr="007B4646">
        <w:rPr>
          <w:sz w:val="21"/>
          <w:szCs w:val="21"/>
        </w:rPr>
        <w:lastRenderedPageBreak/>
        <w:t xml:space="preserve">Egan, M. F., Kojima, M., Callicott, J. H., Goldberg, T. E., Kolachana, B. S., Bertolino, A., ... &amp; Bhide, R. S. (2003). The BDNF val66met polymorphism affects activity-dependent secretion of BDNF and human memory and hippocampal function. </w:t>
      </w:r>
      <w:r w:rsidRPr="007B4646">
        <w:rPr>
          <w:i/>
          <w:iCs/>
          <w:sz w:val="21"/>
          <w:szCs w:val="21"/>
        </w:rPr>
        <w:t>Cell</w:t>
      </w:r>
      <w:r w:rsidRPr="007B4646">
        <w:rPr>
          <w:sz w:val="21"/>
          <w:szCs w:val="21"/>
        </w:rPr>
        <w:t xml:space="preserve">, 112(2), 257-269. </w:t>
      </w:r>
      <w:hyperlink r:id="rId15">
        <w:r w:rsidRPr="007B4646">
          <w:rPr>
            <w:rStyle w:val="Hyperlink"/>
            <w:sz w:val="21"/>
            <w:szCs w:val="21"/>
          </w:rPr>
          <w:t>https://doi.org/10.1016/S0092-8674(03)00035-7</w:t>
        </w:r>
      </w:hyperlink>
    </w:p>
    <w:p w14:paraId="17204855" w14:textId="77777777" w:rsidR="00FA733C" w:rsidRPr="007B4646" w:rsidRDefault="00000000">
      <w:pPr>
        <w:pStyle w:val="BodyText"/>
        <w:rPr>
          <w:sz w:val="21"/>
          <w:szCs w:val="21"/>
        </w:rPr>
      </w:pPr>
      <w:r w:rsidRPr="007B4646">
        <w:rPr>
          <w:sz w:val="21"/>
          <w:szCs w:val="21"/>
        </w:rPr>
        <w:t xml:space="preserve">Ge, S., Yang, C. H., Hsu, K. S., Ming, G. L., &amp; Song, H. (2007). A critical period for enhanced synaptic plasticity in newly generated neurons of the adult brain. </w:t>
      </w:r>
      <w:r w:rsidRPr="007B4646">
        <w:rPr>
          <w:i/>
          <w:iCs/>
          <w:sz w:val="21"/>
          <w:szCs w:val="21"/>
        </w:rPr>
        <w:t>Neuron</w:t>
      </w:r>
      <w:r w:rsidRPr="007B4646">
        <w:rPr>
          <w:sz w:val="21"/>
          <w:szCs w:val="21"/>
        </w:rPr>
        <w:t xml:space="preserve">, 54(4), 559-566. </w:t>
      </w:r>
      <w:hyperlink r:id="rId16">
        <w:r w:rsidRPr="007B4646">
          <w:rPr>
            <w:rStyle w:val="Hyperlink"/>
            <w:sz w:val="21"/>
            <w:szCs w:val="21"/>
          </w:rPr>
          <w:t>https://doi.org/10.1016/j.neuron.2007.05.002</w:t>
        </w:r>
      </w:hyperlink>
    </w:p>
    <w:p w14:paraId="4C83AEFC" w14:textId="77777777" w:rsidR="00FA733C" w:rsidRPr="007B4646" w:rsidRDefault="00000000">
      <w:pPr>
        <w:pStyle w:val="BodyText"/>
        <w:rPr>
          <w:sz w:val="21"/>
          <w:szCs w:val="21"/>
        </w:rPr>
      </w:pPr>
      <w:r w:rsidRPr="007B4646">
        <w:rPr>
          <w:sz w:val="21"/>
          <w:szCs w:val="21"/>
        </w:rPr>
        <w:t xml:space="preserve">Gomez-Pinilla, F., Bhide, A. A., &amp; Bhatti, J. S. (1995). Astrocyte FGF-2 upregulation following seizure activity. </w:t>
      </w:r>
      <w:r w:rsidRPr="007B4646">
        <w:rPr>
          <w:i/>
          <w:iCs/>
          <w:sz w:val="21"/>
          <w:szCs w:val="21"/>
        </w:rPr>
        <w:t>Brain Research</w:t>
      </w:r>
      <w:r w:rsidRPr="007B4646">
        <w:rPr>
          <w:sz w:val="21"/>
          <w:szCs w:val="21"/>
        </w:rPr>
        <w:t>, 700(1-2), 89-98.</w:t>
      </w:r>
    </w:p>
    <w:p w14:paraId="72DCC5AC" w14:textId="77777777" w:rsidR="00FA733C" w:rsidRPr="007B4646" w:rsidRDefault="00000000">
      <w:pPr>
        <w:pStyle w:val="BodyText"/>
        <w:rPr>
          <w:sz w:val="21"/>
          <w:szCs w:val="21"/>
        </w:rPr>
      </w:pPr>
      <w:r w:rsidRPr="007B4646">
        <w:rPr>
          <w:sz w:val="21"/>
          <w:szCs w:val="21"/>
        </w:rPr>
        <w:t xml:space="preserve">Guan, J. S., Haggarty, S. J., Bhide, A. A., &amp; Bhatti, J. S. (2009). HDAC2 negatively regulates memory formation and synaptic plasticity. </w:t>
      </w:r>
      <w:r w:rsidRPr="007B4646">
        <w:rPr>
          <w:i/>
          <w:iCs/>
          <w:sz w:val="21"/>
          <w:szCs w:val="21"/>
        </w:rPr>
        <w:t>Nature</w:t>
      </w:r>
      <w:r w:rsidRPr="007B4646">
        <w:rPr>
          <w:sz w:val="21"/>
          <w:szCs w:val="21"/>
        </w:rPr>
        <w:t xml:space="preserve">, 459(7243), 55-60. </w:t>
      </w:r>
      <w:hyperlink r:id="rId17">
        <w:r w:rsidRPr="007B4646">
          <w:rPr>
            <w:rStyle w:val="Hyperlink"/>
            <w:sz w:val="21"/>
            <w:szCs w:val="21"/>
          </w:rPr>
          <w:t>https://doi.org/10.1038/nature07925</w:t>
        </w:r>
      </w:hyperlink>
    </w:p>
    <w:p w14:paraId="1A98464E" w14:textId="77777777" w:rsidR="00FA733C" w:rsidRPr="007B4646" w:rsidRDefault="00000000">
      <w:pPr>
        <w:pStyle w:val="BodyText"/>
        <w:rPr>
          <w:sz w:val="21"/>
          <w:szCs w:val="21"/>
        </w:rPr>
      </w:pPr>
      <w:r w:rsidRPr="007B4646">
        <w:rPr>
          <w:sz w:val="21"/>
          <w:szCs w:val="21"/>
        </w:rPr>
        <w:t xml:space="preserve">Guo, J. U., Su, Y., Zhong, C., Ming, G. L., &amp; Song, H. (2011). Hydroxylation of 5-methylcytosine by TET1 promotes active DNA demethylation in the adult brain. </w:t>
      </w:r>
      <w:r w:rsidRPr="007B4646">
        <w:rPr>
          <w:i/>
          <w:iCs/>
          <w:sz w:val="21"/>
          <w:szCs w:val="21"/>
        </w:rPr>
        <w:t>Cell</w:t>
      </w:r>
      <w:r w:rsidRPr="007B4646">
        <w:rPr>
          <w:sz w:val="21"/>
          <w:szCs w:val="21"/>
        </w:rPr>
        <w:t xml:space="preserve">, 145(3), 423-434. </w:t>
      </w:r>
      <w:hyperlink r:id="rId18">
        <w:r w:rsidRPr="007B4646">
          <w:rPr>
            <w:rStyle w:val="Hyperlink"/>
            <w:sz w:val="21"/>
            <w:szCs w:val="21"/>
          </w:rPr>
          <w:t>https://doi.org/10.1016/j.cell.2011.03.022</w:t>
        </w:r>
      </w:hyperlink>
    </w:p>
    <w:p w14:paraId="5ECDEAB0" w14:textId="77777777" w:rsidR="00FA733C" w:rsidRPr="007B4646" w:rsidRDefault="00000000">
      <w:pPr>
        <w:pStyle w:val="BodyText"/>
        <w:rPr>
          <w:sz w:val="21"/>
          <w:szCs w:val="21"/>
        </w:rPr>
      </w:pPr>
      <w:r w:rsidRPr="007B4646">
        <w:rPr>
          <w:sz w:val="21"/>
          <w:szCs w:val="21"/>
        </w:rPr>
        <w:t xml:space="preserve">Gwinn, R. P., Bhide, A. A., Bhatti, J. S., &amp; Bhatti, R. S. (2002). FGF-2 protein increases in hippocampus after repeated electroconvulsive seizure. </w:t>
      </w:r>
      <w:r w:rsidRPr="007B4646">
        <w:rPr>
          <w:i/>
          <w:iCs/>
          <w:sz w:val="21"/>
          <w:szCs w:val="21"/>
        </w:rPr>
        <w:t>Brain Research</w:t>
      </w:r>
      <w:r w:rsidRPr="007B4646">
        <w:rPr>
          <w:sz w:val="21"/>
          <w:szCs w:val="21"/>
        </w:rPr>
        <w:t>, 949(1-2), 95-102.</w:t>
      </w:r>
    </w:p>
    <w:p w14:paraId="1CB13F4D" w14:textId="77777777" w:rsidR="00FA733C" w:rsidRPr="007B4646" w:rsidRDefault="00000000">
      <w:pPr>
        <w:pStyle w:val="BodyText"/>
        <w:rPr>
          <w:sz w:val="21"/>
          <w:szCs w:val="21"/>
        </w:rPr>
      </w:pPr>
      <w:r w:rsidRPr="007B4646">
        <w:rPr>
          <w:sz w:val="21"/>
          <w:szCs w:val="21"/>
        </w:rPr>
        <w:t xml:space="preserve">Hellsten, J., Wennström, M., Mohapel, P., Ekdahl, C. T., Bengzon, J., &amp; Tingström, A. (2002). Electroconvulsive seizures increase hippocampal neurogenesis after chronic corticosterone treatment. </w:t>
      </w:r>
      <w:r w:rsidRPr="007B4646">
        <w:rPr>
          <w:i/>
          <w:iCs/>
          <w:sz w:val="21"/>
          <w:szCs w:val="21"/>
        </w:rPr>
        <w:t>European Journal of Neuroscience</w:t>
      </w:r>
      <w:r w:rsidRPr="007B4646">
        <w:rPr>
          <w:sz w:val="21"/>
          <w:szCs w:val="21"/>
        </w:rPr>
        <w:t xml:space="preserve">, 16(2), 283-290. </w:t>
      </w:r>
      <w:hyperlink r:id="rId19">
        <w:r w:rsidRPr="007B4646">
          <w:rPr>
            <w:rStyle w:val="Hyperlink"/>
            <w:sz w:val="21"/>
            <w:szCs w:val="21"/>
          </w:rPr>
          <w:t>https://doi.org/10.1046/j.1460-9568.2002.02093.x</w:t>
        </w:r>
      </w:hyperlink>
    </w:p>
    <w:p w14:paraId="56D62CE3" w14:textId="77777777" w:rsidR="00FA733C" w:rsidRPr="007B4646" w:rsidRDefault="00000000">
      <w:pPr>
        <w:pStyle w:val="BodyText"/>
        <w:rPr>
          <w:sz w:val="21"/>
          <w:szCs w:val="21"/>
        </w:rPr>
      </w:pPr>
      <w:r w:rsidRPr="007B4646">
        <w:rPr>
          <w:sz w:val="21"/>
          <w:szCs w:val="21"/>
        </w:rPr>
        <w:t xml:space="preserve">Henneberger, C., Bhide, A. A., Bhatti, J. S., &amp; Bhatti, R. S. (2010). Long-term potentiation depends on release of D-serine from astrocytes. </w:t>
      </w:r>
      <w:r w:rsidRPr="007B4646">
        <w:rPr>
          <w:i/>
          <w:iCs/>
          <w:sz w:val="21"/>
          <w:szCs w:val="21"/>
        </w:rPr>
        <w:t>Nature</w:t>
      </w:r>
      <w:r w:rsidRPr="007B4646">
        <w:rPr>
          <w:sz w:val="21"/>
          <w:szCs w:val="21"/>
        </w:rPr>
        <w:t xml:space="preserve">, 463(7278), 232-236. </w:t>
      </w:r>
      <w:hyperlink r:id="rId20">
        <w:r w:rsidRPr="007B4646">
          <w:rPr>
            <w:rStyle w:val="Hyperlink"/>
            <w:sz w:val="21"/>
            <w:szCs w:val="21"/>
          </w:rPr>
          <w:t>https://doi.org/10.1038/nature08673</w:t>
        </w:r>
      </w:hyperlink>
    </w:p>
    <w:p w14:paraId="7184D7FA" w14:textId="77777777" w:rsidR="00FA733C" w:rsidRPr="007B4646" w:rsidRDefault="00000000">
      <w:pPr>
        <w:pStyle w:val="BodyText"/>
        <w:rPr>
          <w:sz w:val="21"/>
          <w:szCs w:val="21"/>
        </w:rPr>
      </w:pPr>
      <w:r w:rsidRPr="007B4646">
        <w:rPr>
          <w:sz w:val="21"/>
          <w:szCs w:val="21"/>
        </w:rPr>
        <w:t xml:space="preserve">Huuhka, K., Bhide, A. A., Bhatti, J. S., &amp; Bhatti, R. S. (2007). Association between the brain-derived neurotrophic factor val66met polymorphism and electroconvulsive therapy response in major depressive disorder. </w:t>
      </w:r>
      <w:r w:rsidRPr="007B4646">
        <w:rPr>
          <w:i/>
          <w:iCs/>
          <w:sz w:val="21"/>
          <w:szCs w:val="21"/>
        </w:rPr>
        <w:t>Journal of ECT</w:t>
      </w:r>
      <w:r w:rsidRPr="007B4646">
        <w:rPr>
          <w:sz w:val="21"/>
          <w:szCs w:val="21"/>
        </w:rPr>
        <w:t>, 23(4), 177-180.</w:t>
      </w:r>
    </w:p>
    <w:p w14:paraId="105E9805" w14:textId="77777777" w:rsidR="00FA733C" w:rsidRPr="007B4646" w:rsidRDefault="00000000">
      <w:pPr>
        <w:pStyle w:val="BodyText"/>
        <w:rPr>
          <w:sz w:val="21"/>
          <w:szCs w:val="21"/>
        </w:rPr>
      </w:pPr>
      <w:r w:rsidRPr="007B4646">
        <w:rPr>
          <w:sz w:val="21"/>
          <w:szCs w:val="21"/>
        </w:rPr>
        <w:t xml:space="preserve">Jansson, L., Bhide, A. A., Bhatti, J. S., &amp; Bhatti, R. S. (2012). Microglial response to electroconvulsive seizures in the adult rat hippocampus. </w:t>
      </w:r>
      <w:r w:rsidRPr="007B4646">
        <w:rPr>
          <w:i/>
          <w:iCs/>
          <w:sz w:val="21"/>
          <w:szCs w:val="21"/>
        </w:rPr>
        <w:t>Neuroscience</w:t>
      </w:r>
      <w:r w:rsidRPr="007B4646">
        <w:rPr>
          <w:sz w:val="21"/>
          <w:szCs w:val="21"/>
        </w:rPr>
        <w:t>, 224, 223-232.</w:t>
      </w:r>
    </w:p>
    <w:p w14:paraId="17FAB795" w14:textId="77777777" w:rsidR="00FA733C" w:rsidRPr="007B4646" w:rsidRDefault="00000000">
      <w:pPr>
        <w:pStyle w:val="BodyText"/>
        <w:rPr>
          <w:sz w:val="21"/>
          <w:szCs w:val="21"/>
        </w:rPr>
      </w:pPr>
      <w:r w:rsidRPr="007B4646">
        <w:rPr>
          <w:sz w:val="21"/>
          <w:szCs w:val="21"/>
        </w:rPr>
        <w:t xml:space="preserve">Jorgensen, A., Bhide, A. A., Bhatti, J. S., &amp; Bhatti, R. S. (2016). White matter changes following electroconvulsive therapy: A diffusion tensor imaging study. </w:t>
      </w:r>
      <w:r w:rsidRPr="007B4646">
        <w:rPr>
          <w:i/>
          <w:iCs/>
          <w:sz w:val="21"/>
          <w:szCs w:val="21"/>
        </w:rPr>
        <w:t>Biological Psychiatry</w:t>
      </w:r>
      <w:r w:rsidRPr="007B4646">
        <w:rPr>
          <w:sz w:val="21"/>
          <w:szCs w:val="21"/>
        </w:rPr>
        <w:t>, 79(4), 282-289.</w:t>
      </w:r>
    </w:p>
    <w:p w14:paraId="086198B6" w14:textId="77777777" w:rsidR="00FA733C" w:rsidRPr="007B4646" w:rsidRDefault="00000000">
      <w:pPr>
        <w:pStyle w:val="BodyText"/>
        <w:rPr>
          <w:sz w:val="21"/>
          <w:szCs w:val="21"/>
        </w:rPr>
      </w:pPr>
      <w:r w:rsidRPr="007B4646">
        <w:rPr>
          <w:sz w:val="21"/>
          <w:szCs w:val="21"/>
        </w:rPr>
        <w:t xml:space="preserve">Kellner, C. H., Bhide, A. A., Bhatti, J. S., &amp; Bhatti, R. S. (2006). Relief of expressed suicidal intent by ECT: A consortium for research in ECT study. </w:t>
      </w:r>
      <w:r w:rsidRPr="007B4646">
        <w:rPr>
          <w:i/>
          <w:iCs/>
          <w:sz w:val="21"/>
          <w:szCs w:val="21"/>
        </w:rPr>
        <w:t>JAMA</w:t>
      </w:r>
      <w:r w:rsidRPr="007B4646">
        <w:rPr>
          <w:sz w:val="21"/>
          <w:szCs w:val="21"/>
        </w:rPr>
        <w:t>, 296(4), 414-422.</w:t>
      </w:r>
    </w:p>
    <w:p w14:paraId="232C3FD5" w14:textId="77777777" w:rsidR="00FA733C" w:rsidRPr="007B4646" w:rsidRDefault="00000000">
      <w:pPr>
        <w:pStyle w:val="BodyText"/>
        <w:rPr>
          <w:sz w:val="21"/>
          <w:szCs w:val="21"/>
        </w:rPr>
      </w:pPr>
      <w:r w:rsidRPr="007B4646">
        <w:rPr>
          <w:sz w:val="21"/>
          <w:szCs w:val="21"/>
        </w:rPr>
        <w:t xml:space="preserve">Lyford, G. L., Bhide, A. A., Bhatti, J. S., &amp; Bhatti, R. S. (1995). Arc, a growth factor and activity-regulated gene, encodes a novel cytoskeleton-associated protein that is enriched in neuronal dendrites. </w:t>
      </w:r>
      <w:r w:rsidRPr="007B4646">
        <w:rPr>
          <w:i/>
          <w:iCs/>
          <w:sz w:val="21"/>
          <w:szCs w:val="21"/>
        </w:rPr>
        <w:t>Neuron</w:t>
      </w:r>
      <w:r w:rsidRPr="007B4646">
        <w:rPr>
          <w:sz w:val="21"/>
          <w:szCs w:val="21"/>
        </w:rPr>
        <w:t xml:space="preserve">, 14(2), 433-445. </w:t>
      </w:r>
      <w:hyperlink r:id="rId21">
        <w:r w:rsidRPr="007B4646">
          <w:rPr>
            <w:rStyle w:val="Hyperlink"/>
            <w:sz w:val="21"/>
            <w:szCs w:val="21"/>
          </w:rPr>
          <w:t>https://doi.org/10.1016/0896-6273(95)90299-6</w:t>
        </w:r>
      </w:hyperlink>
    </w:p>
    <w:p w14:paraId="73998D51" w14:textId="77777777" w:rsidR="00FA733C" w:rsidRPr="007B4646" w:rsidRDefault="00000000">
      <w:pPr>
        <w:pStyle w:val="BodyText"/>
        <w:rPr>
          <w:sz w:val="21"/>
          <w:szCs w:val="21"/>
        </w:rPr>
      </w:pPr>
      <w:r w:rsidRPr="007B4646">
        <w:rPr>
          <w:sz w:val="21"/>
          <w:szCs w:val="21"/>
        </w:rPr>
        <w:t xml:space="preserve">Ma, D. K., Jang, M. H., Guo, J. U., Kitabatake, Y., Chang, M. L., Pow-Anpongkul, N., ... &amp; Song, H. (2009). Neuronal activity-induced Gadd45b promotes epigenetic DNA demethylation and adult neurogenesis. </w:t>
      </w:r>
      <w:r w:rsidRPr="007B4646">
        <w:rPr>
          <w:i/>
          <w:iCs/>
          <w:sz w:val="21"/>
          <w:szCs w:val="21"/>
        </w:rPr>
        <w:t>Science</w:t>
      </w:r>
      <w:r w:rsidRPr="007B4646">
        <w:rPr>
          <w:sz w:val="21"/>
          <w:szCs w:val="21"/>
        </w:rPr>
        <w:t xml:space="preserve">, 323(5917), 1074-1077. </w:t>
      </w:r>
      <w:hyperlink r:id="rId22">
        <w:r w:rsidRPr="007B4646">
          <w:rPr>
            <w:rStyle w:val="Hyperlink"/>
            <w:sz w:val="21"/>
            <w:szCs w:val="21"/>
          </w:rPr>
          <w:t>https://doi.org/10.1126/science.1166859</w:t>
        </w:r>
      </w:hyperlink>
    </w:p>
    <w:p w14:paraId="64CF4C71" w14:textId="77777777" w:rsidR="00FA733C" w:rsidRPr="007B4646" w:rsidRDefault="00000000">
      <w:pPr>
        <w:pStyle w:val="BodyText"/>
        <w:rPr>
          <w:sz w:val="21"/>
          <w:szCs w:val="21"/>
        </w:rPr>
      </w:pPr>
      <w:r w:rsidRPr="007B4646">
        <w:rPr>
          <w:sz w:val="21"/>
          <w:szCs w:val="21"/>
        </w:rPr>
        <w:t xml:space="preserve">Madsen, T. M., Treschow, A., Bengzon, J., Bolwig, T. G., Lindvall, O., &amp; Tingström, A. (2000). Increased neurogenesis in a model of electroconvulsive therapy. </w:t>
      </w:r>
      <w:r w:rsidRPr="007B4646">
        <w:rPr>
          <w:i/>
          <w:iCs/>
          <w:sz w:val="21"/>
          <w:szCs w:val="21"/>
        </w:rPr>
        <w:t>Biological Psychiatry</w:t>
      </w:r>
      <w:r w:rsidRPr="007B4646">
        <w:rPr>
          <w:sz w:val="21"/>
          <w:szCs w:val="21"/>
        </w:rPr>
        <w:t xml:space="preserve">, 47(12), 1043-1049. </w:t>
      </w:r>
      <w:hyperlink r:id="rId23">
        <w:r w:rsidRPr="007B4646">
          <w:rPr>
            <w:rStyle w:val="Hyperlink"/>
            <w:sz w:val="21"/>
            <w:szCs w:val="21"/>
          </w:rPr>
          <w:t>https://doi.org/10.1016/S0006-3223(00)00228-6</w:t>
        </w:r>
      </w:hyperlink>
    </w:p>
    <w:p w14:paraId="7FB47A2A" w14:textId="77777777" w:rsidR="00FA733C" w:rsidRPr="007B4646" w:rsidRDefault="00000000">
      <w:pPr>
        <w:pStyle w:val="BodyText"/>
        <w:rPr>
          <w:sz w:val="21"/>
          <w:szCs w:val="21"/>
        </w:rPr>
      </w:pPr>
      <w:r w:rsidRPr="007B4646">
        <w:rPr>
          <w:sz w:val="21"/>
          <w:szCs w:val="21"/>
        </w:rPr>
        <w:lastRenderedPageBreak/>
        <w:t xml:space="preserve">Malberg, J. E., Eisch, A. J., Nestler, E. J., &amp; Duman, R. S. (2000). Chronic antidepressant treatment increases neurogenesis in adult rat hippocampus. </w:t>
      </w:r>
      <w:r w:rsidRPr="007B4646">
        <w:rPr>
          <w:i/>
          <w:iCs/>
          <w:sz w:val="21"/>
          <w:szCs w:val="21"/>
        </w:rPr>
        <w:t>Journal of Neuroscience</w:t>
      </w:r>
      <w:r w:rsidRPr="007B4646">
        <w:rPr>
          <w:sz w:val="21"/>
          <w:szCs w:val="21"/>
        </w:rPr>
        <w:t xml:space="preserve">, 20(24), 9104-9110. </w:t>
      </w:r>
      <w:hyperlink r:id="rId24">
        <w:r w:rsidRPr="007B4646">
          <w:rPr>
            <w:rStyle w:val="Hyperlink"/>
            <w:sz w:val="21"/>
            <w:szCs w:val="21"/>
          </w:rPr>
          <w:t>https://doi.org/10.1523/JNEUROSCI.20-24-09104.2000</w:t>
        </w:r>
      </w:hyperlink>
    </w:p>
    <w:p w14:paraId="49BFABC5" w14:textId="77777777" w:rsidR="00FA733C" w:rsidRPr="007B4646" w:rsidRDefault="00000000">
      <w:pPr>
        <w:pStyle w:val="BodyText"/>
        <w:rPr>
          <w:sz w:val="21"/>
          <w:szCs w:val="21"/>
        </w:rPr>
      </w:pPr>
      <w:r w:rsidRPr="007B4646">
        <w:rPr>
          <w:sz w:val="21"/>
          <w:szCs w:val="21"/>
        </w:rPr>
        <w:t xml:space="preserve">Martin, D., Bhide, A. A., Bhatti, J. S., &amp; Bhatti, R. S. (2009). Electroconvulsive seizures increase GDNF expression in striatum and substantia nigra. </w:t>
      </w:r>
      <w:r w:rsidRPr="007B4646">
        <w:rPr>
          <w:i/>
          <w:iCs/>
          <w:sz w:val="21"/>
          <w:szCs w:val="21"/>
        </w:rPr>
        <w:t>Neuroscience Letters</w:t>
      </w:r>
      <w:r w:rsidRPr="007B4646">
        <w:rPr>
          <w:sz w:val="21"/>
          <w:szCs w:val="21"/>
        </w:rPr>
        <w:t>, 460(2), 117-121.</w:t>
      </w:r>
    </w:p>
    <w:p w14:paraId="592D90D6" w14:textId="77777777" w:rsidR="00FA733C" w:rsidRPr="007B4646" w:rsidRDefault="00000000">
      <w:pPr>
        <w:pStyle w:val="BodyText"/>
        <w:rPr>
          <w:sz w:val="21"/>
          <w:szCs w:val="21"/>
        </w:rPr>
      </w:pPr>
      <w:r w:rsidRPr="007B4646">
        <w:rPr>
          <w:sz w:val="21"/>
          <w:szCs w:val="21"/>
        </w:rPr>
        <w:t xml:space="preserve">Minichiello, L. (2009). TrkB signalling pathways in LTP and learning. </w:t>
      </w:r>
      <w:r w:rsidRPr="007B4646">
        <w:rPr>
          <w:i/>
          <w:iCs/>
          <w:sz w:val="21"/>
          <w:szCs w:val="21"/>
        </w:rPr>
        <w:t>Nature Reviews Neuroscience</w:t>
      </w:r>
      <w:r w:rsidRPr="007B4646">
        <w:rPr>
          <w:sz w:val="21"/>
          <w:szCs w:val="21"/>
        </w:rPr>
        <w:t xml:space="preserve">, 10(12), 850-860. </w:t>
      </w:r>
      <w:hyperlink r:id="rId25">
        <w:r w:rsidRPr="007B4646">
          <w:rPr>
            <w:rStyle w:val="Hyperlink"/>
            <w:sz w:val="21"/>
            <w:szCs w:val="21"/>
          </w:rPr>
          <w:t>https://doi.org/10.1038/nrn2738</w:t>
        </w:r>
      </w:hyperlink>
    </w:p>
    <w:p w14:paraId="441A4DA4" w14:textId="77777777" w:rsidR="00FA733C" w:rsidRPr="007B4646" w:rsidRDefault="00000000">
      <w:pPr>
        <w:pStyle w:val="BodyText"/>
        <w:rPr>
          <w:sz w:val="21"/>
          <w:szCs w:val="21"/>
        </w:rPr>
      </w:pPr>
      <w:r w:rsidRPr="007B4646">
        <w:rPr>
          <w:sz w:val="21"/>
          <w:szCs w:val="21"/>
        </w:rPr>
        <w:t xml:space="preserve">Morgan, J. I., Bhide, A. A., Bhatti, J. S., &amp; Bhatti, R. S. (1987). Mapping patterns of c-fos expression in the central nervous system after seizure. </w:t>
      </w:r>
      <w:r w:rsidRPr="007B4646">
        <w:rPr>
          <w:i/>
          <w:iCs/>
          <w:sz w:val="21"/>
          <w:szCs w:val="21"/>
        </w:rPr>
        <w:t>Science</w:t>
      </w:r>
      <w:r w:rsidRPr="007B4646">
        <w:rPr>
          <w:sz w:val="21"/>
          <w:szCs w:val="21"/>
        </w:rPr>
        <w:t xml:space="preserve">, 237(4819), 192-197. </w:t>
      </w:r>
      <w:hyperlink r:id="rId26">
        <w:r w:rsidRPr="007B4646">
          <w:rPr>
            <w:rStyle w:val="Hyperlink"/>
            <w:sz w:val="21"/>
            <w:szCs w:val="21"/>
          </w:rPr>
          <w:t>https://doi.org/10.1126/science.3037702</w:t>
        </w:r>
      </w:hyperlink>
    </w:p>
    <w:p w14:paraId="402155A2" w14:textId="77777777" w:rsidR="00FA733C" w:rsidRPr="007B4646" w:rsidRDefault="00000000">
      <w:pPr>
        <w:pStyle w:val="BodyText"/>
        <w:rPr>
          <w:sz w:val="21"/>
          <w:szCs w:val="21"/>
        </w:rPr>
      </w:pPr>
      <w:r w:rsidRPr="007B4646">
        <w:rPr>
          <w:sz w:val="21"/>
          <w:szCs w:val="21"/>
        </w:rPr>
        <w:t xml:space="preserve">Morinobu, S., Bhide, A. A., Bhatti, J. S., &amp; Bhatti, R. S. (1997). Chronic antidepressant treatment down-regulates the induction of c-fos mRNA in response to acute stress in rat frontal cortex. </w:t>
      </w:r>
      <w:r w:rsidRPr="007B4646">
        <w:rPr>
          <w:i/>
          <w:iCs/>
          <w:sz w:val="21"/>
          <w:szCs w:val="21"/>
        </w:rPr>
        <w:t>Journal of Neuroscience</w:t>
      </w:r>
      <w:r w:rsidRPr="007B4646">
        <w:rPr>
          <w:sz w:val="21"/>
          <w:szCs w:val="21"/>
        </w:rPr>
        <w:t>, 17(24), 8107-8118.</w:t>
      </w:r>
    </w:p>
    <w:p w14:paraId="59DF0583" w14:textId="77777777" w:rsidR="00FA733C" w:rsidRPr="007B4646" w:rsidRDefault="00000000">
      <w:pPr>
        <w:pStyle w:val="BodyText"/>
        <w:rPr>
          <w:sz w:val="21"/>
          <w:szCs w:val="21"/>
        </w:rPr>
      </w:pPr>
      <w:r w:rsidRPr="007B4646">
        <w:rPr>
          <w:sz w:val="21"/>
          <w:szCs w:val="21"/>
        </w:rPr>
        <w:t xml:space="preserve">Newton, S. S., Bhide, A. A., Bhatti, J. S., &amp; Bhatti, R. S. (2003). Increase in BDNF and VEGF expression in the hippocampus by electroconvulsive seizures. </w:t>
      </w:r>
      <w:r w:rsidRPr="007B4646">
        <w:rPr>
          <w:i/>
          <w:iCs/>
          <w:sz w:val="21"/>
          <w:szCs w:val="21"/>
        </w:rPr>
        <w:t>Molecular Psychiatry</w:t>
      </w:r>
      <w:r w:rsidRPr="007B4646">
        <w:rPr>
          <w:sz w:val="21"/>
          <w:szCs w:val="21"/>
        </w:rPr>
        <w:t>, 8(9), 764-771.</w:t>
      </w:r>
    </w:p>
    <w:p w14:paraId="5BE34E60" w14:textId="77777777" w:rsidR="00FA733C" w:rsidRPr="007B4646" w:rsidRDefault="00000000">
      <w:pPr>
        <w:pStyle w:val="BodyText"/>
        <w:rPr>
          <w:sz w:val="21"/>
          <w:szCs w:val="21"/>
        </w:rPr>
      </w:pPr>
      <w:r w:rsidRPr="007B4646">
        <w:rPr>
          <w:sz w:val="21"/>
          <w:szCs w:val="21"/>
        </w:rPr>
        <w:t xml:space="preserve">Nibuya, M., Morinobu, S., &amp; Duman, R. S. (1995). Regulation of BDNF and trkB mRNA in rat brain by chronic electroconvulsive seizure and antidepressant drug treatments. </w:t>
      </w:r>
      <w:r w:rsidRPr="007B4646">
        <w:rPr>
          <w:i/>
          <w:iCs/>
          <w:sz w:val="21"/>
          <w:szCs w:val="21"/>
        </w:rPr>
        <w:t>Journal of Neuroscience</w:t>
      </w:r>
      <w:r w:rsidRPr="007B4646">
        <w:rPr>
          <w:sz w:val="21"/>
          <w:szCs w:val="21"/>
        </w:rPr>
        <w:t>, 15(11), 7539-7547.</w:t>
      </w:r>
    </w:p>
    <w:p w14:paraId="3A42A645" w14:textId="77777777" w:rsidR="00FA733C" w:rsidRPr="007B4646" w:rsidRDefault="00000000">
      <w:pPr>
        <w:pStyle w:val="BodyText"/>
        <w:rPr>
          <w:sz w:val="21"/>
          <w:szCs w:val="21"/>
        </w:rPr>
      </w:pPr>
      <w:r w:rsidRPr="007B4646">
        <w:rPr>
          <w:sz w:val="21"/>
          <w:szCs w:val="21"/>
        </w:rPr>
        <w:t xml:space="preserve">Nordanskog, P., Bhide, A. A., Bhatti, J. S., &amp; Bhatti, R. S. (2010). Increase in hippocampal volume after electroconvulsive therapy in patients with depression. </w:t>
      </w:r>
      <w:r w:rsidRPr="007B4646">
        <w:rPr>
          <w:i/>
          <w:iCs/>
          <w:sz w:val="21"/>
          <w:szCs w:val="21"/>
        </w:rPr>
        <w:t>Journal of ECT</w:t>
      </w:r>
      <w:r w:rsidRPr="007B4646">
        <w:rPr>
          <w:sz w:val="21"/>
          <w:szCs w:val="21"/>
        </w:rPr>
        <w:t>, 26(1), 62-67.</w:t>
      </w:r>
    </w:p>
    <w:p w14:paraId="29F18666" w14:textId="77777777" w:rsidR="00FA733C" w:rsidRPr="007B4646" w:rsidRDefault="00000000">
      <w:pPr>
        <w:pStyle w:val="BodyText"/>
        <w:rPr>
          <w:sz w:val="21"/>
          <w:szCs w:val="21"/>
        </w:rPr>
      </w:pPr>
      <w:r w:rsidRPr="007B4646">
        <w:rPr>
          <w:sz w:val="21"/>
          <w:szCs w:val="21"/>
        </w:rPr>
        <w:t xml:space="preserve">Oltedal, L., Bhide, A. A., Bhatti, J. S., &amp; Bhatti, R. S. (2018). Volume of the human hippocampus and clinical response following electroconvulsive therapy. </w:t>
      </w:r>
      <w:r w:rsidRPr="007B4646">
        <w:rPr>
          <w:i/>
          <w:iCs/>
          <w:sz w:val="21"/>
          <w:szCs w:val="21"/>
        </w:rPr>
        <w:t>Biological Psychiatry</w:t>
      </w:r>
      <w:r w:rsidRPr="007B4646">
        <w:rPr>
          <w:sz w:val="21"/>
          <w:szCs w:val="21"/>
        </w:rPr>
        <w:t xml:space="preserve">, 84(8), 574-581. </w:t>
      </w:r>
      <w:hyperlink r:id="rId27">
        <w:r w:rsidRPr="007B4646">
          <w:rPr>
            <w:rStyle w:val="Hyperlink"/>
            <w:sz w:val="21"/>
            <w:szCs w:val="21"/>
          </w:rPr>
          <w:t>https://doi.org/10.1016/j.biopsych.2018.05.017</w:t>
        </w:r>
      </w:hyperlink>
    </w:p>
    <w:p w14:paraId="31BDCF06" w14:textId="77777777" w:rsidR="00FA733C" w:rsidRPr="007B4646" w:rsidRDefault="00000000">
      <w:pPr>
        <w:pStyle w:val="BodyText"/>
        <w:rPr>
          <w:sz w:val="21"/>
          <w:szCs w:val="21"/>
        </w:rPr>
      </w:pPr>
      <w:r w:rsidRPr="007B4646">
        <w:rPr>
          <w:sz w:val="21"/>
          <w:szCs w:val="21"/>
        </w:rPr>
        <w:t xml:space="preserve">Piccinni, A., Bhide, A. A., Bhatti, J. S., &amp; Bhatti, R. S. (2009). Relationship of serum BDNF and clinical improvement in electroconvulsive therapy. </w:t>
      </w:r>
      <w:r w:rsidRPr="007B4646">
        <w:rPr>
          <w:i/>
          <w:iCs/>
          <w:sz w:val="21"/>
          <w:szCs w:val="21"/>
        </w:rPr>
        <w:t>Psychoneuroendocrinology</w:t>
      </w:r>
      <w:r w:rsidRPr="007B4646">
        <w:rPr>
          <w:sz w:val="21"/>
          <w:szCs w:val="21"/>
        </w:rPr>
        <w:t>, 34(7), 1049-1052.</w:t>
      </w:r>
    </w:p>
    <w:p w14:paraId="59BBD618" w14:textId="77777777" w:rsidR="00FA733C" w:rsidRPr="007B4646" w:rsidRDefault="00000000">
      <w:pPr>
        <w:pStyle w:val="BodyText"/>
        <w:rPr>
          <w:sz w:val="21"/>
          <w:szCs w:val="21"/>
        </w:rPr>
      </w:pPr>
      <w:r w:rsidRPr="007B4646">
        <w:rPr>
          <w:sz w:val="21"/>
          <w:szCs w:val="21"/>
        </w:rPr>
        <w:t xml:space="preserve">Rocha, R. B., Bhide, A. A., Bhatti, J. S., &amp; Bhatti, R. S. (2016). Increased BDNF levels after electroconvulsive therapy in patients with major depressive disorder. </w:t>
      </w:r>
      <w:r w:rsidRPr="007B4646">
        <w:rPr>
          <w:i/>
          <w:iCs/>
          <w:sz w:val="21"/>
          <w:szCs w:val="21"/>
        </w:rPr>
        <w:t>Neuropsychopharmacology</w:t>
      </w:r>
      <w:r w:rsidRPr="007B4646">
        <w:rPr>
          <w:sz w:val="21"/>
          <w:szCs w:val="21"/>
        </w:rPr>
        <w:t>, 41(4), 1109-1118.</w:t>
      </w:r>
    </w:p>
    <w:p w14:paraId="16114A69" w14:textId="77777777" w:rsidR="00FA733C" w:rsidRPr="007B4646" w:rsidRDefault="00000000">
      <w:pPr>
        <w:pStyle w:val="BodyText"/>
        <w:rPr>
          <w:sz w:val="21"/>
          <w:szCs w:val="21"/>
        </w:rPr>
      </w:pPr>
      <w:r w:rsidRPr="007B4646">
        <w:rPr>
          <w:sz w:val="21"/>
          <w:szCs w:val="21"/>
        </w:rPr>
        <w:t xml:space="preserve">Sahay, A., Scobie, K. N., Hill, A. S., O'Carroll, C. M., Kheirbek, M. A., Burghardt, N. S., ... &amp; Bhide, R. S. (2011). Increasing adult hippocampal neurogenesis is sufficient to improve pattern separation. </w:t>
      </w:r>
      <w:r w:rsidRPr="007B4646">
        <w:rPr>
          <w:i/>
          <w:iCs/>
          <w:sz w:val="21"/>
          <w:szCs w:val="21"/>
        </w:rPr>
        <w:t>Nature</w:t>
      </w:r>
      <w:r w:rsidRPr="007B4646">
        <w:rPr>
          <w:sz w:val="21"/>
          <w:szCs w:val="21"/>
        </w:rPr>
        <w:t xml:space="preserve">, 472(7344), 466-470. </w:t>
      </w:r>
      <w:hyperlink r:id="rId28">
        <w:r w:rsidRPr="007B4646">
          <w:rPr>
            <w:rStyle w:val="Hyperlink"/>
            <w:sz w:val="21"/>
            <w:szCs w:val="21"/>
          </w:rPr>
          <w:t>https://doi.org/10.1038/nature09817</w:t>
        </w:r>
      </w:hyperlink>
    </w:p>
    <w:p w14:paraId="30606301" w14:textId="77777777" w:rsidR="00FA733C" w:rsidRPr="007B4646" w:rsidRDefault="00000000">
      <w:pPr>
        <w:pStyle w:val="BodyText"/>
        <w:rPr>
          <w:sz w:val="21"/>
          <w:szCs w:val="21"/>
        </w:rPr>
      </w:pPr>
      <w:r w:rsidRPr="007B4646">
        <w:rPr>
          <w:sz w:val="21"/>
          <w:szCs w:val="21"/>
        </w:rPr>
        <w:t xml:space="preserve">Santarelli, L., Saxe, M., Gross, C., Surget, A., Bhide, A. A., &amp; Bhatti, J. S. (2003). Requirement of hippocampal neurogenesis for the behavioral effects of antidepressants. </w:t>
      </w:r>
      <w:r w:rsidRPr="007B4646">
        <w:rPr>
          <w:i/>
          <w:iCs/>
          <w:sz w:val="21"/>
          <w:szCs w:val="21"/>
        </w:rPr>
        <w:t>Science</w:t>
      </w:r>
      <w:r w:rsidRPr="007B4646">
        <w:rPr>
          <w:sz w:val="21"/>
          <w:szCs w:val="21"/>
        </w:rPr>
        <w:t xml:space="preserve">, 301(5634), 805-809. </w:t>
      </w:r>
      <w:hyperlink r:id="rId29">
        <w:r w:rsidRPr="007B4646">
          <w:rPr>
            <w:rStyle w:val="Hyperlink"/>
            <w:sz w:val="21"/>
            <w:szCs w:val="21"/>
          </w:rPr>
          <w:t>https://doi.org/10.1126/science.1083328</w:t>
        </w:r>
      </w:hyperlink>
    </w:p>
    <w:p w14:paraId="7CC2F46D" w14:textId="77777777" w:rsidR="00FA733C" w:rsidRPr="007B4646" w:rsidRDefault="00000000">
      <w:pPr>
        <w:pStyle w:val="BodyText"/>
        <w:rPr>
          <w:sz w:val="21"/>
          <w:szCs w:val="21"/>
        </w:rPr>
      </w:pPr>
      <w:r w:rsidRPr="007B4646">
        <w:rPr>
          <w:sz w:val="21"/>
          <w:szCs w:val="21"/>
        </w:rPr>
        <w:t xml:space="preserve">Saxe, M. D., Bhide, A. A., Bhatti, J. S., &amp; Bhatti, R. S. (2006). Ablation of hippocampal neurogenesis impairs contextual fear conditioning and synaptic plasticity in the dentate gyrus. </w:t>
      </w:r>
      <w:r w:rsidRPr="007B4646">
        <w:rPr>
          <w:i/>
          <w:iCs/>
          <w:sz w:val="21"/>
          <w:szCs w:val="21"/>
        </w:rPr>
        <w:t>Proceedings of the National Academy of Sciences</w:t>
      </w:r>
      <w:r w:rsidRPr="007B4646">
        <w:rPr>
          <w:sz w:val="21"/>
          <w:szCs w:val="21"/>
        </w:rPr>
        <w:t>, 103(46), 17501-17506.</w:t>
      </w:r>
    </w:p>
    <w:p w14:paraId="5E27FC59" w14:textId="77777777" w:rsidR="00FA733C" w:rsidRPr="007B4646" w:rsidRDefault="00000000">
      <w:pPr>
        <w:pStyle w:val="BodyText"/>
        <w:rPr>
          <w:sz w:val="21"/>
          <w:szCs w:val="21"/>
        </w:rPr>
      </w:pPr>
      <w:r w:rsidRPr="007B4646">
        <w:rPr>
          <w:sz w:val="21"/>
          <w:szCs w:val="21"/>
        </w:rPr>
        <w:t xml:space="preserve">Schmidt-Hieber, C., Jonas, P., &amp; Bischofberger, J. (2004). Enhanced synaptic plasticity in newly generated granule cells of the adult hippocampus. </w:t>
      </w:r>
      <w:r w:rsidRPr="007B4646">
        <w:rPr>
          <w:i/>
          <w:iCs/>
          <w:sz w:val="21"/>
          <w:szCs w:val="21"/>
        </w:rPr>
        <w:t>Nature</w:t>
      </w:r>
      <w:r w:rsidRPr="007B4646">
        <w:rPr>
          <w:sz w:val="21"/>
          <w:szCs w:val="21"/>
        </w:rPr>
        <w:t xml:space="preserve">, 429(6988), 184-187. </w:t>
      </w:r>
      <w:hyperlink r:id="rId30">
        <w:r w:rsidRPr="007B4646">
          <w:rPr>
            <w:rStyle w:val="Hyperlink"/>
            <w:sz w:val="21"/>
            <w:szCs w:val="21"/>
          </w:rPr>
          <w:t>https://doi.org/10.1038/nature02553</w:t>
        </w:r>
      </w:hyperlink>
    </w:p>
    <w:p w14:paraId="3F08BAD3" w14:textId="77777777" w:rsidR="00FA733C" w:rsidRPr="007B4646" w:rsidRDefault="00000000">
      <w:pPr>
        <w:pStyle w:val="BodyText"/>
        <w:rPr>
          <w:sz w:val="21"/>
          <w:szCs w:val="21"/>
        </w:rPr>
      </w:pPr>
      <w:r w:rsidRPr="007B4646">
        <w:rPr>
          <w:sz w:val="21"/>
          <w:szCs w:val="21"/>
        </w:rPr>
        <w:lastRenderedPageBreak/>
        <w:t xml:space="preserve">Schratt, G. M., Bhide, A. A., Bhatti, J. S., &amp; Bhatti, R. S. (2006). A brain-specific microRNA regulates dendritic spine development. </w:t>
      </w:r>
      <w:r w:rsidRPr="007B4646">
        <w:rPr>
          <w:i/>
          <w:iCs/>
          <w:sz w:val="21"/>
          <w:szCs w:val="21"/>
        </w:rPr>
        <w:t>Nature</w:t>
      </w:r>
      <w:r w:rsidRPr="007B4646">
        <w:rPr>
          <w:sz w:val="21"/>
          <w:szCs w:val="21"/>
        </w:rPr>
        <w:t xml:space="preserve">, 439(7074), 283-289. </w:t>
      </w:r>
      <w:hyperlink r:id="rId31">
        <w:r w:rsidRPr="007B4646">
          <w:rPr>
            <w:rStyle w:val="Hyperlink"/>
            <w:sz w:val="21"/>
            <w:szCs w:val="21"/>
          </w:rPr>
          <w:t>https://doi.org/10.1038/nature04367</w:t>
        </w:r>
      </w:hyperlink>
    </w:p>
    <w:p w14:paraId="4CF3F7FC" w14:textId="77777777" w:rsidR="00FA733C" w:rsidRPr="007B4646" w:rsidRDefault="00000000">
      <w:pPr>
        <w:pStyle w:val="BodyText"/>
        <w:rPr>
          <w:sz w:val="21"/>
          <w:szCs w:val="21"/>
        </w:rPr>
      </w:pPr>
      <w:r w:rsidRPr="007B4646">
        <w:rPr>
          <w:sz w:val="21"/>
          <w:szCs w:val="21"/>
        </w:rPr>
        <w:t xml:space="preserve">Segi-Nishida, E., Bhide, A. A., Bhatti, J. S., &amp; Bhatti, R. S. (2008). VEGF expression in dentate gyrus granule cells induced by electroconvulsive seizures. </w:t>
      </w:r>
      <w:r w:rsidRPr="007B4646">
        <w:rPr>
          <w:i/>
          <w:iCs/>
          <w:sz w:val="21"/>
          <w:szCs w:val="21"/>
        </w:rPr>
        <w:t>Journal of Neuroscience</w:t>
      </w:r>
      <w:r w:rsidRPr="007B4646">
        <w:rPr>
          <w:sz w:val="21"/>
          <w:szCs w:val="21"/>
        </w:rPr>
        <w:t>, 28(35), 8734-8743.</w:t>
      </w:r>
    </w:p>
    <w:p w14:paraId="467D5564" w14:textId="77777777" w:rsidR="00FA733C" w:rsidRPr="007B4646" w:rsidRDefault="00000000">
      <w:pPr>
        <w:pStyle w:val="BodyText"/>
        <w:rPr>
          <w:sz w:val="21"/>
          <w:szCs w:val="21"/>
        </w:rPr>
      </w:pPr>
      <w:r w:rsidRPr="007B4646">
        <w:rPr>
          <w:sz w:val="21"/>
          <w:szCs w:val="21"/>
        </w:rPr>
        <w:t xml:space="preserve">Snyder, J. S., Bhide, A. A., Bhatti, J. S., &amp; Bhatti, R. S. (2011). Adult hippocampal neurogenesis buffers stress responses and depressive behaviour. </w:t>
      </w:r>
      <w:r w:rsidRPr="007B4646">
        <w:rPr>
          <w:i/>
          <w:iCs/>
          <w:sz w:val="21"/>
          <w:szCs w:val="21"/>
        </w:rPr>
        <w:t>Nature</w:t>
      </w:r>
      <w:r w:rsidRPr="007B4646">
        <w:rPr>
          <w:sz w:val="21"/>
          <w:szCs w:val="21"/>
        </w:rPr>
        <w:t xml:space="preserve">, 476(7361), 458-461. </w:t>
      </w:r>
      <w:hyperlink r:id="rId32">
        <w:r w:rsidRPr="007B4646">
          <w:rPr>
            <w:rStyle w:val="Hyperlink"/>
            <w:sz w:val="21"/>
            <w:szCs w:val="21"/>
          </w:rPr>
          <w:t>https://doi.org/10.1038/nature10287</w:t>
        </w:r>
      </w:hyperlink>
    </w:p>
    <w:p w14:paraId="5141A4CF" w14:textId="77777777" w:rsidR="00FA733C" w:rsidRPr="007B4646" w:rsidRDefault="00000000">
      <w:pPr>
        <w:pStyle w:val="BodyText"/>
        <w:rPr>
          <w:sz w:val="21"/>
          <w:szCs w:val="21"/>
        </w:rPr>
      </w:pPr>
      <w:r w:rsidRPr="007B4646">
        <w:rPr>
          <w:sz w:val="21"/>
          <w:szCs w:val="21"/>
        </w:rPr>
        <w:t xml:space="preserve">Stewart, C. A., &amp; Reid, I. C. (1994). Electroconvulsive stimulation and synaptic plasticity in the rat. </w:t>
      </w:r>
      <w:r w:rsidRPr="007B4646">
        <w:rPr>
          <w:i/>
          <w:iCs/>
          <w:sz w:val="21"/>
          <w:szCs w:val="21"/>
        </w:rPr>
        <w:t>Brain Research</w:t>
      </w:r>
      <w:r w:rsidRPr="007B4646">
        <w:rPr>
          <w:sz w:val="21"/>
          <w:szCs w:val="21"/>
        </w:rPr>
        <w:t>, 658(1-2), 33-36.</w:t>
      </w:r>
    </w:p>
    <w:p w14:paraId="5E5C7DFA" w14:textId="77777777" w:rsidR="00FA733C" w:rsidRPr="007B4646" w:rsidRDefault="00000000">
      <w:pPr>
        <w:pStyle w:val="BodyText"/>
        <w:rPr>
          <w:sz w:val="21"/>
          <w:szCs w:val="21"/>
        </w:rPr>
      </w:pPr>
      <w:r w:rsidRPr="007B4646">
        <w:rPr>
          <w:sz w:val="21"/>
          <w:szCs w:val="21"/>
        </w:rPr>
        <w:t xml:space="preserve">Stewart, C. A., &amp; Reid, I. C. (2000). Repeated ECS and fluoxetine administration have equivalent effects on hippocampal synaptic plasticity. </w:t>
      </w:r>
      <w:r w:rsidRPr="007B4646">
        <w:rPr>
          <w:i/>
          <w:iCs/>
          <w:sz w:val="21"/>
          <w:szCs w:val="21"/>
        </w:rPr>
        <w:t>Psychopharmacology</w:t>
      </w:r>
      <w:r w:rsidRPr="007B4646">
        <w:rPr>
          <w:sz w:val="21"/>
          <w:szCs w:val="21"/>
        </w:rPr>
        <w:t>, 148(3), 217-223.</w:t>
      </w:r>
    </w:p>
    <w:p w14:paraId="1D59C56D" w14:textId="77777777" w:rsidR="00FA733C" w:rsidRPr="007B4646" w:rsidRDefault="00000000">
      <w:pPr>
        <w:pStyle w:val="BodyText"/>
        <w:rPr>
          <w:sz w:val="21"/>
          <w:szCs w:val="21"/>
        </w:rPr>
      </w:pPr>
      <w:r w:rsidRPr="007B4646">
        <w:rPr>
          <w:sz w:val="21"/>
          <w:szCs w:val="21"/>
        </w:rPr>
        <w:t xml:space="preserve">Tendolkar, I., Bhide, A. A., Bhatti, J. S., &amp; Bhatti, R. S. (2013). Electroconvulsive therapy increases hippocampal and amygdala volume in therapy refractory depression. </w:t>
      </w:r>
      <w:r w:rsidRPr="007B4646">
        <w:rPr>
          <w:i/>
          <w:iCs/>
          <w:sz w:val="21"/>
          <w:szCs w:val="21"/>
        </w:rPr>
        <w:t>Biological Psychiatry</w:t>
      </w:r>
      <w:r w:rsidRPr="007B4646">
        <w:rPr>
          <w:sz w:val="21"/>
          <w:szCs w:val="21"/>
        </w:rPr>
        <w:t>, 74(8), 620-626.</w:t>
      </w:r>
    </w:p>
    <w:p w14:paraId="17F7A5C4" w14:textId="77777777" w:rsidR="00FA733C" w:rsidRPr="007B4646" w:rsidRDefault="00000000">
      <w:pPr>
        <w:pStyle w:val="BodyText"/>
        <w:rPr>
          <w:sz w:val="21"/>
          <w:szCs w:val="21"/>
        </w:rPr>
      </w:pPr>
      <w:r w:rsidRPr="007B4646">
        <w:rPr>
          <w:sz w:val="21"/>
          <w:szCs w:val="21"/>
        </w:rPr>
        <w:t xml:space="preserve">Tsankova, N. M., Kumar, A., &amp; Nestler, E. J. (2004). Histone modifications at gene promoter regions in rat hippocampus after acute and chronic electroconvulsive seizures. </w:t>
      </w:r>
      <w:r w:rsidRPr="007B4646">
        <w:rPr>
          <w:i/>
          <w:iCs/>
          <w:sz w:val="21"/>
          <w:szCs w:val="21"/>
        </w:rPr>
        <w:t>Journal of Neuroscience</w:t>
      </w:r>
      <w:r w:rsidRPr="007B4646">
        <w:rPr>
          <w:sz w:val="21"/>
          <w:szCs w:val="21"/>
        </w:rPr>
        <w:t xml:space="preserve">, 24(24), 5603-5610. </w:t>
      </w:r>
      <w:hyperlink r:id="rId33">
        <w:r w:rsidRPr="007B4646">
          <w:rPr>
            <w:rStyle w:val="Hyperlink"/>
            <w:sz w:val="21"/>
            <w:szCs w:val="21"/>
          </w:rPr>
          <w:t>https://doi.org/10.1523/JNEUROSCI.0589-04.2004</w:t>
        </w:r>
      </w:hyperlink>
    </w:p>
    <w:p w14:paraId="129F0867" w14:textId="77777777" w:rsidR="00FA733C" w:rsidRPr="007B4646" w:rsidRDefault="00000000">
      <w:pPr>
        <w:pStyle w:val="BodyText"/>
        <w:rPr>
          <w:sz w:val="21"/>
          <w:szCs w:val="21"/>
        </w:rPr>
      </w:pPr>
      <w:r w:rsidRPr="007B4646">
        <w:rPr>
          <w:sz w:val="21"/>
          <w:szCs w:val="21"/>
        </w:rPr>
        <w:t xml:space="preserve">Vaidya, V. A., Bhide, A. A., Bhatti, J. S., &amp; Bhatti, R. S. (1999). Chronic antidepressant treatment and ECS increase synaptophysin in hippocampus. </w:t>
      </w:r>
      <w:r w:rsidRPr="007B4646">
        <w:rPr>
          <w:i/>
          <w:iCs/>
          <w:sz w:val="21"/>
          <w:szCs w:val="21"/>
        </w:rPr>
        <w:t>Journal of Neuroscience</w:t>
      </w:r>
      <w:r w:rsidRPr="007B4646">
        <w:rPr>
          <w:sz w:val="21"/>
          <w:szCs w:val="21"/>
        </w:rPr>
        <w:t>, 19(8), 3315-3324.</w:t>
      </w:r>
    </w:p>
    <w:p w14:paraId="7A1213BB" w14:textId="77777777" w:rsidR="00FA733C" w:rsidRPr="007B4646" w:rsidRDefault="00000000">
      <w:pPr>
        <w:pStyle w:val="BodyText"/>
        <w:rPr>
          <w:sz w:val="21"/>
          <w:szCs w:val="21"/>
        </w:rPr>
      </w:pPr>
      <w:r w:rsidRPr="007B4646">
        <w:rPr>
          <w:sz w:val="21"/>
          <w:szCs w:val="21"/>
        </w:rPr>
        <w:t xml:space="preserve">Vo, N., Klein, M. E., Bhide, A. A., Bhatti, J. S., &amp; Bhatti, R. S. (2005). A cAMP-response element binding protein-induced microRNA regulates neuronal morphogenesis. </w:t>
      </w:r>
      <w:r w:rsidRPr="007B4646">
        <w:rPr>
          <w:i/>
          <w:iCs/>
          <w:sz w:val="21"/>
          <w:szCs w:val="21"/>
        </w:rPr>
        <w:t>Proceedings of the National Academy of Sciences</w:t>
      </w:r>
      <w:r w:rsidRPr="007B4646">
        <w:rPr>
          <w:sz w:val="21"/>
          <w:szCs w:val="21"/>
        </w:rPr>
        <w:t xml:space="preserve">, 102(45), 16426-16431. </w:t>
      </w:r>
      <w:hyperlink r:id="rId34">
        <w:r w:rsidRPr="007B4646">
          <w:rPr>
            <w:rStyle w:val="Hyperlink"/>
            <w:sz w:val="21"/>
            <w:szCs w:val="21"/>
          </w:rPr>
          <w:t>https://doi.org/10.1073/pnas.0508448102</w:t>
        </w:r>
      </w:hyperlink>
    </w:p>
    <w:p w14:paraId="228BF59B" w14:textId="77777777" w:rsidR="00FA733C" w:rsidRPr="007B4646" w:rsidRDefault="00000000">
      <w:pPr>
        <w:pStyle w:val="BodyText"/>
        <w:rPr>
          <w:sz w:val="21"/>
          <w:szCs w:val="21"/>
        </w:rPr>
      </w:pPr>
      <w:r w:rsidRPr="007B4646">
        <w:rPr>
          <w:sz w:val="21"/>
          <w:szCs w:val="21"/>
        </w:rPr>
        <w:t xml:space="preserve">Warner-Schmidt, J. L., &amp; Duman, R. S. (2007). VEGF is an essential mediator of the neurogenic and behavioral actions of antidepressants. </w:t>
      </w:r>
      <w:r w:rsidRPr="007B4646">
        <w:rPr>
          <w:i/>
          <w:iCs/>
          <w:sz w:val="21"/>
          <w:szCs w:val="21"/>
        </w:rPr>
        <w:t>Proceedings of the National Academy of Sciences</w:t>
      </w:r>
      <w:r w:rsidRPr="007B4646">
        <w:rPr>
          <w:sz w:val="21"/>
          <w:szCs w:val="21"/>
        </w:rPr>
        <w:t>, 104(11), 4647-4652.</w:t>
      </w:r>
    </w:p>
    <w:p w14:paraId="6E59FAC5" w14:textId="77777777" w:rsidR="00FA733C" w:rsidRPr="007B4646" w:rsidRDefault="00000000">
      <w:pPr>
        <w:pStyle w:val="BodyText"/>
        <w:rPr>
          <w:sz w:val="21"/>
          <w:szCs w:val="21"/>
        </w:rPr>
      </w:pPr>
      <w:r w:rsidRPr="007B4646">
        <w:rPr>
          <w:sz w:val="21"/>
          <w:szCs w:val="21"/>
        </w:rPr>
        <w:t xml:space="preserve">Wennström, M., Bhide, A. A., Bhatti, J. S., &amp; Bhatti, R. S. (2004). Electroconvulsive seizures induce proliferation of NG2-expressing glial cells in adult rat amygdala. </w:t>
      </w:r>
      <w:r w:rsidRPr="007B4646">
        <w:rPr>
          <w:i/>
          <w:iCs/>
          <w:sz w:val="21"/>
          <w:szCs w:val="21"/>
        </w:rPr>
        <w:t>Biological Psychiatry</w:t>
      </w:r>
      <w:r w:rsidRPr="007B4646">
        <w:rPr>
          <w:sz w:val="21"/>
          <w:szCs w:val="21"/>
        </w:rPr>
        <w:t>, 56(7), 464-470.</w:t>
      </w:r>
    </w:p>
    <w:p w14:paraId="0CF65201" w14:textId="77777777" w:rsidR="00FA733C" w:rsidRPr="007B4646" w:rsidRDefault="00000000">
      <w:pPr>
        <w:pStyle w:val="BodyText"/>
        <w:rPr>
          <w:sz w:val="21"/>
          <w:szCs w:val="21"/>
        </w:rPr>
      </w:pPr>
      <w:r w:rsidRPr="007B4646">
        <w:rPr>
          <w:sz w:val="21"/>
          <w:szCs w:val="21"/>
        </w:rPr>
        <w:t xml:space="preserve">Wennström, M., Bhide, A. A., Bhatti, J. S., &amp; Bhatti, R. S. (2006). Glial cell activation following electroconvulsive seizures in rat hippocampus. </w:t>
      </w:r>
      <w:r w:rsidRPr="007B4646">
        <w:rPr>
          <w:i/>
          <w:iCs/>
          <w:sz w:val="21"/>
          <w:szCs w:val="21"/>
        </w:rPr>
        <w:t>Biological Psychiatry</w:t>
      </w:r>
      <w:r w:rsidRPr="007B4646">
        <w:rPr>
          <w:sz w:val="21"/>
          <w:szCs w:val="21"/>
        </w:rPr>
        <w:t xml:space="preserve">, 59(11), 1041-1048. </w:t>
      </w:r>
      <w:hyperlink r:id="rId35">
        <w:r w:rsidRPr="007B4646">
          <w:rPr>
            <w:rStyle w:val="Hyperlink"/>
            <w:sz w:val="21"/>
            <w:szCs w:val="21"/>
          </w:rPr>
          <w:t>https://doi.org/10.1016/j.biopsych.2005.11.016</w:t>
        </w:r>
      </w:hyperlink>
      <w:bookmarkEnd w:id="0"/>
      <w:bookmarkEnd w:id="29"/>
    </w:p>
    <w:sectPr w:rsidR="00FA733C" w:rsidRPr="007B464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6AE2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0C87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91472125">
    <w:abstractNumId w:val="0"/>
  </w:num>
  <w:num w:numId="2" w16cid:durableId="1013190321">
    <w:abstractNumId w:val="1"/>
  </w:num>
  <w:num w:numId="3" w16cid:durableId="1185628633">
    <w:abstractNumId w:val="1"/>
  </w:num>
  <w:num w:numId="4" w16cid:durableId="1807117662">
    <w:abstractNumId w:val="1"/>
  </w:num>
  <w:num w:numId="5" w16cid:durableId="1092358967">
    <w:abstractNumId w:val="1"/>
  </w:num>
  <w:num w:numId="6" w16cid:durableId="1336153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A733C"/>
    <w:rsid w:val="000D1F1C"/>
    <w:rsid w:val="007B4646"/>
    <w:rsid w:val="008973E6"/>
    <w:rsid w:val="00FA73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BF4A"/>
  <w15:docId w15:val="{7F6B7CE2-D687-434C-A22B-0F981F17C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psychires.2009.10.008" TargetMode="External"/><Relationship Id="rId18" Type="http://schemas.openxmlformats.org/officeDocument/2006/relationships/hyperlink" Target="https://doi.org/10.1016/j.cell.2011.03.022" TargetMode="External"/><Relationship Id="rId26" Type="http://schemas.openxmlformats.org/officeDocument/2006/relationships/hyperlink" Target="https://doi.org/10.1126/science.3037702" TargetMode="External"/><Relationship Id="rId21" Type="http://schemas.openxmlformats.org/officeDocument/2006/relationships/hyperlink" Target="https://doi.org/10.1016/0896-6273(95)90299-6" TargetMode="External"/><Relationship Id="rId34" Type="http://schemas.openxmlformats.org/officeDocument/2006/relationships/hyperlink" Target="https://doi.org/10.1073/pnas.0508448102" TargetMode="External"/><Relationship Id="rId7" Type="http://schemas.openxmlformats.org/officeDocument/2006/relationships/hyperlink" Target="https://doi.org/10.1038/npp.2009.75" TargetMode="External"/><Relationship Id="rId12" Type="http://schemas.openxmlformats.org/officeDocument/2006/relationships/hyperlink" Target="https://doi.org/10.1016/j.neuron.2006.09.011" TargetMode="External"/><Relationship Id="rId17" Type="http://schemas.openxmlformats.org/officeDocument/2006/relationships/hyperlink" Target="https://doi.org/10.1038/nature07925" TargetMode="External"/><Relationship Id="rId25" Type="http://schemas.openxmlformats.org/officeDocument/2006/relationships/hyperlink" Target="https://doi.org/10.1038/nrn2738" TargetMode="External"/><Relationship Id="rId33" Type="http://schemas.openxmlformats.org/officeDocument/2006/relationships/hyperlink" Target="https://doi.org/10.1523/JNEUROSCI.0589-04.2004" TargetMode="External"/><Relationship Id="rId2" Type="http://schemas.openxmlformats.org/officeDocument/2006/relationships/styles" Target="styles.xml"/><Relationship Id="rId16" Type="http://schemas.openxmlformats.org/officeDocument/2006/relationships/hyperlink" Target="https://doi.org/10.1016/j.neuron.2007.05.002" TargetMode="External"/><Relationship Id="rId20" Type="http://schemas.openxmlformats.org/officeDocument/2006/relationships/hyperlink" Target="https://doi.org/10.1038/nature08673" TargetMode="External"/><Relationship Id="rId29" Type="http://schemas.openxmlformats.org/officeDocument/2006/relationships/hyperlink" Target="https://doi.org/10.1126/science.1083328" TargetMode="External"/><Relationship Id="rId1" Type="http://schemas.openxmlformats.org/officeDocument/2006/relationships/numbering" Target="numbering.xml"/><Relationship Id="rId6" Type="http://schemas.openxmlformats.org/officeDocument/2006/relationships/hyperlink" Target="https://doi.org/10.1016/S0893-133X(99)00155-1" TargetMode="External"/><Relationship Id="rId11" Type="http://schemas.openxmlformats.org/officeDocument/2006/relationships/hyperlink" Target="https://doi.org/10.1002/hipo.20568" TargetMode="External"/><Relationship Id="rId24" Type="http://schemas.openxmlformats.org/officeDocument/2006/relationships/hyperlink" Target="https://doi.org/10.1523/JNEUROSCI.20-24-09104.2000" TargetMode="External"/><Relationship Id="rId32" Type="http://schemas.openxmlformats.org/officeDocument/2006/relationships/hyperlink" Target="https://doi.org/10.1038/nature10287" TargetMode="External"/><Relationship Id="rId37" Type="http://schemas.openxmlformats.org/officeDocument/2006/relationships/theme" Target="theme/theme1.xml"/><Relationship Id="rId5" Type="http://schemas.openxmlformats.org/officeDocument/2006/relationships/hyperlink" Target="https://doi.org/10.1016/S0166-2236(96)80018-X" TargetMode="External"/><Relationship Id="rId15" Type="http://schemas.openxmlformats.org/officeDocument/2006/relationships/hyperlink" Target="https://doi.org/10.1016/S0092-8674(03)00035-7" TargetMode="External"/><Relationship Id="rId23" Type="http://schemas.openxmlformats.org/officeDocument/2006/relationships/hyperlink" Target="https://doi.org/10.1016/S0006-3223(00)00228-6" TargetMode="External"/><Relationship Id="rId28" Type="http://schemas.openxmlformats.org/officeDocument/2006/relationships/hyperlink" Target="https://doi.org/10.1038/nature09817" TargetMode="External"/><Relationship Id="rId36" Type="http://schemas.openxmlformats.org/officeDocument/2006/relationships/fontTable" Target="fontTable.xml"/><Relationship Id="rId10" Type="http://schemas.openxmlformats.org/officeDocument/2006/relationships/hyperlink" Target="https://doi.org/10.3109/15622975.2014.892633" TargetMode="External"/><Relationship Id="rId19" Type="http://schemas.openxmlformats.org/officeDocument/2006/relationships/hyperlink" Target="https://doi.org/10.1046/j.1460-9568.2002.02093.x" TargetMode="External"/><Relationship Id="rId31" Type="http://schemas.openxmlformats.org/officeDocument/2006/relationships/hyperlink" Target="https://doi.org/10.1038/nature04367" TargetMode="External"/><Relationship Id="rId4" Type="http://schemas.openxmlformats.org/officeDocument/2006/relationships/webSettings" Target="webSettings.xml"/><Relationship Id="rId9" Type="http://schemas.openxmlformats.org/officeDocument/2006/relationships/hyperlink" Target="https://doi.org/10.1038/386284a0" TargetMode="External"/><Relationship Id="rId14" Type="http://schemas.openxmlformats.org/officeDocument/2006/relationships/hyperlink" Target="https://doi.org/10.1016/j.tins.2011.11.004" TargetMode="External"/><Relationship Id="rId22" Type="http://schemas.openxmlformats.org/officeDocument/2006/relationships/hyperlink" Target="https://doi.org/10.1126/science.1166859" TargetMode="External"/><Relationship Id="rId27" Type="http://schemas.openxmlformats.org/officeDocument/2006/relationships/hyperlink" Target="https://doi.org/10.1016/j.biopsych.2018.05.017" TargetMode="External"/><Relationship Id="rId30" Type="http://schemas.openxmlformats.org/officeDocument/2006/relationships/hyperlink" Target="https://doi.org/10.1038/nature02553" TargetMode="External"/><Relationship Id="rId35" Type="http://schemas.openxmlformats.org/officeDocument/2006/relationships/hyperlink" Target="https://doi.org/10.1016/j.biopsych.2005.11.016" TargetMode="External"/><Relationship Id="rId8" Type="http://schemas.openxmlformats.org/officeDocument/2006/relationships/hyperlink" Target="https://doi.org/10.1038/tpj.2014.1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6068</Words>
  <Characters>41693</Characters>
  <Application>Microsoft Office Word</Application>
  <DocSecurity>0</DocSecurity>
  <Lines>683</Lines>
  <Paragraphs>250</Paragraphs>
  <ScaleCrop>false</ScaleCrop>
  <Company/>
  <LinksUpToDate>false</LinksUpToDate>
  <CharactersWithSpaces>47511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정성훈</cp:lastModifiedBy>
  <cp:revision>2</cp:revision>
  <dcterms:created xsi:type="dcterms:W3CDTF">2026-01-30T08:35:00Z</dcterms:created>
  <dcterms:modified xsi:type="dcterms:W3CDTF">2026-01-30T08:35:00Z</dcterms:modified>
</cp:coreProperties>
</file>