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A9D4F" w14:textId="77777777" w:rsidR="000215AE" w:rsidRPr="00AC57D5" w:rsidRDefault="00167558">
      <w:pPr>
        <w:pStyle w:val="Heading1"/>
        <w:spacing w:before="0" w:after="120" w:line="275" w:lineRule="auto"/>
        <w:rPr>
          <w:rFonts w:ascii="Google Sans" w:eastAsia="Google Sans" w:hAnsi="Google Sans" w:cs="Google Sans"/>
          <w:color w:val="1F1F1F"/>
          <w:sz w:val="40"/>
          <w:szCs w:val="40"/>
        </w:rPr>
      </w:pPr>
      <w:r w:rsidRPr="00AC57D5">
        <w:rPr>
          <w:rFonts w:ascii="Google Sans" w:eastAsia="Google Sans" w:hAnsi="Google Sans" w:cs="Google Sans"/>
          <w:color w:val="1F1F1F"/>
          <w:sz w:val="40"/>
          <w:szCs w:val="40"/>
        </w:rPr>
        <w:t>Therapeutic Interaction Between Electroconvulsive Therapy and Psychotropic Medications: Mechanisms, Theoretical Frameworks, and Clinical Strategy</w:t>
      </w:r>
    </w:p>
    <w:p w14:paraId="66E1DD94" w14:textId="77777777" w:rsidR="000215AE" w:rsidRPr="00AC57D5" w:rsidRDefault="00167558">
      <w:pPr>
        <w:pStyle w:val="Heading2"/>
        <w:spacing w:before="0" w:after="120" w:line="275" w:lineRule="auto"/>
        <w:rPr>
          <w:rFonts w:ascii="Google Sans" w:eastAsia="Google Sans" w:hAnsi="Google Sans" w:cs="Google Sans"/>
          <w:color w:val="1F1F1F"/>
          <w:sz w:val="28"/>
          <w:szCs w:val="28"/>
        </w:rPr>
      </w:pPr>
      <w:r w:rsidRPr="00AC57D5">
        <w:rPr>
          <w:rFonts w:ascii="Google Sans" w:eastAsia="Google Sans" w:hAnsi="Google Sans" w:cs="Google Sans"/>
          <w:color w:val="1F1F1F"/>
          <w:sz w:val="28"/>
          <w:szCs w:val="28"/>
        </w:rPr>
        <w:t>Introduction</w:t>
      </w:r>
    </w:p>
    <w:p w14:paraId="01FE569A" w14:textId="77777777" w:rsidR="000215AE" w:rsidRPr="00AC57D5" w:rsidRDefault="00167558">
      <w:pPr>
        <w:pBdr>
          <w:top w:val="nil"/>
          <w:left w:val="nil"/>
          <w:bottom w:val="nil"/>
          <w:right w:val="nil"/>
          <w:between w:val="nil"/>
        </w:pBdr>
        <w:spacing w:after="240" w:line="275" w:lineRule="auto"/>
        <w:rPr>
          <w:rFonts w:ascii="Google Sans Text" w:eastAsia="Google Sans Text" w:hAnsi="Google Sans Text" w:cs="Google Sans Text"/>
          <w:color w:val="444746"/>
          <w:sz w:val="21"/>
          <w:szCs w:val="21"/>
          <w:vertAlign w:val="superscript"/>
        </w:rPr>
      </w:pPr>
      <w:r w:rsidRPr="00AC57D5">
        <w:rPr>
          <w:rFonts w:ascii="Google Sans Text" w:eastAsia="Google Sans Text" w:hAnsi="Google Sans Text" w:cs="Google Sans Text"/>
          <w:color w:val="1F1F1F"/>
          <w:sz w:val="20"/>
          <w:szCs w:val="20"/>
        </w:rPr>
        <w:t>Electroconvulsive therapy (ECT) occupies a singular position in the psychiatric armamentarium as the most efficacious biological treatment for severe, treatment-resistant depression (TRD), catatonia, and refractory psychosis.</w:t>
      </w:r>
      <w:r w:rsidRPr="00AC57D5">
        <w:rPr>
          <w:rFonts w:ascii="Google Sans Text" w:eastAsia="Google Sans Text" w:hAnsi="Google Sans Text" w:cs="Google Sans Text"/>
          <w:color w:val="444746"/>
          <w:sz w:val="21"/>
          <w:szCs w:val="21"/>
          <w:vertAlign w:val="superscript"/>
        </w:rPr>
        <w:t>1</w:t>
      </w:r>
      <w:r w:rsidRPr="00AC57D5">
        <w:rPr>
          <w:rFonts w:ascii="Google Sans Text" w:eastAsia="Google Sans Text" w:hAnsi="Google Sans Text" w:cs="Google Sans Text"/>
          <w:color w:val="1F1F1F"/>
          <w:sz w:val="20"/>
          <w:szCs w:val="20"/>
        </w:rPr>
        <w:t xml:space="preserve"> Historically, the administration of ECT was characterized by a "purist" approach, wherein psychotropic medications were frequently discontinued—or "washed out"—prior to the initiation of the seizure course to avoid potential adverse interactions or physiological confounding.</w:t>
      </w:r>
      <w:r w:rsidRPr="00AC57D5">
        <w:rPr>
          <w:rFonts w:ascii="Google Sans Text" w:eastAsia="Google Sans Text" w:hAnsi="Google Sans Text" w:cs="Google Sans Text"/>
          <w:color w:val="444746"/>
          <w:sz w:val="21"/>
          <w:szCs w:val="21"/>
          <w:vertAlign w:val="superscript"/>
        </w:rPr>
        <w:t>4</w:t>
      </w:r>
      <w:r w:rsidRPr="00AC57D5">
        <w:rPr>
          <w:rFonts w:ascii="Google Sans Text" w:eastAsia="Google Sans Text" w:hAnsi="Google Sans Text" w:cs="Google Sans Text"/>
          <w:color w:val="1F1F1F"/>
          <w:sz w:val="20"/>
          <w:szCs w:val="20"/>
        </w:rPr>
        <w:t xml:space="preserve"> However, the contemporary clinical landscape has shifted dramatically toward a paradigm of "combined neuromodulation," where ECT is superimposed upon complex, often polypharmaceutical regimens.</w:t>
      </w:r>
      <w:r w:rsidRPr="00AC57D5">
        <w:rPr>
          <w:rFonts w:ascii="Google Sans Text" w:eastAsia="Google Sans Text" w:hAnsi="Google Sans Text" w:cs="Google Sans Text"/>
          <w:color w:val="444746"/>
          <w:sz w:val="21"/>
          <w:szCs w:val="21"/>
          <w:vertAlign w:val="superscript"/>
        </w:rPr>
        <w:t>6</w:t>
      </w:r>
      <w:r w:rsidRPr="00AC57D5">
        <w:rPr>
          <w:rFonts w:ascii="Google Sans Text" w:eastAsia="Google Sans Text" w:hAnsi="Google Sans Text" w:cs="Google Sans Text"/>
          <w:color w:val="1F1F1F"/>
          <w:sz w:val="20"/>
          <w:szCs w:val="20"/>
        </w:rPr>
        <w:t xml:space="preserve"> This evolution is driven by the necess</w:t>
      </w:r>
      <w:r w:rsidRPr="00AC57D5">
        <w:rPr>
          <w:rFonts w:ascii="Google Sans Text" w:eastAsia="Google Sans Text" w:hAnsi="Google Sans Text" w:cs="Google Sans Text"/>
          <w:color w:val="1F1F1F"/>
          <w:sz w:val="20"/>
          <w:szCs w:val="20"/>
        </w:rPr>
        <w:t>ity to treat increasingly resistant pathology, the desire to prevent relapse immediately post-course, and the recognition that certain pharmacological agents may synergistically enhance the neurobiological effects of the electrical stimulus.</w:t>
      </w:r>
      <w:r w:rsidRPr="00AC57D5">
        <w:rPr>
          <w:rFonts w:ascii="Google Sans Text" w:eastAsia="Google Sans Text" w:hAnsi="Google Sans Text" w:cs="Google Sans Text"/>
          <w:color w:val="444746"/>
          <w:sz w:val="21"/>
          <w:szCs w:val="21"/>
          <w:vertAlign w:val="superscript"/>
        </w:rPr>
        <w:t>8</w:t>
      </w:r>
    </w:p>
    <w:p w14:paraId="154D11A3" w14:textId="77777777" w:rsidR="000215AE" w:rsidRPr="00AC57D5" w:rsidRDefault="00167558">
      <w:pPr>
        <w:pBdr>
          <w:top w:val="nil"/>
          <w:left w:val="nil"/>
          <w:bottom w:val="nil"/>
          <w:right w:val="nil"/>
          <w:between w:val="nil"/>
        </w:pBdr>
        <w:spacing w:after="240" w:line="275" w:lineRule="auto"/>
        <w:rPr>
          <w:rFonts w:ascii="Google Sans Text" w:eastAsia="Google Sans Text" w:hAnsi="Google Sans Text" w:cs="Google Sans Text"/>
          <w:color w:val="444746"/>
          <w:sz w:val="21"/>
          <w:szCs w:val="21"/>
          <w:vertAlign w:val="superscript"/>
        </w:rPr>
      </w:pPr>
      <w:r w:rsidRPr="00AC57D5">
        <w:rPr>
          <w:rFonts w:ascii="Google Sans Text" w:eastAsia="Google Sans Text" w:hAnsi="Google Sans Text" w:cs="Google Sans Text"/>
          <w:color w:val="1F1F1F"/>
          <w:sz w:val="20"/>
          <w:szCs w:val="20"/>
        </w:rPr>
        <w:t>The intersection of electrical stimulation and pharmacology raises critical questions regarding efficacy, safety, and mechanism. Does the concurrent administration of benzodiazepines merely raise the seizure threshold, or does it fundamentally alter the "depth" of the therapeutic network reset? Can the neurotrophic surge induced by the seizure be sustained or amplified by the concurrent presence of monoaminergic antidepressants or glutamatergic modulators? Furthermore, emerging drug classes such as GLP-1 re</w:t>
      </w:r>
      <w:r w:rsidRPr="00AC57D5">
        <w:rPr>
          <w:rFonts w:ascii="Google Sans Text" w:eastAsia="Google Sans Text" w:hAnsi="Google Sans Text" w:cs="Google Sans Text"/>
          <w:color w:val="1F1F1F"/>
          <w:sz w:val="20"/>
          <w:szCs w:val="20"/>
        </w:rPr>
        <w:t>ceptor agonists present novel anesthetic challenges that require immediate updates to clinical guidelines.</w:t>
      </w:r>
      <w:r w:rsidRPr="00AC57D5">
        <w:rPr>
          <w:rFonts w:ascii="Google Sans Text" w:eastAsia="Google Sans Text" w:hAnsi="Google Sans Text" w:cs="Google Sans Text"/>
          <w:color w:val="444746"/>
          <w:sz w:val="21"/>
          <w:szCs w:val="21"/>
          <w:vertAlign w:val="superscript"/>
        </w:rPr>
        <w:t>11</w:t>
      </w:r>
    </w:p>
    <w:p w14:paraId="48AA5CD4" w14:textId="77777777" w:rsidR="000215AE" w:rsidRPr="00AC57D5" w:rsidRDefault="00167558">
      <w:pPr>
        <w:pBdr>
          <w:top w:val="nil"/>
          <w:left w:val="nil"/>
          <w:bottom w:val="nil"/>
          <w:right w:val="nil"/>
          <w:between w:val="nil"/>
        </w:pBdr>
        <w:spacing w:after="24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This report provides an exhaustive synthesis of the therapeutic interactions between ECT and psychotropic medications. It mirrors the structural logic of advanced TMS-medication interaction frameworks, extending those concepts to the generalized seizure. We explore the mechanisms of synaptic plasticity (Long-Term Potentiation/Depression), metaplasticity, and neurotrophic signaling (BDNF).</w:t>
      </w:r>
      <w:r w:rsidRPr="00AC57D5">
        <w:rPr>
          <w:rFonts w:ascii="Google Sans Text" w:eastAsia="Google Sans Text" w:hAnsi="Google Sans Text" w:cs="Google Sans Text"/>
          <w:color w:val="444746"/>
          <w:sz w:val="21"/>
          <w:szCs w:val="21"/>
          <w:vertAlign w:val="superscript"/>
        </w:rPr>
        <w:t>13</w:t>
      </w:r>
      <w:r w:rsidRPr="00AC57D5">
        <w:rPr>
          <w:rFonts w:ascii="Google Sans Text" w:eastAsia="Google Sans Text" w:hAnsi="Google Sans Text" w:cs="Google Sans Text"/>
          <w:color w:val="1F1F1F"/>
          <w:sz w:val="20"/>
          <w:szCs w:val="20"/>
        </w:rPr>
        <w:t xml:space="preserve"> We apply sophisticated theoretical models—specifically </w:t>
      </w:r>
      <w:r w:rsidRPr="00AC57D5">
        <w:rPr>
          <w:rFonts w:ascii="Google Sans Text" w:eastAsia="Google Sans Text" w:hAnsi="Google Sans Text" w:cs="Google Sans Text"/>
          <w:b/>
          <w:bCs/>
          <w:color w:val="1F1F1F"/>
          <w:sz w:val="20"/>
          <w:szCs w:val="20"/>
        </w:rPr>
        <w:t>Attractor Landscape Dynamics</w:t>
      </w:r>
      <w:r w:rsidRPr="00AC57D5">
        <w:rPr>
          <w:rFonts w:ascii="Google Sans Text" w:eastAsia="Google Sans Text" w:hAnsi="Google Sans Text" w:cs="Google Sans Text"/>
          <w:color w:val="1F1F1F"/>
          <w:sz w:val="20"/>
          <w:szCs w:val="20"/>
        </w:rPr>
        <w:t xml:space="preserve"> and </w:t>
      </w:r>
      <w:r w:rsidRPr="00AC57D5">
        <w:rPr>
          <w:rFonts w:ascii="Google Sans Text" w:eastAsia="Google Sans Text" w:hAnsi="Google Sans Text" w:cs="Google Sans Text"/>
          <w:b/>
          <w:bCs/>
          <w:color w:val="1F1F1F"/>
          <w:sz w:val="20"/>
          <w:szCs w:val="20"/>
        </w:rPr>
        <w:t>Network Control Theory</w:t>
      </w:r>
      <w:r w:rsidRPr="00AC57D5">
        <w:rPr>
          <w:rFonts w:ascii="Google Sans Text" w:eastAsia="Google Sans Text" w:hAnsi="Google Sans Text" w:cs="Google Sans Text"/>
          <w:color w:val="1F1F1F"/>
          <w:sz w:val="20"/>
          <w:szCs w:val="20"/>
        </w:rPr>
        <w:t>—to conceptualize how drugs and electricity jointly manipulate brain state transitions.</w:t>
      </w:r>
      <w:r w:rsidRPr="00AC57D5">
        <w:rPr>
          <w:rFonts w:ascii="Google Sans Text" w:eastAsia="Google Sans Text" w:hAnsi="Google Sans Text" w:cs="Google Sans Text"/>
          <w:color w:val="444746"/>
          <w:sz w:val="21"/>
          <w:szCs w:val="21"/>
          <w:vertAlign w:val="superscript"/>
        </w:rPr>
        <w:t>15</w:t>
      </w:r>
      <w:r w:rsidRPr="00AC57D5">
        <w:rPr>
          <w:rFonts w:ascii="Google Sans Text" w:eastAsia="Google Sans Text" w:hAnsi="Google Sans Text" w:cs="Google Sans Text"/>
          <w:color w:val="1F1F1F"/>
          <w:sz w:val="20"/>
          <w:szCs w:val="20"/>
        </w:rPr>
        <w:t xml:space="preserve"> Finally, the report culminates in a detailed </w:t>
      </w:r>
      <w:r w:rsidRPr="00AC57D5">
        <w:rPr>
          <w:rFonts w:ascii="Google Sans Text" w:eastAsia="Google Sans Text" w:hAnsi="Google Sans Text" w:cs="Google Sans Text"/>
          <w:b/>
          <w:bCs/>
          <w:color w:val="1F1F1F"/>
          <w:sz w:val="20"/>
          <w:szCs w:val="20"/>
        </w:rPr>
        <w:t>Clinical Implications and Treatment Strategy</w:t>
      </w:r>
      <w:r w:rsidRPr="00AC57D5">
        <w:rPr>
          <w:rFonts w:ascii="Google Sans Text" w:eastAsia="Google Sans Text" w:hAnsi="Google Sans Text" w:cs="Google Sans Text"/>
          <w:color w:val="1F1F1F"/>
          <w:sz w:val="20"/>
          <w:szCs w:val="20"/>
        </w:rPr>
        <w:t xml:space="preserve"> section, offering evidence-based, actionable guidance for the concurrent or sequential use of specific drug classes, dosing strategies, and safety protocols for 2025 and beyond.</w:t>
      </w:r>
    </w:p>
    <w:p w14:paraId="4AB80DDA" w14:textId="77777777" w:rsidR="000215AE" w:rsidRPr="00AC57D5" w:rsidRDefault="00167558">
      <w:pPr>
        <w:pStyle w:val="Heading2"/>
        <w:spacing w:before="0" w:after="120" w:line="275" w:lineRule="auto"/>
        <w:rPr>
          <w:rFonts w:ascii="Google Sans" w:eastAsia="Google Sans" w:hAnsi="Google Sans" w:cs="Google Sans"/>
          <w:color w:val="1F1F1F"/>
          <w:sz w:val="28"/>
          <w:szCs w:val="28"/>
        </w:rPr>
      </w:pPr>
      <w:r w:rsidRPr="00AC57D5">
        <w:rPr>
          <w:rFonts w:ascii="Google Sans" w:eastAsia="Google Sans" w:hAnsi="Google Sans" w:cs="Google Sans"/>
          <w:color w:val="1F1F1F"/>
          <w:sz w:val="28"/>
          <w:szCs w:val="28"/>
        </w:rPr>
        <w:t>Mechanisms of ECT-Induced Plasticity</w:t>
      </w:r>
    </w:p>
    <w:p w14:paraId="11F8400F" w14:textId="77777777" w:rsidR="000215AE" w:rsidRPr="00AC57D5" w:rsidRDefault="00167558">
      <w:pPr>
        <w:pBdr>
          <w:top w:val="nil"/>
          <w:left w:val="nil"/>
          <w:bottom w:val="nil"/>
          <w:right w:val="nil"/>
          <w:between w:val="nil"/>
        </w:pBdr>
        <w:spacing w:after="240" w:line="275" w:lineRule="auto"/>
        <w:rPr>
          <w:rFonts w:ascii="Google Sans Text" w:eastAsia="Google Sans Text" w:hAnsi="Google Sans Text" w:cs="Google Sans Text"/>
          <w:color w:val="444746"/>
          <w:sz w:val="21"/>
          <w:szCs w:val="21"/>
          <w:vertAlign w:val="superscript"/>
        </w:rPr>
      </w:pPr>
      <w:r w:rsidRPr="00AC57D5">
        <w:rPr>
          <w:rFonts w:ascii="Google Sans Text" w:eastAsia="Google Sans Text" w:hAnsi="Google Sans Text" w:cs="Google Sans Text"/>
          <w:color w:val="1F1F1F"/>
          <w:sz w:val="20"/>
          <w:szCs w:val="20"/>
        </w:rPr>
        <w:t>To understand how medications modulate ECT outcomes, one must first delineate the neurobiological cascade triggered by the therapeutic seizure. Unlike the focal, sub-convulsive stimulation of Transcranial Magnetic Stimulation (TMS), ECT induces a generalized discharge that recruits widespread thalamocortical and limbic networks, driving a massive, synchronous depolarization.</w:t>
      </w:r>
      <w:r w:rsidRPr="00AC57D5">
        <w:rPr>
          <w:rFonts w:ascii="Google Sans Text" w:eastAsia="Google Sans Text" w:hAnsi="Google Sans Text" w:cs="Google Sans Text"/>
          <w:color w:val="444746"/>
          <w:sz w:val="21"/>
          <w:szCs w:val="21"/>
          <w:vertAlign w:val="superscript"/>
        </w:rPr>
        <w:t>17</w:t>
      </w:r>
    </w:p>
    <w:p w14:paraId="7BBE4D72" w14:textId="77777777" w:rsidR="000215AE" w:rsidRPr="00AC57D5" w:rsidRDefault="00167558">
      <w:pPr>
        <w:pStyle w:val="Heading3"/>
        <w:spacing w:before="0" w:after="120" w:line="275" w:lineRule="auto"/>
        <w:rPr>
          <w:rFonts w:ascii="Google Sans" w:eastAsia="Google Sans" w:hAnsi="Google Sans" w:cs="Google Sans"/>
          <w:color w:val="1F1F1F"/>
          <w:sz w:val="22"/>
          <w:szCs w:val="22"/>
        </w:rPr>
      </w:pPr>
      <w:r w:rsidRPr="00AC57D5">
        <w:rPr>
          <w:rFonts w:ascii="Google Sans" w:eastAsia="Google Sans" w:hAnsi="Google Sans" w:cs="Google Sans"/>
          <w:color w:val="1F1F1F"/>
          <w:sz w:val="22"/>
          <w:szCs w:val="22"/>
        </w:rPr>
        <w:lastRenderedPageBreak/>
        <w:t>Synaptic Plasticity: LTP and LTD</w:t>
      </w:r>
    </w:p>
    <w:p w14:paraId="4EAE11FD" w14:textId="77777777" w:rsidR="000215AE" w:rsidRPr="00AC57D5" w:rsidRDefault="00167558">
      <w:pPr>
        <w:pBdr>
          <w:top w:val="nil"/>
          <w:left w:val="nil"/>
          <w:bottom w:val="nil"/>
          <w:right w:val="nil"/>
          <w:between w:val="nil"/>
        </w:pBdr>
        <w:spacing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The core of ECT’s antidepressant effect is hypothesized to be the induction of profound synaptic plasticity, particularly in the hippocampus and prefrontal cortex (PFC)—regions that demonstrate volumetric reduction and functional hypoactivity in severe depression.</w:t>
      </w:r>
      <w:r w:rsidRPr="00AC57D5">
        <w:rPr>
          <w:rFonts w:ascii="Google Sans Text" w:eastAsia="Google Sans Text" w:hAnsi="Google Sans Text" w:cs="Google Sans Text"/>
          <w:color w:val="444746"/>
          <w:sz w:val="21"/>
          <w:szCs w:val="21"/>
          <w:vertAlign w:val="superscript"/>
        </w:rPr>
        <w:t>13</w:t>
      </w:r>
      <w:r w:rsidRPr="00AC57D5">
        <w:rPr>
          <w:rFonts w:ascii="Google Sans Text" w:eastAsia="Google Sans Text" w:hAnsi="Google Sans Text" w:cs="Google Sans Text"/>
          <w:color w:val="1F1F1F"/>
          <w:sz w:val="20"/>
          <w:szCs w:val="20"/>
        </w:rPr>
        <w:t xml:space="preserve"> The seizure acts as a potent stimulus for Long-Term Potentiation (LTP), a strengthening of synapses that relies heavily on glutamatergic signaling.</w:t>
      </w:r>
    </w:p>
    <w:p w14:paraId="06F4EF41" w14:textId="77777777" w:rsidR="000215AE" w:rsidRPr="00AC57D5" w:rsidRDefault="00167558">
      <w:pPr>
        <w:numPr>
          <w:ilvl w:val="0"/>
          <w:numId w:val="1"/>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The Glutamate Surge:</w:t>
      </w:r>
      <w:r w:rsidRPr="00AC57D5">
        <w:rPr>
          <w:rFonts w:ascii="Google Sans Text" w:eastAsia="Google Sans Text" w:hAnsi="Google Sans Text" w:cs="Google Sans Text"/>
          <w:color w:val="1F1F1F"/>
          <w:sz w:val="20"/>
          <w:szCs w:val="20"/>
        </w:rPr>
        <w:t xml:space="preserve"> The initiation of the seizure triggers a massive release of glutamate, which activates AMPA receptors and subsequently recruits NMDA receptors. This calcium influx triggers downstream signaling pathways (e.g., MAPK/ERK, CaMKII) that result in structural remodeling, including dendritic spine growth and synaptogenesis.</w:t>
      </w:r>
      <w:r w:rsidRPr="00AC57D5">
        <w:rPr>
          <w:rFonts w:ascii="Google Sans Text" w:eastAsia="Google Sans Text" w:hAnsi="Google Sans Text" w:cs="Google Sans Text"/>
          <w:color w:val="444746"/>
          <w:sz w:val="21"/>
          <w:szCs w:val="21"/>
          <w:vertAlign w:val="superscript"/>
        </w:rPr>
        <w:t>14</w:t>
      </w:r>
    </w:p>
    <w:p w14:paraId="7D8B4A01" w14:textId="77777777" w:rsidR="000215AE" w:rsidRPr="00AC57D5" w:rsidRDefault="00167558">
      <w:pPr>
        <w:numPr>
          <w:ilvl w:val="0"/>
          <w:numId w:val="1"/>
        </w:numPr>
        <w:pBdr>
          <w:top w:val="nil"/>
          <w:left w:val="nil"/>
          <w:bottom w:val="nil"/>
          <w:right w:val="nil"/>
          <w:between w:val="nil"/>
        </w:pBdr>
        <w:spacing w:after="120" w:line="275" w:lineRule="auto"/>
        <w:rPr>
          <w:sz w:val="20"/>
          <w:szCs w:val="20"/>
        </w:rPr>
      </w:pPr>
      <w:r w:rsidRPr="00AC57D5">
        <w:rPr>
          <w:rFonts w:ascii="Google Sans Text" w:eastAsia="Google Sans Text" w:hAnsi="Google Sans Text" w:cs="Google Sans Text"/>
          <w:b/>
          <w:bCs/>
          <w:color w:val="1F1F1F"/>
          <w:sz w:val="20"/>
          <w:szCs w:val="20"/>
        </w:rPr>
        <w:t>Pharmacological Interface:</w:t>
      </w:r>
      <w:r w:rsidRPr="00AC57D5">
        <w:rPr>
          <w:rFonts w:ascii="Google Sans Text" w:eastAsia="Google Sans Text" w:hAnsi="Google Sans Text" w:cs="Google Sans Text"/>
          <w:color w:val="1F1F1F"/>
          <w:sz w:val="20"/>
          <w:szCs w:val="20"/>
        </w:rPr>
        <w:t xml:space="preserve"> Any medication that interferes with this glutamatergic cascade can theoretically blunt the therapeutic effect. For instance, strong </w:t>
      </w:r>
      <w:r w:rsidRPr="00AC57D5">
        <w:rPr>
          <w:rFonts w:ascii="Google Sans Text" w:eastAsia="Google Sans Text" w:hAnsi="Google Sans Text" w:cs="Google Sans Text"/>
          <w:b/>
          <w:bCs/>
          <w:color w:val="1F1F1F"/>
          <w:sz w:val="20"/>
          <w:szCs w:val="20"/>
        </w:rPr>
        <w:t>NMDA antagonists</w:t>
      </w:r>
      <w:r w:rsidRPr="00AC57D5">
        <w:rPr>
          <w:rFonts w:ascii="Google Sans Text" w:eastAsia="Google Sans Text" w:hAnsi="Google Sans Text" w:cs="Google Sans Text"/>
          <w:color w:val="1F1F1F"/>
          <w:sz w:val="20"/>
          <w:szCs w:val="20"/>
        </w:rPr>
        <w:t xml:space="preserve"> (like high-dose ketamine or memantine) might block the induction of LTP if present at sufficient concentrations during the seizure, although their role is nuanced by metaplasticity (discussed below).</w:t>
      </w:r>
      <w:r w:rsidRPr="00AC57D5">
        <w:rPr>
          <w:rFonts w:ascii="Google Sans Text" w:eastAsia="Google Sans Text" w:hAnsi="Google Sans Text" w:cs="Google Sans Text"/>
          <w:color w:val="444746"/>
          <w:sz w:val="21"/>
          <w:szCs w:val="21"/>
          <w:vertAlign w:val="superscript"/>
        </w:rPr>
        <w:t>21</w:t>
      </w:r>
      <w:r w:rsidRPr="00AC57D5">
        <w:rPr>
          <w:rFonts w:ascii="Google Sans Text" w:eastAsia="Google Sans Text" w:hAnsi="Google Sans Text" w:cs="Google Sans Text"/>
          <w:color w:val="1F1F1F"/>
          <w:sz w:val="20"/>
          <w:szCs w:val="20"/>
        </w:rPr>
        <w:t xml:space="preserve"> Conversely, drugs that enhance AMPA throughput or modulate glutamate recycling may facilitate this remodeling.</w:t>
      </w:r>
    </w:p>
    <w:p w14:paraId="63A30DCF" w14:textId="77777777" w:rsidR="000215AE" w:rsidRPr="00AC57D5" w:rsidRDefault="00167558">
      <w:pPr>
        <w:pStyle w:val="Heading3"/>
        <w:spacing w:after="120" w:line="275" w:lineRule="auto"/>
        <w:rPr>
          <w:rFonts w:ascii="Google Sans" w:eastAsia="Google Sans" w:hAnsi="Google Sans" w:cs="Google Sans"/>
          <w:color w:val="1F1F1F"/>
          <w:sz w:val="22"/>
          <w:szCs w:val="22"/>
        </w:rPr>
      </w:pPr>
      <w:r w:rsidRPr="00AC57D5">
        <w:rPr>
          <w:rFonts w:ascii="Google Sans" w:eastAsia="Google Sans" w:hAnsi="Google Sans" w:cs="Google Sans"/>
          <w:color w:val="1F1F1F"/>
          <w:sz w:val="22"/>
          <w:szCs w:val="22"/>
        </w:rPr>
        <w:t>Neurotrophic Factors: The BDNF Hypothesis</w:t>
      </w:r>
    </w:p>
    <w:p w14:paraId="0155AB60" w14:textId="77777777" w:rsidR="000215AE" w:rsidRPr="00AC57D5" w:rsidRDefault="00167558">
      <w:pPr>
        <w:pBdr>
          <w:top w:val="nil"/>
          <w:left w:val="nil"/>
          <w:bottom w:val="nil"/>
          <w:right w:val="nil"/>
          <w:between w:val="nil"/>
        </w:pBdr>
        <w:spacing w:after="120" w:line="275" w:lineRule="auto"/>
        <w:rPr>
          <w:rFonts w:ascii="Google Sans Text" w:eastAsia="Google Sans Text" w:hAnsi="Google Sans Text" w:cs="Google Sans Text"/>
          <w:color w:val="444746"/>
          <w:sz w:val="21"/>
          <w:szCs w:val="21"/>
          <w:vertAlign w:val="superscript"/>
        </w:rPr>
      </w:pPr>
      <w:r w:rsidRPr="00AC57D5">
        <w:rPr>
          <w:rFonts w:ascii="Google Sans Text" w:eastAsia="Google Sans Text" w:hAnsi="Google Sans Text" w:cs="Google Sans Text"/>
          <w:color w:val="1F1F1F"/>
          <w:sz w:val="20"/>
          <w:szCs w:val="20"/>
        </w:rPr>
        <w:t>Brain-Derived Neurotrophic Factor (BDNF) is arguably the most critical molecular mediator of ECT-induced recovery. ECT is one of the most robust methods for upregulating BDNF expression in the mammalian brain, far exceeding the magnitude of change seen with standard antidepressants.</w:t>
      </w:r>
      <w:r w:rsidRPr="00AC57D5">
        <w:rPr>
          <w:rFonts w:ascii="Google Sans Text" w:eastAsia="Google Sans Text" w:hAnsi="Google Sans Text" w:cs="Google Sans Text"/>
          <w:color w:val="444746"/>
          <w:sz w:val="21"/>
          <w:szCs w:val="21"/>
          <w:vertAlign w:val="superscript"/>
        </w:rPr>
        <w:t>19</w:t>
      </w:r>
    </w:p>
    <w:p w14:paraId="4E9C27F0" w14:textId="77777777" w:rsidR="000215AE" w:rsidRPr="00AC57D5" w:rsidRDefault="00167558">
      <w:pPr>
        <w:numPr>
          <w:ilvl w:val="0"/>
          <w:numId w:val="14"/>
        </w:numPr>
        <w:pBdr>
          <w:top w:val="nil"/>
          <w:left w:val="nil"/>
          <w:bottom w:val="nil"/>
          <w:right w:val="nil"/>
          <w:between w:val="nil"/>
        </w:pBdr>
        <w:spacing w:after="120" w:line="275" w:lineRule="auto"/>
        <w:rPr>
          <w:sz w:val="20"/>
          <w:szCs w:val="20"/>
        </w:rPr>
      </w:pPr>
      <w:r w:rsidRPr="00AC57D5">
        <w:rPr>
          <w:rFonts w:ascii="Google Sans Text" w:eastAsia="Google Sans Text" w:hAnsi="Google Sans Text" w:cs="Google Sans Text"/>
          <w:b/>
          <w:bCs/>
          <w:color w:val="1F1F1F"/>
          <w:sz w:val="20"/>
          <w:szCs w:val="20"/>
        </w:rPr>
        <w:t>Synergy with Antidepressants:</w:t>
      </w:r>
      <w:r w:rsidRPr="00AC57D5">
        <w:rPr>
          <w:rFonts w:ascii="Google Sans Text" w:eastAsia="Google Sans Text" w:hAnsi="Google Sans Text" w:cs="Google Sans Text"/>
          <w:color w:val="1F1F1F"/>
          <w:sz w:val="20"/>
          <w:szCs w:val="20"/>
        </w:rPr>
        <w:t xml:space="preserve"> Antidepressants (SSRIs, SNRIs, TCAs) also increase BDNF expression, but they do so over a slower time course (weeks to months) compared to the rapid surge induced by ECT.</w:t>
      </w:r>
      <w:r w:rsidRPr="00AC57D5">
        <w:rPr>
          <w:rFonts w:ascii="Google Sans Text" w:eastAsia="Google Sans Text" w:hAnsi="Google Sans Text" w:cs="Google Sans Text"/>
          <w:color w:val="444746"/>
          <w:sz w:val="21"/>
          <w:szCs w:val="21"/>
          <w:vertAlign w:val="superscript"/>
        </w:rPr>
        <w:t>19</w:t>
      </w:r>
      <w:r w:rsidRPr="00AC57D5">
        <w:rPr>
          <w:rFonts w:ascii="Google Sans Text" w:eastAsia="Google Sans Text" w:hAnsi="Google Sans Text" w:cs="Google Sans Text"/>
          <w:color w:val="1F1F1F"/>
          <w:sz w:val="20"/>
          <w:szCs w:val="20"/>
        </w:rPr>
        <w:t xml:space="preserve"> The combination of ECT and antidepressants creates a "neurotrophic synergy": ECT provides the acute "spike" in neurotrophins required to initiate repair, while the background presence of antidepressants maintains elevated levels, preventing the rapid degradation of new synaptic connections. This provides a mechanistic rationale for the </w:t>
      </w:r>
      <w:r w:rsidRPr="00AC57D5">
        <w:rPr>
          <w:rFonts w:ascii="Google Sans Text" w:eastAsia="Google Sans Text" w:hAnsi="Google Sans Text" w:cs="Google Sans Text"/>
          <w:color w:val="1F1F1F"/>
          <w:sz w:val="20"/>
          <w:szCs w:val="20"/>
        </w:rPr>
        <w:t>clinical observation that concurrent medication reduces relapse rates.</w:t>
      </w:r>
      <w:r w:rsidRPr="00AC57D5">
        <w:rPr>
          <w:rFonts w:ascii="Google Sans Text" w:eastAsia="Google Sans Text" w:hAnsi="Google Sans Text" w:cs="Google Sans Text"/>
          <w:color w:val="444746"/>
          <w:sz w:val="21"/>
          <w:szCs w:val="21"/>
          <w:vertAlign w:val="superscript"/>
        </w:rPr>
        <w:t>25</w:t>
      </w:r>
    </w:p>
    <w:p w14:paraId="57B50684" w14:textId="77777777" w:rsidR="000215AE" w:rsidRPr="00AC57D5" w:rsidRDefault="00167558">
      <w:pPr>
        <w:pStyle w:val="Heading3"/>
        <w:spacing w:after="120" w:line="275" w:lineRule="auto"/>
        <w:rPr>
          <w:rFonts w:ascii="Google Sans" w:eastAsia="Google Sans" w:hAnsi="Google Sans" w:cs="Google Sans"/>
          <w:color w:val="1F1F1F"/>
          <w:sz w:val="22"/>
          <w:szCs w:val="22"/>
        </w:rPr>
      </w:pPr>
      <w:r w:rsidRPr="00AC57D5">
        <w:rPr>
          <w:rFonts w:ascii="Google Sans" w:eastAsia="Google Sans" w:hAnsi="Google Sans" w:cs="Google Sans"/>
          <w:color w:val="1F1F1F"/>
          <w:sz w:val="22"/>
          <w:szCs w:val="22"/>
        </w:rPr>
        <w:t>Metaplasticity: Priming the Network</w:t>
      </w:r>
    </w:p>
    <w:p w14:paraId="56C7E392" w14:textId="77777777" w:rsidR="000215AE" w:rsidRPr="00AC57D5" w:rsidRDefault="00167558">
      <w:pPr>
        <w:pBdr>
          <w:top w:val="nil"/>
          <w:left w:val="nil"/>
          <w:bottom w:val="nil"/>
          <w:right w:val="nil"/>
          <w:between w:val="nil"/>
        </w:pBdr>
        <w:spacing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b/>
          <w:bCs/>
          <w:color w:val="1F1F1F"/>
          <w:sz w:val="20"/>
          <w:szCs w:val="20"/>
        </w:rPr>
        <w:t>Metaplasticity</w:t>
      </w:r>
      <w:r w:rsidRPr="00AC57D5">
        <w:rPr>
          <w:rFonts w:ascii="Google Sans Text" w:eastAsia="Google Sans Text" w:hAnsi="Google Sans Text" w:cs="Google Sans Text"/>
          <w:color w:val="1F1F1F"/>
          <w:sz w:val="20"/>
          <w:szCs w:val="20"/>
        </w:rPr>
        <w:t>—the plasticity of synaptic plasticity—refers to the phenomenon where the history of synaptic activity determines the threshold for future change.</w:t>
      </w:r>
      <w:r w:rsidRPr="00AC57D5">
        <w:rPr>
          <w:rFonts w:ascii="Google Sans Text" w:eastAsia="Google Sans Text" w:hAnsi="Google Sans Text" w:cs="Google Sans Text"/>
          <w:color w:val="444746"/>
          <w:sz w:val="21"/>
          <w:szCs w:val="21"/>
          <w:vertAlign w:val="superscript"/>
        </w:rPr>
        <w:t>26</w:t>
      </w:r>
      <w:r w:rsidRPr="00AC57D5">
        <w:rPr>
          <w:rFonts w:ascii="Google Sans Text" w:eastAsia="Google Sans Text" w:hAnsi="Google Sans Text" w:cs="Google Sans Text"/>
          <w:color w:val="1F1F1F"/>
          <w:sz w:val="20"/>
          <w:szCs w:val="20"/>
        </w:rPr>
        <w:t xml:space="preserve"> The brain is not a static system; its readiness to undergo LTP or LTD is constantly tuned by prior inputs and the chemical environment.</w:t>
      </w:r>
    </w:p>
    <w:p w14:paraId="4D724E47" w14:textId="77777777" w:rsidR="000215AE" w:rsidRPr="00AC57D5" w:rsidRDefault="00167558">
      <w:pPr>
        <w:numPr>
          <w:ilvl w:val="0"/>
          <w:numId w:val="15"/>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The Priming Effect:</w:t>
      </w:r>
      <w:r w:rsidRPr="00AC57D5">
        <w:rPr>
          <w:rFonts w:ascii="Google Sans Text" w:eastAsia="Google Sans Text" w:hAnsi="Google Sans Text" w:cs="Google Sans Text"/>
          <w:color w:val="1F1F1F"/>
          <w:sz w:val="20"/>
          <w:szCs w:val="20"/>
        </w:rPr>
        <w:t xml:space="preserve"> A pharmacological agent administered prior to ECT can "prime" the neural network, lowering the threshold for therapeutic plasticity. For example, a sub-anesthetic dose of ketamine (an NMDA antagonist) might paradoxically upregulate AMPA receptors (a homeostatic response), thereby making the subsequent electrical stimulus more effective at inducing connectivity changes.</w:t>
      </w:r>
      <w:r w:rsidRPr="00AC57D5">
        <w:rPr>
          <w:rFonts w:ascii="Google Sans Text" w:eastAsia="Google Sans Text" w:hAnsi="Google Sans Text" w:cs="Google Sans Text"/>
          <w:color w:val="444746"/>
          <w:sz w:val="21"/>
          <w:szCs w:val="21"/>
          <w:vertAlign w:val="superscript"/>
        </w:rPr>
        <w:t>26</w:t>
      </w:r>
      <w:r w:rsidRPr="00AC57D5">
        <w:rPr>
          <w:rFonts w:ascii="Google Sans Text" w:eastAsia="Google Sans Text" w:hAnsi="Google Sans Text" w:cs="Google Sans Text"/>
          <w:color w:val="1F1F1F"/>
          <w:sz w:val="20"/>
          <w:szCs w:val="20"/>
        </w:rPr>
        <w:t xml:space="preserve"> This "priming" concept suggests that drugs should not be viewed merely as "add-ons" but as preparatory agents that set the stage for the </w:t>
      </w:r>
      <w:r w:rsidRPr="00AC57D5">
        <w:rPr>
          <w:rFonts w:ascii="Google Sans Text" w:eastAsia="Google Sans Text" w:hAnsi="Google Sans Text" w:cs="Google Sans Text"/>
          <w:color w:val="1F1F1F"/>
          <w:sz w:val="20"/>
          <w:szCs w:val="20"/>
        </w:rPr>
        <w:t>electrical intervention.</w:t>
      </w:r>
    </w:p>
    <w:p w14:paraId="3531C566" w14:textId="77777777" w:rsidR="000215AE" w:rsidRPr="00AC57D5" w:rsidRDefault="00167558">
      <w:pPr>
        <w:numPr>
          <w:ilvl w:val="0"/>
          <w:numId w:val="15"/>
        </w:numPr>
        <w:pBdr>
          <w:top w:val="nil"/>
          <w:left w:val="nil"/>
          <w:bottom w:val="nil"/>
          <w:right w:val="nil"/>
          <w:between w:val="nil"/>
        </w:pBdr>
        <w:spacing w:after="120" w:line="275" w:lineRule="auto"/>
        <w:rPr>
          <w:sz w:val="20"/>
          <w:szCs w:val="20"/>
        </w:rPr>
      </w:pPr>
      <w:r w:rsidRPr="00AC57D5">
        <w:rPr>
          <w:rFonts w:ascii="Google Sans Text" w:eastAsia="Google Sans Text" w:hAnsi="Google Sans Text" w:cs="Google Sans Text"/>
          <w:b/>
          <w:bCs/>
          <w:color w:val="1F1F1F"/>
          <w:sz w:val="20"/>
          <w:szCs w:val="20"/>
        </w:rPr>
        <w:t>Homeostatic Scaling:</w:t>
      </w:r>
      <w:r w:rsidRPr="00AC57D5">
        <w:rPr>
          <w:rFonts w:ascii="Google Sans Text" w:eastAsia="Google Sans Text" w:hAnsi="Google Sans Text" w:cs="Google Sans Text"/>
          <w:color w:val="1F1F1F"/>
          <w:sz w:val="20"/>
          <w:szCs w:val="20"/>
        </w:rPr>
        <w:t xml:space="preserve"> Conversely, chronic exposure to anticonvulsants (e.g., valproate) may induce homeostatic downscaling of excitability, effectively "hardening" the network against the therapeutic seizure. This explains why patients on high-dose anticonvulsants often require </w:t>
      </w:r>
      <w:r w:rsidRPr="00AC57D5">
        <w:rPr>
          <w:rFonts w:ascii="Google Sans Text" w:eastAsia="Google Sans Text" w:hAnsi="Google Sans Text" w:cs="Google Sans Text"/>
          <w:color w:val="1F1F1F"/>
          <w:sz w:val="20"/>
          <w:szCs w:val="20"/>
        </w:rPr>
        <w:lastRenderedPageBreak/>
        <w:t>significantly higher electrical charges to achieve remission and may show slower clinical progress.</w:t>
      </w:r>
      <w:r w:rsidRPr="00AC57D5">
        <w:rPr>
          <w:rFonts w:ascii="Google Sans Text" w:eastAsia="Google Sans Text" w:hAnsi="Google Sans Text" w:cs="Google Sans Text"/>
          <w:color w:val="444746"/>
          <w:sz w:val="21"/>
          <w:szCs w:val="21"/>
          <w:vertAlign w:val="superscript"/>
        </w:rPr>
        <w:t>29</w:t>
      </w:r>
    </w:p>
    <w:p w14:paraId="516E9818" w14:textId="77777777" w:rsidR="000215AE" w:rsidRPr="00AC57D5" w:rsidRDefault="00167558">
      <w:pPr>
        <w:pStyle w:val="Heading2"/>
        <w:spacing w:before="240" w:after="120" w:line="275" w:lineRule="auto"/>
        <w:rPr>
          <w:rFonts w:ascii="Google Sans" w:eastAsia="Google Sans" w:hAnsi="Google Sans" w:cs="Google Sans"/>
          <w:color w:val="1F1F1F"/>
          <w:sz w:val="28"/>
          <w:szCs w:val="28"/>
        </w:rPr>
      </w:pPr>
      <w:r w:rsidRPr="00AC57D5">
        <w:rPr>
          <w:rFonts w:ascii="Google Sans" w:eastAsia="Google Sans" w:hAnsi="Google Sans" w:cs="Google Sans"/>
          <w:color w:val="1F1F1F"/>
          <w:sz w:val="28"/>
          <w:szCs w:val="28"/>
        </w:rPr>
        <w:t>Pharmacological Modulation by Drug Class</w:t>
      </w:r>
    </w:p>
    <w:p w14:paraId="1ACDB9D9" w14:textId="77777777" w:rsidR="000215AE" w:rsidRPr="00AC57D5" w:rsidRDefault="00167558">
      <w:pPr>
        <w:pBdr>
          <w:top w:val="nil"/>
          <w:left w:val="nil"/>
          <w:bottom w:val="nil"/>
          <w:right w:val="nil"/>
          <w:between w:val="nil"/>
        </w:pBdr>
        <w:spacing w:after="24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The interaction between ECT and specific psychotropic classes is distinct and dictates the clinical strategy.</w:t>
      </w:r>
    </w:p>
    <w:p w14:paraId="615F673D" w14:textId="77777777" w:rsidR="000215AE" w:rsidRPr="00AC57D5" w:rsidRDefault="00167558">
      <w:pPr>
        <w:pStyle w:val="Heading3"/>
        <w:spacing w:before="0" w:after="120" w:line="275" w:lineRule="auto"/>
        <w:rPr>
          <w:rFonts w:ascii="Google Sans" w:eastAsia="Google Sans" w:hAnsi="Google Sans" w:cs="Google Sans"/>
          <w:color w:val="1F1F1F"/>
          <w:sz w:val="22"/>
          <w:szCs w:val="22"/>
        </w:rPr>
      </w:pPr>
      <w:r w:rsidRPr="00AC57D5">
        <w:rPr>
          <w:rFonts w:ascii="Google Sans" w:eastAsia="Google Sans" w:hAnsi="Google Sans" w:cs="Google Sans"/>
          <w:color w:val="1F1F1F"/>
          <w:sz w:val="22"/>
          <w:szCs w:val="22"/>
        </w:rPr>
        <w:t>1. Antidepressants (SSRIs, SNRIs, TCAs, MAOIs)</w:t>
      </w:r>
    </w:p>
    <w:p w14:paraId="24086BD9" w14:textId="77777777" w:rsidR="000215AE" w:rsidRPr="00AC57D5" w:rsidRDefault="00167558">
      <w:pPr>
        <w:pBdr>
          <w:top w:val="nil"/>
          <w:left w:val="nil"/>
          <w:bottom w:val="nil"/>
          <w:right w:val="nil"/>
          <w:between w:val="nil"/>
        </w:pBdr>
        <w:spacing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The historical practice of discontinuing antidepressants before ECT has been largely abandoned in favor of concurrent administration, driven by evidence of synergy and safety.</w:t>
      </w:r>
    </w:p>
    <w:p w14:paraId="721E31C1" w14:textId="77777777" w:rsidR="000215AE" w:rsidRPr="00AC57D5" w:rsidRDefault="00167558">
      <w:pPr>
        <w:numPr>
          <w:ilvl w:val="0"/>
          <w:numId w:val="16"/>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Synergistic Efficacy:</w:t>
      </w:r>
      <w:r w:rsidRPr="00AC57D5">
        <w:rPr>
          <w:rFonts w:ascii="Google Sans Text" w:eastAsia="Google Sans Text" w:hAnsi="Google Sans Text" w:cs="Google Sans Text"/>
          <w:color w:val="1F1F1F"/>
          <w:sz w:val="20"/>
          <w:szCs w:val="20"/>
        </w:rPr>
        <w:t xml:space="preserve"> Large-scale randomized controlled trials (RCTs) and meta-analyses confirm that combining ECT with antidepressants—particularly nortriptyline (TCA) or venlafaxine (SNRI)—significantly enhances short-term remission rates compared to ECT monotherapy.</w:t>
      </w:r>
      <w:r w:rsidRPr="00AC57D5">
        <w:rPr>
          <w:rFonts w:ascii="Google Sans Text" w:eastAsia="Google Sans Text" w:hAnsi="Google Sans Text" w:cs="Google Sans Text"/>
          <w:color w:val="444746"/>
          <w:sz w:val="21"/>
          <w:szCs w:val="21"/>
          <w:vertAlign w:val="superscript"/>
        </w:rPr>
        <w:t>4</w:t>
      </w:r>
      <w:r w:rsidRPr="00AC57D5">
        <w:rPr>
          <w:rFonts w:ascii="Google Sans Text" w:eastAsia="Google Sans Text" w:hAnsi="Google Sans Text" w:cs="Google Sans Text"/>
          <w:color w:val="1F1F1F"/>
          <w:sz w:val="20"/>
          <w:szCs w:val="20"/>
        </w:rPr>
        <w:t xml:space="preserve"> For instance, the Sackeim et al. (2009) study demonstrated that nortriptyline enhanced the efficacy of ECT without increasing cognitive side effects.</w:t>
      </w:r>
      <w:r w:rsidRPr="00AC57D5">
        <w:rPr>
          <w:rFonts w:ascii="Google Sans Text" w:eastAsia="Google Sans Text" w:hAnsi="Google Sans Text" w:cs="Google Sans Text"/>
          <w:color w:val="444746"/>
          <w:sz w:val="21"/>
          <w:szCs w:val="21"/>
          <w:vertAlign w:val="superscript"/>
        </w:rPr>
        <w:t>4</w:t>
      </w:r>
    </w:p>
    <w:p w14:paraId="0B67B5B9" w14:textId="77777777" w:rsidR="000215AE" w:rsidRPr="00AC57D5" w:rsidRDefault="00167558">
      <w:pPr>
        <w:numPr>
          <w:ilvl w:val="0"/>
          <w:numId w:val="16"/>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Mechanism of Synergy:</w:t>
      </w:r>
      <w:r w:rsidRPr="00AC57D5">
        <w:rPr>
          <w:rFonts w:ascii="Google Sans Text" w:eastAsia="Google Sans Text" w:hAnsi="Google Sans Text" w:cs="Google Sans Text"/>
          <w:color w:val="1F1F1F"/>
          <w:sz w:val="20"/>
          <w:szCs w:val="20"/>
        </w:rPr>
        <w:t xml:space="preserve"> As noted, this likely arises from complementary plasticity mechanisms. While ECT forces a network reset, antidepressants increase monoaminergic tone (serotonin, norepinephrine) and sensitize post-synaptic receptors, making the network more receptive to the reorganization driven by the seizure.</w:t>
      </w:r>
      <w:r w:rsidRPr="00AC57D5">
        <w:rPr>
          <w:rFonts w:ascii="Google Sans Text" w:eastAsia="Google Sans Text" w:hAnsi="Google Sans Text" w:cs="Google Sans Text"/>
          <w:color w:val="444746"/>
          <w:sz w:val="21"/>
          <w:szCs w:val="21"/>
          <w:vertAlign w:val="superscript"/>
        </w:rPr>
        <w:t>24</w:t>
      </w:r>
    </w:p>
    <w:p w14:paraId="24B33062" w14:textId="77777777" w:rsidR="000215AE" w:rsidRPr="00AC57D5" w:rsidRDefault="00167558">
      <w:pPr>
        <w:numPr>
          <w:ilvl w:val="0"/>
          <w:numId w:val="16"/>
        </w:numPr>
        <w:pBdr>
          <w:top w:val="nil"/>
          <w:left w:val="nil"/>
          <w:bottom w:val="nil"/>
          <w:right w:val="nil"/>
          <w:between w:val="nil"/>
        </w:pBdr>
        <w:spacing w:after="120" w:line="275" w:lineRule="auto"/>
        <w:rPr>
          <w:sz w:val="20"/>
          <w:szCs w:val="20"/>
        </w:rPr>
      </w:pPr>
      <w:r w:rsidRPr="00AC57D5">
        <w:rPr>
          <w:rFonts w:ascii="Google Sans Text" w:eastAsia="Google Sans Text" w:hAnsi="Google Sans Text" w:cs="Google Sans Text"/>
          <w:b/>
          <w:bCs/>
          <w:color w:val="1F1F1F"/>
          <w:sz w:val="20"/>
          <w:szCs w:val="20"/>
        </w:rPr>
        <w:t>Safety Profile:</w:t>
      </w:r>
      <w:r w:rsidRPr="00AC57D5">
        <w:rPr>
          <w:rFonts w:ascii="Google Sans Text" w:eastAsia="Google Sans Text" w:hAnsi="Google Sans Text" w:cs="Google Sans Text"/>
          <w:color w:val="1F1F1F"/>
          <w:sz w:val="20"/>
          <w:szCs w:val="20"/>
        </w:rPr>
        <w:t xml:space="preserve"> Most antidepressants are safe. SSRIs and SNRIs have minimal impact on seizure threshold. TCAs require cardiovascular monitoring due to potential additive effects on heart rate and blood pressure during the ictal surge, but this is manageable.</w:t>
      </w:r>
      <w:r w:rsidRPr="00AC57D5">
        <w:rPr>
          <w:rFonts w:ascii="Google Sans Text" w:eastAsia="Google Sans Text" w:hAnsi="Google Sans Text" w:cs="Google Sans Text"/>
          <w:color w:val="444746"/>
          <w:sz w:val="21"/>
          <w:szCs w:val="21"/>
          <w:vertAlign w:val="superscript"/>
        </w:rPr>
        <w:t>5</w:t>
      </w:r>
      <w:r w:rsidRPr="00AC57D5">
        <w:rPr>
          <w:rFonts w:ascii="Google Sans Text" w:eastAsia="Google Sans Text" w:hAnsi="Google Sans Text" w:cs="Google Sans Text"/>
          <w:color w:val="1F1F1F"/>
          <w:sz w:val="20"/>
          <w:szCs w:val="20"/>
        </w:rPr>
        <w:t xml:space="preserve"> MAOIs, once contraindicated due to fears of hypertensive crisis with anesthesia, are now used successfully with careful anesthetic management (avoiding indirect sympathomimetics).</w:t>
      </w:r>
      <w:r w:rsidRPr="00AC57D5">
        <w:rPr>
          <w:rFonts w:ascii="Google Sans Text" w:eastAsia="Google Sans Text" w:hAnsi="Google Sans Text" w:cs="Google Sans Text"/>
          <w:color w:val="444746"/>
          <w:sz w:val="21"/>
          <w:szCs w:val="21"/>
          <w:vertAlign w:val="superscript"/>
        </w:rPr>
        <w:t>24</w:t>
      </w:r>
    </w:p>
    <w:p w14:paraId="0953DF98" w14:textId="77777777" w:rsidR="000215AE" w:rsidRPr="00AC57D5" w:rsidRDefault="00167558">
      <w:pPr>
        <w:pStyle w:val="Heading3"/>
        <w:spacing w:after="120" w:line="275" w:lineRule="auto"/>
        <w:rPr>
          <w:rFonts w:ascii="Google Sans" w:eastAsia="Google Sans" w:hAnsi="Google Sans" w:cs="Google Sans"/>
          <w:color w:val="1F1F1F"/>
          <w:sz w:val="22"/>
          <w:szCs w:val="22"/>
        </w:rPr>
      </w:pPr>
      <w:r w:rsidRPr="00AC57D5">
        <w:rPr>
          <w:rFonts w:ascii="Google Sans" w:eastAsia="Google Sans" w:hAnsi="Google Sans" w:cs="Google Sans"/>
          <w:color w:val="1F1F1F"/>
          <w:sz w:val="22"/>
          <w:szCs w:val="22"/>
        </w:rPr>
        <w:t>2. Benzodiazepines and Sedative-Hypnotics</w:t>
      </w:r>
    </w:p>
    <w:p w14:paraId="71B58256" w14:textId="77777777" w:rsidR="000215AE" w:rsidRPr="00AC57D5" w:rsidRDefault="00167558">
      <w:pPr>
        <w:pBdr>
          <w:top w:val="nil"/>
          <w:left w:val="nil"/>
          <w:bottom w:val="nil"/>
          <w:right w:val="nil"/>
          <w:between w:val="nil"/>
        </w:pBdr>
        <w:spacing w:after="120" w:line="275" w:lineRule="auto"/>
        <w:rPr>
          <w:rFonts w:ascii="Google Sans Text" w:eastAsia="Google Sans Text" w:hAnsi="Google Sans Text" w:cs="Google Sans Text"/>
          <w:color w:val="444746"/>
          <w:sz w:val="21"/>
          <w:szCs w:val="21"/>
          <w:vertAlign w:val="superscript"/>
        </w:rPr>
      </w:pPr>
      <w:r w:rsidRPr="00AC57D5">
        <w:rPr>
          <w:rFonts w:ascii="Google Sans Text" w:eastAsia="Google Sans Text" w:hAnsi="Google Sans Text" w:cs="Google Sans Text"/>
          <w:color w:val="1F1F1F"/>
          <w:sz w:val="20"/>
          <w:szCs w:val="20"/>
        </w:rPr>
        <w:t xml:space="preserve">Benzodiazepines (BZDs) represent the most significant </w:t>
      </w:r>
      <w:r w:rsidRPr="00AC57D5">
        <w:rPr>
          <w:rFonts w:ascii="Google Sans Text" w:eastAsia="Google Sans Text" w:hAnsi="Google Sans Text" w:cs="Google Sans Text"/>
          <w:i/>
          <w:iCs/>
          <w:color w:val="1F1F1F"/>
          <w:sz w:val="20"/>
          <w:szCs w:val="20"/>
        </w:rPr>
        <w:t>antagonistic</w:t>
      </w:r>
      <w:r w:rsidRPr="00AC57D5">
        <w:rPr>
          <w:rFonts w:ascii="Google Sans Text" w:eastAsia="Google Sans Text" w:hAnsi="Google Sans Text" w:cs="Google Sans Text"/>
          <w:color w:val="1F1F1F"/>
          <w:sz w:val="20"/>
          <w:szCs w:val="20"/>
        </w:rPr>
        <w:t xml:space="preserve"> pharmacological factor in ECT practice. By acting as positive allosteric modulators of GABA_A receptors, they enhance inhibitory tone, directly opposing the induction and propagation of the seizure.</w:t>
      </w:r>
      <w:r w:rsidRPr="00AC57D5">
        <w:rPr>
          <w:rFonts w:ascii="Google Sans Text" w:eastAsia="Google Sans Text" w:hAnsi="Google Sans Text" w:cs="Google Sans Text"/>
          <w:color w:val="444746"/>
          <w:sz w:val="21"/>
          <w:szCs w:val="21"/>
          <w:vertAlign w:val="superscript"/>
        </w:rPr>
        <w:t>33</w:t>
      </w:r>
    </w:p>
    <w:p w14:paraId="5B561F51" w14:textId="77777777" w:rsidR="000215AE" w:rsidRPr="00AC57D5" w:rsidRDefault="00167558">
      <w:pPr>
        <w:numPr>
          <w:ilvl w:val="0"/>
          <w:numId w:val="17"/>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Clinical Impact:</w:t>
      </w:r>
      <w:r w:rsidRPr="00AC57D5">
        <w:rPr>
          <w:rFonts w:ascii="Google Sans Text" w:eastAsia="Google Sans Text" w:hAnsi="Google Sans Text" w:cs="Google Sans Text"/>
          <w:color w:val="1F1F1F"/>
          <w:sz w:val="20"/>
          <w:szCs w:val="20"/>
        </w:rPr>
        <w:t xml:space="preserve"> BZD use is dose-dependently associated with reduced seizure duration, higher seizure thresholds, and poorer clinical outcomes.</w:t>
      </w:r>
      <w:r w:rsidRPr="00AC57D5">
        <w:rPr>
          <w:rFonts w:ascii="Google Sans Text" w:eastAsia="Google Sans Text" w:hAnsi="Google Sans Text" w:cs="Google Sans Text"/>
          <w:color w:val="444746"/>
          <w:sz w:val="21"/>
          <w:szCs w:val="21"/>
          <w:vertAlign w:val="superscript"/>
        </w:rPr>
        <w:t>33</w:t>
      </w:r>
      <w:r w:rsidRPr="00AC57D5">
        <w:rPr>
          <w:rFonts w:ascii="Google Sans Text" w:eastAsia="Google Sans Text" w:hAnsi="Google Sans Text" w:cs="Google Sans Text"/>
          <w:color w:val="1F1F1F"/>
          <w:sz w:val="20"/>
          <w:szCs w:val="20"/>
        </w:rPr>
        <w:t xml:space="preserve"> A 2019 study by Eranti et al. and subsequent analyses have shown that patients on BZDs (especially at high doses) are less likely to achieve remission and often require more treatments.</w:t>
      </w:r>
      <w:r w:rsidRPr="00AC57D5">
        <w:rPr>
          <w:rFonts w:ascii="Google Sans Text" w:eastAsia="Google Sans Text" w:hAnsi="Google Sans Text" w:cs="Google Sans Text"/>
          <w:color w:val="444746"/>
          <w:sz w:val="21"/>
          <w:szCs w:val="21"/>
          <w:vertAlign w:val="superscript"/>
        </w:rPr>
        <w:t>33</w:t>
      </w:r>
      <w:r w:rsidRPr="00AC57D5">
        <w:rPr>
          <w:rFonts w:ascii="Google Sans Text" w:eastAsia="Google Sans Text" w:hAnsi="Google Sans Text" w:cs="Google Sans Text"/>
          <w:color w:val="1F1F1F"/>
          <w:sz w:val="20"/>
          <w:szCs w:val="20"/>
        </w:rPr>
        <w:t xml:space="preserve"> This is particularly detrimental for right unilateral (RUL) ECT, which relies on suprathreshold dosing; BZDs raise the threshold so high that the device may not be able to deliver an effective d</w:t>
      </w:r>
      <w:r w:rsidRPr="00AC57D5">
        <w:rPr>
          <w:rFonts w:ascii="Google Sans Text" w:eastAsia="Google Sans Text" w:hAnsi="Google Sans Text" w:cs="Google Sans Text"/>
          <w:color w:val="1F1F1F"/>
          <w:sz w:val="20"/>
          <w:szCs w:val="20"/>
        </w:rPr>
        <w:t>ose (6x threshold).</w:t>
      </w:r>
      <w:r w:rsidRPr="00AC57D5">
        <w:rPr>
          <w:rFonts w:ascii="Google Sans Text" w:eastAsia="Google Sans Text" w:hAnsi="Google Sans Text" w:cs="Google Sans Text"/>
          <w:color w:val="444746"/>
          <w:sz w:val="21"/>
          <w:szCs w:val="21"/>
          <w:vertAlign w:val="superscript"/>
        </w:rPr>
        <w:t>34</w:t>
      </w:r>
    </w:p>
    <w:p w14:paraId="11FC4CDB" w14:textId="77777777" w:rsidR="000215AE" w:rsidRPr="00AC57D5" w:rsidRDefault="00167558">
      <w:pPr>
        <w:numPr>
          <w:ilvl w:val="0"/>
          <w:numId w:val="17"/>
        </w:numPr>
        <w:pBdr>
          <w:top w:val="nil"/>
          <w:left w:val="nil"/>
          <w:bottom w:val="nil"/>
          <w:right w:val="nil"/>
          <w:between w:val="nil"/>
        </w:pBdr>
        <w:spacing w:after="120" w:line="275" w:lineRule="auto"/>
        <w:rPr>
          <w:sz w:val="20"/>
          <w:szCs w:val="20"/>
        </w:rPr>
      </w:pPr>
      <w:r w:rsidRPr="00AC57D5">
        <w:rPr>
          <w:rFonts w:ascii="Google Sans Text" w:eastAsia="Google Sans Text" w:hAnsi="Google Sans Text" w:cs="Google Sans Text"/>
          <w:b/>
          <w:bCs/>
          <w:color w:val="1F1F1F"/>
          <w:sz w:val="20"/>
          <w:szCs w:val="20"/>
        </w:rPr>
        <w:t>Theoretical View:</w:t>
      </w:r>
      <w:r w:rsidRPr="00AC57D5">
        <w:rPr>
          <w:rFonts w:ascii="Google Sans Text" w:eastAsia="Google Sans Text" w:hAnsi="Google Sans Text" w:cs="Google Sans Text"/>
          <w:color w:val="1F1F1F"/>
          <w:sz w:val="20"/>
          <w:szCs w:val="20"/>
        </w:rPr>
        <w:t xml:space="preserve"> BZDs increase the "depth" of the current attractor state (depression), increasing network stability and resilience to perturbation. They effectively "lock" the brain in its current state, preventing the ECT-induced "flattening" of the energy landscape required for a state transition.</w:t>
      </w:r>
      <w:r w:rsidRPr="00AC57D5">
        <w:rPr>
          <w:rFonts w:ascii="Google Sans Text" w:eastAsia="Google Sans Text" w:hAnsi="Google Sans Text" w:cs="Google Sans Text"/>
          <w:color w:val="444746"/>
          <w:sz w:val="21"/>
          <w:szCs w:val="21"/>
          <w:vertAlign w:val="superscript"/>
        </w:rPr>
        <w:t>16</w:t>
      </w:r>
    </w:p>
    <w:p w14:paraId="171D2CA7" w14:textId="77777777" w:rsidR="000215AE" w:rsidRPr="00AC57D5" w:rsidRDefault="00167558">
      <w:pPr>
        <w:pStyle w:val="Heading3"/>
        <w:spacing w:after="120" w:line="275" w:lineRule="auto"/>
        <w:rPr>
          <w:rFonts w:ascii="Google Sans" w:eastAsia="Google Sans" w:hAnsi="Google Sans" w:cs="Google Sans"/>
          <w:color w:val="1F1F1F"/>
          <w:sz w:val="22"/>
          <w:szCs w:val="22"/>
        </w:rPr>
      </w:pPr>
      <w:r w:rsidRPr="00AC57D5">
        <w:rPr>
          <w:rFonts w:ascii="Google Sans" w:eastAsia="Google Sans" w:hAnsi="Google Sans" w:cs="Google Sans"/>
          <w:color w:val="1F1F1F"/>
          <w:sz w:val="22"/>
          <w:szCs w:val="22"/>
        </w:rPr>
        <w:t>3. Mood Stabilizers: Lithium and Anticonvulsants</w:t>
      </w:r>
    </w:p>
    <w:p w14:paraId="5546B3E5" w14:textId="77777777" w:rsidR="000215AE" w:rsidRPr="00AC57D5" w:rsidRDefault="00167558">
      <w:pPr>
        <w:numPr>
          <w:ilvl w:val="0"/>
          <w:numId w:val="18"/>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lastRenderedPageBreak/>
        <w:t>Lithium:</w:t>
      </w:r>
      <w:r w:rsidRPr="00AC57D5">
        <w:rPr>
          <w:rFonts w:ascii="Google Sans Text" w:eastAsia="Google Sans Text" w:hAnsi="Google Sans Text" w:cs="Google Sans Text"/>
          <w:color w:val="1F1F1F"/>
          <w:sz w:val="20"/>
          <w:szCs w:val="20"/>
        </w:rPr>
        <w:t xml:space="preserve"> The combination of lithium and ECT is controversial. While lithium is a potent neuroprotective and anti-suicidal agent, its concurrent use with ECT poses a high risk of neurotoxicity.</w:t>
      </w:r>
    </w:p>
    <w:p w14:paraId="14703EFF" w14:textId="77777777" w:rsidR="000215AE" w:rsidRPr="00AC57D5" w:rsidRDefault="00167558">
      <w:pPr>
        <w:numPr>
          <w:ilvl w:val="1"/>
          <w:numId w:val="19"/>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i/>
          <w:iCs/>
          <w:color w:val="1F1F1F"/>
          <w:sz w:val="20"/>
          <w:szCs w:val="20"/>
        </w:rPr>
        <w:t>Delirium Risk:</w:t>
      </w:r>
      <w:r w:rsidRPr="00AC57D5">
        <w:rPr>
          <w:rFonts w:ascii="Google Sans Text" w:eastAsia="Google Sans Text" w:hAnsi="Google Sans Text" w:cs="Google Sans Text"/>
          <w:color w:val="1F1F1F"/>
          <w:sz w:val="20"/>
          <w:szCs w:val="20"/>
        </w:rPr>
        <w:t xml:space="preserve"> A large national inpatient study found that patients receiving ECT + Lithium had </w:t>
      </w:r>
      <w:r w:rsidRPr="00AC57D5">
        <w:rPr>
          <w:rFonts w:ascii="Google Sans Text" w:eastAsia="Google Sans Text" w:hAnsi="Google Sans Text" w:cs="Google Sans Text"/>
          <w:b/>
          <w:bCs/>
          <w:color w:val="1F1F1F"/>
          <w:sz w:val="20"/>
          <w:szCs w:val="20"/>
        </w:rPr>
        <w:t>11.7-fold higher odds</w:t>
      </w:r>
      <w:r w:rsidRPr="00AC57D5">
        <w:rPr>
          <w:rFonts w:ascii="Google Sans Text" w:eastAsia="Google Sans Text" w:hAnsi="Google Sans Text" w:cs="Google Sans Text"/>
          <w:color w:val="1F1F1F"/>
          <w:sz w:val="20"/>
          <w:szCs w:val="20"/>
        </w:rPr>
        <w:t xml:space="preserve"> of developing delirium compared to ECT alone.</w:t>
      </w:r>
      <w:r w:rsidRPr="00AC57D5">
        <w:rPr>
          <w:rFonts w:ascii="Google Sans Text" w:eastAsia="Google Sans Text" w:hAnsi="Google Sans Text" w:cs="Google Sans Text"/>
          <w:color w:val="444746"/>
          <w:sz w:val="21"/>
          <w:szCs w:val="21"/>
          <w:vertAlign w:val="superscript"/>
        </w:rPr>
        <w:t>37</w:t>
      </w:r>
      <w:r w:rsidRPr="00AC57D5">
        <w:rPr>
          <w:rFonts w:ascii="Google Sans Text" w:eastAsia="Google Sans Text" w:hAnsi="Google Sans Text" w:cs="Google Sans Text"/>
          <w:color w:val="1F1F1F"/>
          <w:sz w:val="20"/>
          <w:szCs w:val="20"/>
        </w:rPr>
        <w:t xml:space="preserve"> The mechanism is thought to involve increased blood-brain barrier (BBB) permeability during the seizure, allowing intracellular lithium concentrations to reach toxic levels in the brain despite therapeutic serum levels.</w:t>
      </w:r>
      <w:r w:rsidRPr="00AC57D5">
        <w:rPr>
          <w:rFonts w:ascii="Google Sans Text" w:eastAsia="Google Sans Text" w:hAnsi="Google Sans Text" w:cs="Google Sans Text"/>
          <w:color w:val="444746"/>
          <w:sz w:val="21"/>
          <w:szCs w:val="21"/>
          <w:vertAlign w:val="superscript"/>
        </w:rPr>
        <w:t>37</w:t>
      </w:r>
    </w:p>
    <w:p w14:paraId="312D7835" w14:textId="77777777" w:rsidR="000215AE" w:rsidRPr="00AC57D5" w:rsidRDefault="00167558">
      <w:pPr>
        <w:numPr>
          <w:ilvl w:val="1"/>
          <w:numId w:val="19"/>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i/>
          <w:iCs/>
          <w:color w:val="1F1F1F"/>
          <w:sz w:val="20"/>
          <w:szCs w:val="20"/>
        </w:rPr>
        <w:t>Recommendations:</w:t>
      </w:r>
      <w:r w:rsidRPr="00AC57D5">
        <w:rPr>
          <w:rFonts w:ascii="Google Sans Text" w:eastAsia="Google Sans Text" w:hAnsi="Google Sans Text" w:cs="Google Sans Text"/>
          <w:color w:val="1F1F1F"/>
          <w:sz w:val="20"/>
          <w:szCs w:val="20"/>
        </w:rPr>
        <w:t xml:space="preserve"> Guidelines generally recommend withholding lithium for 24–48 hours prior to each treatment or maintaining very low serum levels (&lt;0.6 mmol/L) if discontinuation is impossible due to severe manic instability.</w:t>
      </w:r>
      <w:r w:rsidRPr="00AC57D5">
        <w:rPr>
          <w:rFonts w:ascii="Google Sans Text" w:eastAsia="Google Sans Text" w:hAnsi="Google Sans Text" w:cs="Google Sans Text"/>
          <w:color w:val="444746"/>
          <w:sz w:val="21"/>
          <w:szCs w:val="21"/>
          <w:vertAlign w:val="superscript"/>
        </w:rPr>
        <w:t>39</w:t>
      </w:r>
    </w:p>
    <w:p w14:paraId="38694C3E" w14:textId="77777777" w:rsidR="000215AE" w:rsidRPr="00AC57D5" w:rsidRDefault="00167558">
      <w:pPr>
        <w:numPr>
          <w:ilvl w:val="0"/>
          <w:numId w:val="18"/>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Anticonvulsants (Valproate, Carbamazepine, Lamotrigine):</w:t>
      </w:r>
      <w:r w:rsidRPr="00AC57D5">
        <w:rPr>
          <w:rFonts w:ascii="Google Sans Text" w:eastAsia="Google Sans Text" w:hAnsi="Google Sans Text" w:cs="Google Sans Text"/>
          <w:color w:val="1F1F1F"/>
          <w:sz w:val="20"/>
          <w:szCs w:val="20"/>
        </w:rPr>
        <w:t xml:space="preserve"> These agents naturally inhibit seizures.</w:t>
      </w:r>
    </w:p>
    <w:p w14:paraId="3A9EA8D6" w14:textId="77777777" w:rsidR="000215AE" w:rsidRPr="00AC57D5" w:rsidRDefault="00167558">
      <w:pPr>
        <w:numPr>
          <w:ilvl w:val="1"/>
          <w:numId w:val="20"/>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i/>
          <w:iCs/>
          <w:color w:val="1F1F1F"/>
          <w:sz w:val="20"/>
          <w:szCs w:val="20"/>
        </w:rPr>
        <w:t>Interference:</w:t>
      </w:r>
      <w:r w:rsidRPr="00AC57D5">
        <w:rPr>
          <w:rFonts w:ascii="Google Sans Text" w:eastAsia="Google Sans Text" w:hAnsi="Google Sans Text" w:cs="Google Sans Text"/>
          <w:color w:val="1F1F1F"/>
          <w:sz w:val="20"/>
          <w:szCs w:val="20"/>
        </w:rPr>
        <w:t xml:space="preserve"> They raise the seizure threshold and shorten seizure duration, potentially compromising efficacy.</w:t>
      </w:r>
      <w:r w:rsidRPr="00AC57D5">
        <w:rPr>
          <w:rFonts w:ascii="Google Sans Text" w:eastAsia="Google Sans Text" w:hAnsi="Google Sans Text" w:cs="Google Sans Text"/>
          <w:color w:val="444746"/>
          <w:sz w:val="21"/>
          <w:szCs w:val="21"/>
          <w:vertAlign w:val="superscript"/>
        </w:rPr>
        <w:t>41</w:t>
      </w:r>
      <w:r w:rsidRPr="00AC57D5">
        <w:rPr>
          <w:rFonts w:ascii="Google Sans Text" w:eastAsia="Google Sans Text" w:hAnsi="Google Sans Text" w:cs="Google Sans Text"/>
          <w:color w:val="1F1F1F"/>
          <w:sz w:val="20"/>
          <w:szCs w:val="20"/>
        </w:rPr>
        <w:t xml:space="preserve"> However, they do not generally cause the neurotoxicity seen with lithium.</w:t>
      </w:r>
    </w:p>
    <w:p w14:paraId="73BFEA10" w14:textId="77777777" w:rsidR="000215AE" w:rsidRPr="00AC57D5" w:rsidRDefault="00167558">
      <w:pPr>
        <w:numPr>
          <w:ilvl w:val="1"/>
          <w:numId w:val="20"/>
        </w:numPr>
        <w:pBdr>
          <w:top w:val="nil"/>
          <w:left w:val="nil"/>
          <w:bottom w:val="nil"/>
          <w:right w:val="nil"/>
          <w:between w:val="nil"/>
        </w:pBdr>
        <w:spacing w:after="120" w:line="275" w:lineRule="auto"/>
        <w:rPr>
          <w:sz w:val="20"/>
          <w:szCs w:val="20"/>
        </w:rPr>
      </w:pPr>
      <w:r w:rsidRPr="00AC57D5">
        <w:rPr>
          <w:rFonts w:ascii="Google Sans Text" w:eastAsia="Google Sans Text" w:hAnsi="Google Sans Text" w:cs="Google Sans Text"/>
          <w:i/>
          <w:iCs/>
          <w:color w:val="1F1F1F"/>
          <w:sz w:val="20"/>
          <w:szCs w:val="20"/>
        </w:rPr>
        <w:t>Lamotrigine Exception:</w:t>
      </w:r>
      <w:r w:rsidRPr="00AC57D5">
        <w:rPr>
          <w:rFonts w:ascii="Google Sans Text" w:eastAsia="Google Sans Text" w:hAnsi="Google Sans Text" w:cs="Google Sans Text"/>
          <w:color w:val="1F1F1F"/>
          <w:sz w:val="20"/>
          <w:szCs w:val="20"/>
        </w:rPr>
        <w:t xml:space="preserve"> Interestingly, lamotrigine (which inhibits glutamate release via sodium channels) appears to interfere </w:t>
      </w:r>
      <w:r w:rsidRPr="00AC57D5">
        <w:rPr>
          <w:rFonts w:ascii="Google Sans Text" w:eastAsia="Google Sans Text" w:hAnsi="Google Sans Text" w:cs="Google Sans Text"/>
          <w:i/>
          <w:iCs/>
          <w:color w:val="1F1F1F"/>
          <w:sz w:val="20"/>
          <w:szCs w:val="20"/>
        </w:rPr>
        <w:t>less</w:t>
      </w:r>
      <w:r w:rsidRPr="00AC57D5">
        <w:rPr>
          <w:rFonts w:ascii="Google Sans Text" w:eastAsia="Google Sans Text" w:hAnsi="Google Sans Text" w:cs="Google Sans Text"/>
          <w:color w:val="1F1F1F"/>
          <w:sz w:val="20"/>
          <w:szCs w:val="20"/>
        </w:rPr>
        <w:t xml:space="preserve"> with ECT efficacy than valproate or carbamazepine.</w:t>
      </w:r>
      <w:r w:rsidRPr="00AC57D5">
        <w:rPr>
          <w:rFonts w:ascii="Google Sans Text" w:eastAsia="Google Sans Text" w:hAnsi="Google Sans Text" w:cs="Google Sans Text"/>
          <w:color w:val="444746"/>
          <w:sz w:val="21"/>
          <w:szCs w:val="21"/>
          <w:vertAlign w:val="superscript"/>
        </w:rPr>
        <w:t>29</w:t>
      </w:r>
      <w:r w:rsidRPr="00AC57D5">
        <w:rPr>
          <w:rFonts w:ascii="Google Sans Text" w:eastAsia="Google Sans Text" w:hAnsi="Google Sans Text" w:cs="Google Sans Text"/>
          <w:color w:val="1F1F1F"/>
          <w:sz w:val="20"/>
          <w:szCs w:val="20"/>
        </w:rPr>
        <w:t xml:space="preserve"> Some studies suggest it can be safely continued, which is crucial given the risk of Stevens-Johnson syndrome with stop-start titration.</w:t>
      </w:r>
      <w:r w:rsidRPr="00AC57D5">
        <w:rPr>
          <w:rFonts w:ascii="Google Sans Text" w:eastAsia="Google Sans Text" w:hAnsi="Google Sans Text" w:cs="Google Sans Text"/>
          <w:color w:val="444746"/>
          <w:sz w:val="21"/>
          <w:szCs w:val="21"/>
          <w:vertAlign w:val="superscript"/>
        </w:rPr>
        <w:t>44</w:t>
      </w:r>
    </w:p>
    <w:p w14:paraId="24835D3A" w14:textId="77777777" w:rsidR="000215AE" w:rsidRPr="00AC57D5" w:rsidRDefault="00167558">
      <w:pPr>
        <w:pStyle w:val="Heading3"/>
        <w:spacing w:after="120" w:line="275" w:lineRule="auto"/>
        <w:rPr>
          <w:rFonts w:ascii="Google Sans" w:eastAsia="Google Sans" w:hAnsi="Google Sans" w:cs="Google Sans"/>
          <w:color w:val="1F1F1F"/>
          <w:sz w:val="22"/>
          <w:szCs w:val="22"/>
        </w:rPr>
      </w:pPr>
      <w:r w:rsidRPr="00AC57D5">
        <w:rPr>
          <w:rFonts w:ascii="Google Sans" w:eastAsia="Google Sans" w:hAnsi="Google Sans" w:cs="Google Sans"/>
          <w:color w:val="1F1F1F"/>
          <w:sz w:val="22"/>
          <w:szCs w:val="22"/>
        </w:rPr>
        <w:t>4. Antipsychotics (Clozapine and Others)</w:t>
      </w:r>
    </w:p>
    <w:p w14:paraId="5E9C45D2" w14:textId="77777777" w:rsidR="000215AE" w:rsidRPr="00AC57D5" w:rsidRDefault="00167558">
      <w:pPr>
        <w:numPr>
          <w:ilvl w:val="0"/>
          <w:numId w:val="21"/>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Clozapine Synergy:</w:t>
      </w:r>
      <w:r w:rsidRPr="00AC57D5">
        <w:rPr>
          <w:rFonts w:ascii="Google Sans Text" w:eastAsia="Google Sans Text" w:hAnsi="Google Sans Text" w:cs="Google Sans Text"/>
          <w:color w:val="1F1F1F"/>
          <w:sz w:val="20"/>
          <w:szCs w:val="20"/>
        </w:rPr>
        <w:t xml:space="preserve"> Clozapine lowers the seizure threshold, which can technically be a risk for spontaneous seizures, but in the context of ECT, this property is harnessed for synergy. The combination of ECT and clozapine is the treatment of choice for </w:t>
      </w:r>
      <w:r w:rsidRPr="00AC57D5">
        <w:rPr>
          <w:rFonts w:ascii="Google Sans Text" w:eastAsia="Google Sans Text" w:hAnsi="Google Sans Text" w:cs="Google Sans Text"/>
          <w:b/>
          <w:bCs/>
          <w:color w:val="1F1F1F"/>
          <w:sz w:val="20"/>
          <w:szCs w:val="20"/>
        </w:rPr>
        <w:t>super-refractory schizophrenia</w:t>
      </w:r>
      <w:r w:rsidRPr="00AC57D5">
        <w:rPr>
          <w:rFonts w:ascii="Google Sans Text" w:eastAsia="Google Sans Text" w:hAnsi="Google Sans Text" w:cs="Google Sans Text"/>
          <w:color w:val="1F1F1F"/>
          <w:sz w:val="20"/>
          <w:szCs w:val="20"/>
        </w:rPr>
        <w:t xml:space="preserve"> (Clozapine-resistant schizophrenia).</w:t>
      </w:r>
      <w:r w:rsidRPr="00AC57D5">
        <w:rPr>
          <w:rFonts w:ascii="Google Sans Text" w:eastAsia="Google Sans Text" w:hAnsi="Google Sans Text" w:cs="Google Sans Text"/>
          <w:color w:val="444746"/>
          <w:sz w:val="21"/>
          <w:szCs w:val="21"/>
          <w:vertAlign w:val="superscript"/>
        </w:rPr>
        <w:t>45</w:t>
      </w:r>
      <w:r w:rsidRPr="00AC57D5">
        <w:rPr>
          <w:rFonts w:ascii="Google Sans Text" w:eastAsia="Google Sans Text" w:hAnsi="Google Sans Text" w:cs="Google Sans Text"/>
          <w:color w:val="1F1F1F"/>
          <w:sz w:val="20"/>
          <w:szCs w:val="20"/>
        </w:rPr>
        <w:t xml:space="preserve"> Response rates in this severely ill population can reach 50–70%.</w:t>
      </w:r>
      <w:r w:rsidRPr="00AC57D5">
        <w:rPr>
          <w:rFonts w:ascii="Google Sans Text" w:eastAsia="Google Sans Text" w:hAnsi="Google Sans Text" w:cs="Google Sans Text"/>
          <w:color w:val="444746"/>
          <w:sz w:val="21"/>
          <w:szCs w:val="21"/>
          <w:vertAlign w:val="superscript"/>
        </w:rPr>
        <w:t>23</w:t>
      </w:r>
    </w:p>
    <w:p w14:paraId="2C2F7BA2" w14:textId="77777777" w:rsidR="000215AE" w:rsidRPr="00AC57D5" w:rsidRDefault="00167558">
      <w:pPr>
        <w:numPr>
          <w:ilvl w:val="0"/>
          <w:numId w:val="21"/>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Safety:</w:t>
      </w:r>
      <w:r w:rsidRPr="00AC57D5">
        <w:rPr>
          <w:rFonts w:ascii="Google Sans Text" w:eastAsia="Google Sans Text" w:hAnsi="Google Sans Text" w:cs="Google Sans Text"/>
          <w:color w:val="1F1F1F"/>
          <w:sz w:val="20"/>
          <w:szCs w:val="20"/>
        </w:rPr>
        <w:t xml:space="preserve"> While there is a theoretical risk of prolonged seizures ("tardive seizures"), reviews indicate the combination is safe with standard monitoring. The concern for "additive toxicity" is outweighed by the profound clinical benefit.</w:t>
      </w:r>
      <w:r w:rsidRPr="00AC57D5">
        <w:rPr>
          <w:rFonts w:ascii="Google Sans Text" w:eastAsia="Google Sans Text" w:hAnsi="Google Sans Text" w:cs="Google Sans Text"/>
          <w:color w:val="444746"/>
          <w:sz w:val="21"/>
          <w:szCs w:val="21"/>
          <w:vertAlign w:val="superscript"/>
        </w:rPr>
        <w:t>23</w:t>
      </w:r>
    </w:p>
    <w:p w14:paraId="34A6B05F" w14:textId="77777777" w:rsidR="000215AE" w:rsidRPr="00AC57D5" w:rsidRDefault="00167558">
      <w:pPr>
        <w:numPr>
          <w:ilvl w:val="0"/>
          <w:numId w:val="21"/>
        </w:numPr>
        <w:pBdr>
          <w:top w:val="nil"/>
          <w:left w:val="nil"/>
          <w:bottom w:val="nil"/>
          <w:right w:val="nil"/>
          <w:between w:val="nil"/>
        </w:pBdr>
        <w:spacing w:after="120" w:line="275" w:lineRule="auto"/>
        <w:rPr>
          <w:sz w:val="20"/>
          <w:szCs w:val="20"/>
        </w:rPr>
      </w:pPr>
      <w:r w:rsidRPr="00AC57D5">
        <w:rPr>
          <w:rFonts w:ascii="Google Sans Text" w:eastAsia="Google Sans Text" w:hAnsi="Google Sans Text" w:cs="Google Sans Text"/>
          <w:b/>
          <w:bCs/>
          <w:color w:val="1F1F1F"/>
          <w:sz w:val="20"/>
          <w:szCs w:val="20"/>
        </w:rPr>
        <w:t>Other Antipsychotics:</w:t>
      </w:r>
      <w:r w:rsidRPr="00AC57D5">
        <w:rPr>
          <w:rFonts w:ascii="Google Sans Text" w:eastAsia="Google Sans Text" w:hAnsi="Google Sans Text" w:cs="Google Sans Text"/>
          <w:color w:val="1F1F1F"/>
          <w:sz w:val="20"/>
          <w:szCs w:val="20"/>
        </w:rPr>
        <w:t xml:space="preserve"> Generally safe. Lowering the seizure threshold (typical of chlorpromazine, etc.) can facilitate ECT in patients with naturally high thresholds.</w:t>
      </w:r>
      <w:r w:rsidRPr="00AC57D5">
        <w:rPr>
          <w:rFonts w:ascii="Google Sans Text" w:eastAsia="Google Sans Text" w:hAnsi="Google Sans Text" w:cs="Google Sans Text"/>
          <w:color w:val="444746"/>
          <w:sz w:val="21"/>
          <w:szCs w:val="21"/>
          <w:vertAlign w:val="superscript"/>
        </w:rPr>
        <w:t>7</w:t>
      </w:r>
    </w:p>
    <w:p w14:paraId="79C90107" w14:textId="77777777" w:rsidR="000215AE" w:rsidRPr="00AC57D5" w:rsidRDefault="00167558">
      <w:pPr>
        <w:pStyle w:val="Heading3"/>
        <w:spacing w:after="120" w:line="275" w:lineRule="auto"/>
        <w:rPr>
          <w:rFonts w:ascii="Google Sans" w:eastAsia="Google Sans" w:hAnsi="Google Sans" w:cs="Google Sans"/>
          <w:color w:val="1F1F1F"/>
          <w:sz w:val="22"/>
          <w:szCs w:val="22"/>
        </w:rPr>
      </w:pPr>
      <w:r w:rsidRPr="00AC57D5">
        <w:rPr>
          <w:rFonts w:ascii="Google Sans" w:eastAsia="Google Sans" w:hAnsi="Google Sans" w:cs="Google Sans"/>
          <w:color w:val="1F1F1F"/>
          <w:sz w:val="22"/>
          <w:szCs w:val="22"/>
        </w:rPr>
        <w:t>5. Stimulants and Caffeine</w:t>
      </w:r>
    </w:p>
    <w:p w14:paraId="2F39658D" w14:textId="77777777" w:rsidR="000215AE" w:rsidRPr="00AC57D5" w:rsidRDefault="00167558">
      <w:pPr>
        <w:numPr>
          <w:ilvl w:val="0"/>
          <w:numId w:val="22"/>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Caffeine Augmentation:</w:t>
      </w:r>
      <w:r w:rsidRPr="00AC57D5">
        <w:rPr>
          <w:rFonts w:ascii="Google Sans Text" w:eastAsia="Google Sans Text" w:hAnsi="Google Sans Text" w:cs="Google Sans Text"/>
          <w:color w:val="1F1F1F"/>
          <w:sz w:val="20"/>
          <w:szCs w:val="20"/>
        </w:rPr>
        <w:t xml:space="preserve"> For patients with extremely high seizure thresholds (often older adults) or short, abortive seizures, IV caffeine (250–500 mg) is used as a pre-medication. By antagonizing adenosine (an endogenous anticonvulsant), caffeine lowers the seizure threshold and extends seizure duration without the cognitive penalty of simply increasing the electrical charge.</w:t>
      </w:r>
      <w:r w:rsidRPr="00AC57D5">
        <w:rPr>
          <w:rFonts w:ascii="Google Sans Text" w:eastAsia="Google Sans Text" w:hAnsi="Google Sans Text" w:cs="Google Sans Text"/>
          <w:color w:val="444746"/>
          <w:sz w:val="21"/>
          <w:szCs w:val="21"/>
          <w:vertAlign w:val="superscript"/>
        </w:rPr>
        <w:t>48</w:t>
      </w:r>
    </w:p>
    <w:p w14:paraId="47F99D60" w14:textId="77777777" w:rsidR="000215AE" w:rsidRPr="00AC57D5" w:rsidRDefault="00167558">
      <w:pPr>
        <w:numPr>
          <w:ilvl w:val="0"/>
          <w:numId w:val="22"/>
        </w:numPr>
        <w:pBdr>
          <w:top w:val="nil"/>
          <w:left w:val="nil"/>
          <w:bottom w:val="nil"/>
          <w:right w:val="nil"/>
          <w:between w:val="nil"/>
        </w:pBdr>
        <w:spacing w:after="120" w:line="275" w:lineRule="auto"/>
        <w:rPr>
          <w:sz w:val="20"/>
          <w:szCs w:val="20"/>
        </w:rPr>
      </w:pPr>
      <w:r w:rsidRPr="00AC57D5">
        <w:rPr>
          <w:rFonts w:ascii="Google Sans Text" w:eastAsia="Google Sans Text" w:hAnsi="Google Sans Text" w:cs="Google Sans Text"/>
          <w:b/>
          <w:bCs/>
          <w:color w:val="1F1F1F"/>
          <w:sz w:val="20"/>
          <w:szCs w:val="20"/>
        </w:rPr>
        <w:t>Psychostimulants (Methylphenidate):</w:t>
      </w:r>
      <w:r w:rsidRPr="00AC57D5">
        <w:rPr>
          <w:rFonts w:ascii="Google Sans Text" w:eastAsia="Google Sans Text" w:hAnsi="Google Sans Text" w:cs="Google Sans Text"/>
          <w:color w:val="1F1F1F"/>
          <w:sz w:val="20"/>
          <w:szCs w:val="20"/>
        </w:rPr>
        <w:t xml:space="preserve"> Case reports and small trials suggest methylphenidate can augment ECT response, particularly in patients with profound apathy or psychomotor retardation. It may also help counteract post-ECT cognitive slowing.</w:t>
      </w:r>
      <w:r w:rsidRPr="00AC57D5">
        <w:rPr>
          <w:rFonts w:ascii="Google Sans Text" w:eastAsia="Google Sans Text" w:hAnsi="Google Sans Text" w:cs="Google Sans Text"/>
          <w:color w:val="444746"/>
          <w:sz w:val="21"/>
          <w:szCs w:val="21"/>
          <w:vertAlign w:val="superscript"/>
        </w:rPr>
        <w:t>51</w:t>
      </w:r>
    </w:p>
    <w:p w14:paraId="4E174CD5" w14:textId="77777777" w:rsidR="000215AE" w:rsidRPr="00AC57D5" w:rsidRDefault="00167558">
      <w:pPr>
        <w:pStyle w:val="Heading3"/>
        <w:spacing w:after="120" w:line="275" w:lineRule="auto"/>
        <w:rPr>
          <w:rFonts w:ascii="Google Sans" w:eastAsia="Google Sans" w:hAnsi="Google Sans" w:cs="Google Sans"/>
          <w:color w:val="1F1F1F"/>
          <w:sz w:val="22"/>
          <w:szCs w:val="22"/>
        </w:rPr>
      </w:pPr>
      <w:r w:rsidRPr="00AC57D5">
        <w:rPr>
          <w:rFonts w:ascii="Google Sans" w:eastAsia="Google Sans" w:hAnsi="Google Sans" w:cs="Google Sans"/>
          <w:color w:val="1F1F1F"/>
          <w:sz w:val="22"/>
          <w:szCs w:val="22"/>
        </w:rPr>
        <w:t>6. GLP-1 Receptor Agonists (Semaglutide, Tirzepatide)</w:t>
      </w:r>
    </w:p>
    <w:p w14:paraId="6EEB62DD" w14:textId="77777777" w:rsidR="000215AE" w:rsidRPr="00AC57D5" w:rsidRDefault="00167558">
      <w:pPr>
        <w:numPr>
          <w:ilvl w:val="0"/>
          <w:numId w:val="23"/>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Emerging Risk (2024/2025):</w:t>
      </w:r>
      <w:r w:rsidRPr="00AC57D5">
        <w:rPr>
          <w:rFonts w:ascii="Google Sans Text" w:eastAsia="Google Sans Text" w:hAnsi="Google Sans Text" w:cs="Google Sans Text"/>
          <w:color w:val="1F1F1F"/>
          <w:sz w:val="20"/>
          <w:szCs w:val="20"/>
        </w:rPr>
        <w:t xml:space="preserve"> The explosion in use of GLP-1 agonists for diabetes and weight loss </w:t>
      </w:r>
      <w:r w:rsidRPr="00AC57D5">
        <w:rPr>
          <w:rFonts w:ascii="Google Sans Text" w:eastAsia="Google Sans Text" w:hAnsi="Google Sans Text" w:cs="Google Sans Text"/>
          <w:color w:val="1F1F1F"/>
          <w:sz w:val="20"/>
          <w:szCs w:val="20"/>
        </w:rPr>
        <w:lastRenderedPageBreak/>
        <w:t xml:space="preserve">has introduced a critical safety issue for ECT anesthesia: </w:t>
      </w:r>
      <w:r w:rsidRPr="00AC57D5">
        <w:rPr>
          <w:rFonts w:ascii="Google Sans Text" w:eastAsia="Google Sans Text" w:hAnsi="Google Sans Text" w:cs="Google Sans Text"/>
          <w:b/>
          <w:bCs/>
          <w:color w:val="1F1F1F"/>
          <w:sz w:val="20"/>
          <w:szCs w:val="20"/>
        </w:rPr>
        <w:t>delayed gastric emptying</w:t>
      </w:r>
      <w:r w:rsidRPr="00AC57D5">
        <w:rPr>
          <w:rFonts w:ascii="Google Sans Text" w:eastAsia="Google Sans Text" w:hAnsi="Google Sans Text" w:cs="Google Sans Text"/>
          <w:color w:val="1F1F1F"/>
          <w:sz w:val="20"/>
          <w:szCs w:val="20"/>
        </w:rPr>
        <w:t>. Patients on these medications, even those fasting for standard durations (8 hours), may have significant residual gastric content, posing a high risk of pulmonary aspiration during the bag-mask ventilation used in ECT.</w:t>
      </w:r>
      <w:r w:rsidRPr="00AC57D5">
        <w:rPr>
          <w:rFonts w:ascii="Google Sans Text" w:eastAsia="Google Sans Text" w:hAnsi="Google Sans Text" w:cs="Google Sans Text"/>
          <w:color w:val="444746"/>
          <w:sz w:val="21"/>
          <w:szCs w:val="21"/>
          <w:vertAlign w:val="superscript"/>
        </w:rPr>
        <w:t>11</w:t>
      </w:r>
    </w:p>
    <w:p w14:paraId="573CB02B" w14:textId="77777777" w:rsidR="000215AE" w:rsidRPr="00AC57D5" w:rsidRDefault="00167558">
      <w:pPr>
        <w:numPr>
          <w:ilvl w:val="0"/>
          <w:numId w:val="23"/>
        </w:numPr>
        <w:pBdr>
          <w:top w:val="nil"/>
          <w:left w:val="nil"/>
          <w:bottom w:val="nil"/>
          <w:right w:val="nil"/>
          <w:between w:val="nil"/>
        </w:pBdr>
        <w:spacing w:after="120" w:line="275" w:lineRule="auto"/>
        <w:rPr>
          <w:sz w:val="20"/>
          <w:szCs w:val="20"/>
        </w:rPr>
      </w:pPr>
      <w:r w:rsidRPr="00AC57D5">
        <w:rPr>
          <w:rFonts w:ascii="Google Sans Text" w:eastAsia="Google Sans Text" w:hAnsi="Google Sans Text" w:cs="Google Sans Text"/>
          <w:b/>
          <w:bCs/>
          <w:color w:val="1F1F1F"/>
          <w:sz w:val="20"/>
          <w:szCs w:val="20"/>
        </w:rPr>
        <w:t>New Guidelines:</w:t>
      </w:r>
      <w:r w:rsidRPr="00AC57D5">
        <w:rPr>
          <w:rFonts w:ascii="Google Sans Text" w:eastAsia="Google Sans Text" w:hAnsi="Google Sans Text" w:cs="Google Sans Text"/>
          <w:color w:val="1F1F1F"/>
          <w:sz w:val="20"/>
          <w:szCs w:val="20"/>
        </w:rPr>
        <w:t xml:space="preserve"> The American Society of Anesthesiologists (ASA) and other bodies issued consensus guidance in late 2023/2024. For elective procedures like ECT, the recommendation is often to </w:t>
      </w:r>
      <w:r w:rsidRPr="00AC57D5">
        <w:rPr>
          <w:rFonts w:ascii="Google Sans Text" w:eastAsia="Google Sans Text" w:hAnsi="Google Sans Text" w:cs="Google Sans Text"/>
          <w:b/>
          <w:bCs/>
          <w:color w:val="1F1F1F"/>
          <w:sz w:val="20"/>
          <w:szCs w:val="20"/>
        </w:rPr>
        <w:t>hold daily doses on the day of the procedure</w:t>
      </w:r>
      <w:r w:rsidRPr="00AC57D5">
        <w:rPr>
          <w:rFonts w:ascii="Google Sans Text" w:eastAsia="Google Sans Text" w:hAnsi="Google Sans Text" w:cs="Google Sans Text"/>
          <w:color w:val="1F1F1F"/>
          <w:sz w:val="20"/>
          <w:szCs w:val="20"/>
        </w:rPr>
        <w:t xml:space="preserve"> and </w:t>
      </w:r>
      <w:r w:rsidRPr="00AC57D5">
        <w:rPr>
          <w:rFonts w:ascii="Google Sans Text" w:eastAsia="Google Sans Text" w:hAnsi="Google Sans Text" w:cs="Google Sans Text"/>
          <w:b/>
          <w:bCs/>
          <w:color w:val="1F1F1F"/>
          <w:sz w:val="20"/>
          <w:szCs w:val="20"/>
        </w:rPr>
        <w:t>hold weekly doses (like Ozempic/Wegovy) for at least one week prior</w:t>
      </w:r>
      <w:r w:rsidRPr="00AC57D5">
        <w:rPr>
          <w:rFonts w:ascii="Google Sans Text" w:eastAsia="Google Sans Text" w:hAnsi="Google Sans Text" w:cs="Google Sans Text"/>
          <w:color w:val="1F1F1F"/>
          <w:sz w:val="20"/>
          <w:szCs w:val="20"/>
        </w:rPr>
        <w:t xml:space="preserve"> to the treatment.</w:t>
      </w:r>
      <w:r w:rsidRPr="00AC57D5">
        <w:rPr>
          <w:rFonts w:ascii="Google Sans Text" w:eastAsia="Google Sans Text" w:hAnsi="Google Sans Text" w:cs="Google Sans Text"/>
          <w:color w:val="444746"/>
          <w:sz w:val="21"/>
          <w:szCs w:val="21"/>
          <w:vertAlign w:val="superscript"/>
        </w:rPr>
        <w:t>12</w:t>
      </w:r>
      <w:r w:rsidRPr="00AC57D5">
        <w:rPr>
          <w:rFonts w:ascii="Google Sans Text" w:eastAsia="Google Sans Text" w:hAnsi="Google Sans Text" w:cs="Google Sans Text"/>
          <w:color w:val="1F1F1F"/>
          <w:sz w:val="20"/>
          <w:szCs w:val="20"/>
        </w:rPr>
        <w:t xml:space="preserve"> If holding is not possible or if symptoms (nausea, fullness) persist, gastric ultrasound should be used to assess stomach content before induction.</w:t>
      </w:r>
      <w:r w:rsidRPr="00AC57D5">
        <w:rPr>
          <w:rFonts w:ascii="Google Sans Text" w:eastAsia="Google Sans Text" w:hAnsi="Google Sans Text" w:cs="Google Sans Text"/>
          <w:color w:val="444746"/>
          <w:sz w:val="21"/>
          <w:szCs w:val="21"/>
          <w:vertAlign w:val="superscript"/>
        </w:rPr>
        <w:t>55</w:t>
      </w:r>
    </w:p>
    <w:p w14:paraId="4E3F5370" w14:textId="77777777" w:rsidR="000215AE" w:rsidRPr="00AC57D5" w:rsidRDefault="00167558">
      <w:pPr>
        <w:pStyle w:val="Heading2"/>
        <w:spacing w:before="240" w:after="120" w:line="275" w:lineRule="auto"/>
        <w:rPr>
          <w:rFonts w:ascii="Google Sans" w:eastAsia="Google Sans" w:hAnsi="Google Sans" w:cs="Google Sans"/>
          <w:color w:val="1F1F1F"/>
          <w:sz w:val="28"/>
          <w:szCs w:val="28"/>
        </w:rPr>
      </w:pPr>
      <w:r w:rsidRPr="00AC57D5">
        <w:rPr>
          <w:rFonts w:ascii="Google Sans" w:eastAsia="Google Sans" w:hAnsi="Google Sans" w:cs="Google Sans"/>
          <w:color w:val="1F1F1F"/>
          <w:sz w:val="28"/>
          <w:szCs w:val="28"/>
        </w:rPr>
        <w:t>Theoretical Frameworks: Attractors, Metaplasticity, and Network Dynamics</w:t>
      </w:r>
    </w:p>
    <w:p w14:paraId="6E70C627" w14:textId="77777777" w:rsidR="000215AE" w:rsidRPr="00AC57D5" w:rsidRDefault="00167558">
      <w:pPr>
        <w:pBdr>
          <w:top w:val="nil"/>
          <w:left w:val="nil"/>
          <w:bottom w:val="nil"/>
          <w:right w:val="nil"/>
          <w:between w:val="nil"/>
        </w:pBdr>
        <w:spacing w:after="240" w:line="275" w:lineRule="auto"/>
        <w:rPr>
          <w:rFonts w:ascii="Google Sans Text" w:eastAsia="Google Sans Text" w:hAnsi="Google Sans Text" w:cs="Google Sans Text"/>
          <w:color w:val="444746"/>
          <w:sz w:val="21"/>
          <w:szCs w:val="21"/>
          <w:vertAlign w:val="superscript"/>
        </w:rPr>
      </w:pPr>
      <w:r w:rsidRPr="00AC57D5">
        <w:rPr>
          <w:rFonts w:ascii="Google Sans Text" w:eastAsia="Google Sans Text" w:hAnsi="Google Sans Text" w:cs="Google Sans Text"/>
          <w:color w:val="1F1F1F"/>
          <w:sz w:val="20"/>
          <w:szCs w:val="20"/>
        </w:rPr>
        <w:t xml:space="preserve">Integrating the clinical data into a coherent theoretical model allows for more precise treatment planning. We utilize the </w:t>
      </w:r>
      <w:r w:rsidRPr="00AC57D5">
        <w:rPr>
          <w:rFonts w:ascii="Google Sans Text" w:eastAsia="Google Sans Text" w:hAnsi="Google Sans Text" w:cs="Google Sans Text"/>
          <w:b/>
          <w:bCs/>
          <w:color w:val="1F1F1F"/>
          <w:sz w:val="20"/>
          <w:szCs w:val="20"/>
        </w:rPr>
        <w:t>Attractor Landscape Model</w:t>
      </w:r>
      <w:r w:rsidRPr="00AC57D5">
        <w:rPr>
          <w:rFonts w:ascii="Google Sans Text" w:eastAsia="Google Sans Text" w:hAnsi="Google Sans Text" w:cs="Google Sans Text"/>
          <w:color w:val="1F1F1F"/>
          <w:sz w:val="20"/>
          <w:szCs w:val="20"/>
        </w:rPr>
        <w:t>, a concept from dynamical systems theory that visualizes brain states (e.g., depression, mania, euthymia) as "basins of attraction" in an energy landscape.</w:t>
      </w:r>
      <w:r w:rsidRPr="00AC57D5">
        <w:rPr>
          <w:rFonts w:ascii="Google Sans Text" w:eastAsia="Google Sans Text" w:hAnsi="Google Sans Text" w:cs="Google Sans Text"/>
          <w:color w:val="444746"/>
          <w:sz w:val="21"/>
          <w:szCs w:val="21"/>
          <w:vertAlign w:val="superscript"/>
        </w:rPr>
        <w:t>15</w:t>
      </w:r>
    </w:p>
    <w:p w14:paraId="776EB788" w14:textId="77777777" w:rsidR="000215AE" w:rsidRPr="00AC57D5" w:rsidRDefault="00167558">
      <w:pPr>
        <w:pStyle w:val="Heading3"/>
        <w:spacing w:before="0" w:after="120" w:line="275" w:lineRule="auto"/>
        <w:rPr>
          <w:rFonts w:ascii="Google Sans" w:eastAsia="Google Sans" w:hAnsi="Google Sans" w:cs="Google Sans"/>
          <w:color w:val="1F1F1F"/>
          <w:sz w:val="22"/>
          <w:szCs w:val="22"/>
        </w:rPr>
      </w:pPr>
      <w:r w:rsidRPr="00AC57D5">
        <w:rPr>
          <w:rFonts w:ascii="Google Sans" w:eastAsia="Google Sans" w:hAnsi="Google Sans" w:cs="Google Sans"/>
          <w:color w:val="1F1F1F"/>
          <w:sz w:val="22"/>
          <w:szCs w:val="22"/>
        </w:rPr>
        <w:t>The Pathological Attractor</w:t>
      </w:r>
    </w:p>
    <w:p w14:paraId="6D83D5DD" w14:textId="77777777" w:rsidR="000215AE" w:rsidRPr="00AC57D5" w:rsidRDefault="00167558">
      <w:pPr>
        <w:pBdr>
          <w:top w:val="nil"/>
          <w:left w:val="nil"/>
          <w:bottom w:val="nil"/>
          <w:right w:val="nil"/>
          <w:between w:val="nil"/>
        </w:pBdr>
        <w:spacing w:after="240" w:line="275" w:lineRule="auto"/>
        <w:rPr>
          <w:rFonts w:ascii="Google Sans Text" w:eastAsia="Google Sans Text" w:hAnsi="Google Sans Text" w:cs="Google Sans Text"/>
          <w:color w:val="444746"/>
          <w:sz w:val="21"/>
          <w:szCs w:val="21"/>
          <w:vertAlign w:val="superscript"/>
        </w:rPr>
      </w:pPr>
      <w:r w:rsidRPr="00AC57D5">
        <w:rPr>
          <w:rFonts w:ascii="Google Sans Text" w:eastAsia="Google Sans Text" w:hAnsi="Google Sans Text" w:cs="Google Sans Text"/>
          <w:color w:val="1F1F1F"/>
          <w:sz w:val="20"/>
          <w:szCs w:val="20"/>
        </w:rPr>
        <w:t>In TRD, the brain is trapped in a deep, pathological attractor basin. This state is characterized by rigid, self-reinforcing network patterns, such as hyperconnectivity of the Default Mode Network (DMN) (rumination) and disconnection of the Central Executive Network (CEN).</w:t>
      </w:r>
      <w:r w:rsidRPr="00AC57D5">
        <w:rPr>
          <w:rFonts w:ascii="Google Sans Text" w:eastAsia="Google Sans Text" w:hAnsi="Google Sans Text" w:cs="Google Sans Text"/>
          <w:color w:val="444746"/>
          <w:sz w:val="21"/>
          <w:szCs w:val="21"/>
          <w:vertAlign w:val="superscript"/>
        </w:rPr>
        <w:t>17</w:t>
      </w:r>
      <w:r w:rsidRPr="00AC57D5">
        <w:rPr>
          <w:rFonts w:ascii="Google Sans Text" w:eastAsia="Google Sans Text" w:hAnsi="Google Sans Text" w:cs="Google Sans Text"/>
          <w:color w:val="1F1F1F"/>
          <w:sz w:val="20"/>
          <w:szCs w:val="20"/>
        </w:rPr>
        <w:t xml:space="preserve"> The "depth" of this basin represents the resilience of the depression; standard perturbations (medication alone, psychotherapy) are insufficient to push the system out of the basin, and it inevitably rolls back to the bottom.</w:t>
      </w:r>
      <w:r w:rsidRPr="00AC57D5">
        <w:rPr>
          <w:rFonts w:ascii="Google Sans Text" w:eastAsia="Google Sans Text" w:hAnsi="Google Sans Text" w:cs="Google Sans Text"/>
          <w:color w:val="444746"/>
          <w:sz w:val="21"/>
          <w:szCs w:val="21"/>
          <w:vertAlign w:val="superscript"/>
        </w:rPr>
        <w:t>58</w:t>
      </w:r>
    </w:p>
    <w:p w14:paraId="75B06A0E" w14:textId="77777777" w:rsidR="000215AE" w:rsidRPr="00AC57D5" w:rsidRDefault="00167558">
      <w:pPr>
        <w:pStyle w:val="Heading3"/>
        <w:spacing w:before="0" w:after="120" w:line="275" w:lineRule="auto"/>
        <w:rPr>
          <w:rFonts w:ascii="Google Sans" w:eastAsia="Google Sans" w:hAnsi="Google Sans" w:cs="Google Sans"/>
          <w:color w:val="1F1F1F"/>
          <w:sz w:val="22"/>
          <w:szCs w:val="22"/>
        </w:rPr>
      </w:pPr>
      <w:r w:rsidRPr="00AC57D5">
        <w:rPr>
          <w:rFonts w:ascii="Google Sans" w:eastAsia="Google Sans" w:hAnsi="Google Sans" w:cs="Google Sans"/>
          <w:color w:val="1F1F1F"/>
          <w:sz w:val="22"/>
          <w:szCs w:val="22"/>
        </w:rPr>
        <w:t>ECT: "Flattening" the Landscape</w:t>
      </w:r>
    </w:p>
    <w:p w14:paraId="0BE19526" w14:textId="77777777" w:rsidR="000215AE" w:rsidRPr="00AC57D5" w:rsidRDefault="00167558">
      <w:pPr>
        <w:pBdr>
          <w:top w:val="nil"/>
          <w:left w:val="nil"/>
          <w:bottom w:val="nil"/>
          <w:right w:val="nil"/>
          <w:between w:val="nil"/>
        </w:pBdr>
        <w:spacing w:after="120" w:line="275" w:lineRule="auto"/>
        <w:rPr>
          <w:rFonts w:ascii="Google Sans Text" w:eastAsia="Google Sans Text" w:hAnsi="Google Sans Text" w:cs="Google Sans Text"/>
          <w:color w:val="444746"/>
          <w:sz w:val="21"/>
          <w:szCs w:val="21"/>
          <w:vertAlign w:val="superscript"/>
        </w:rPr>
      </w:pPr>
      <w:r w:rsidRPr="00AC57D5">
        <w:rPr>
          <w:rFonts w:ascii="Google Sans Text" w:eastAsia="Google Sans Text" w:hAnsi="Google Sans Text" w:cs="Google Sans Text"/>
          <w:color w:val="1F1F1F"/>
          <w:sz w:val="20"/>
          <w:szCs w:val="20"/>
        </w:rPr>
        <w:t>ECT functions as a high-energy, non-specific perturbation. The generalized seizure induces a state of global synchronization and high entropy that transiently "flattens" the energy landscape.</w:t>
      </w:r>
      <w:r w:rsidRPr="00AC57D5">
        <w:rPr>
          <w:rFonts w:ascii="Google Sans Text" w:eastAsia="Google Sans Text" w:hAnsi="Google Sans Text" w:cs="Google Sans Text"/>
          <w:color w:val="444746"/>
          <w:sz w:val="21"/>
          <w:szCs w:val="21"/>
          <w:vertAlign w:val="superscript"/>
        </w:rPr>
        <w:t>16</w:t>
      </w:r>
    </w:p>
    <w:p w14:paraId="6823823B" w14:textId="77777777" w:rsidR="000215AE" w:rsidRPr="00AC57D5" w:rsidRDefault="00167558">
      <w:pPr>
        <w:numPr>
          <w:ilvl w:val="0"/>
          <w:numId w:val="24"/>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Destabilization:</w:t>
      </w:r>
      <w:r w:rsidRPr="00AC57D5">
        <w:rPr>
          <w:rFonts w:ascii="Google Sans Text" w:eastAsia="Google Sans Text" w:hAnsi="Google Sans Text" w:cs="Google Sans Text"/>
          <w:color w:val="1F1F1F"/>
          <w:sz w:val="20"/>
          <w:szCs w:val="20"/>
        </w:rPr>
        <w:t xml:space="preserve"> By flattening the landscape (reducing the energy barriers between states), ECT makes the system labile. The rigid constraints of the DMN are disrupted, and the brain enters a flexible state where connectivity can be reconfigured.</w:t>
      </w:r>
      <w:r w:rsidRPr="00AC57D5">
        <w:rPr>
          <w:rFonts w:ascii="Google Sans Text" w:eastAsia="Google Sans Text" w:hAnsi="Google Sans Text" w:cs="Google Sans Text"/>
          <w:color w:val="444746"/>
          <w:sz w:val="21"/>
          <w:szCs w:val="21"/>
          <w:vertAlign w:val="superscript"/>
        </w:rPr>
        <w:t>16</w:t>
      </w:r>
    </w:p>
    <w:p w14:paraId="354810D0" w14:textId="77777777" w:rsidR="000215AE" w:rsidRPr="00AC57D5" w:rsidRDefault="00167558">
      <w:pPr>
        <w:numPr>
          <w:ilvl w:val="0"/>
          <w:numId w:val="24"/>
        </w:numPr>
        <w:pBdr>
          <w:top w:val="nil"/>
          <w:left w:val="nil"/>
          <w:bottom w:val="nil"/>
          <w:right w:val="nil"/>
          <w:between w:val="nil"/>
        </w:pBdr>
        <w:spacing w:after="120" w:line="275" w:lineRule="auto"/>
        <w:rPr>
          <w:sz w:val="20"/>
          <w:szCs w:val="20"/>
        </w:rPr>
      </w:pPr>
      <w:r w:rsidRPr="00AC57D5">
        <w:rPr>
          <w:rFonts w:ascii="Google Sans Text" w:eastAsia="Google Sans Text" w:hAnsi="Google Sans Text" w:cs="Google Sans Text"/>
          <w:b/>
          <w:bCs/>
          <w:color w:val="1F1F1F"/>
          <w:sz w:val="20"/>
          <w:szCs w:val="20"/>
        </w:rPr>
        <w:t>Control Energy:</w:t>
      </w:r>
      <w:r w:rsidRPr="00AC57D5">
        <w:rPr>
          <w:rFonts w:ascii="Google Sans Text" w:eastAsia="Google Sans Text" w:hAnsi="Google Sans Text" w:cs="Google Sans Text"/>
          <w:color w:val="1F1F1F"/>
          <w:sz w:val="20"/>
          <w:szCs w:val="20"/>
        </w:rPr>
        <w:t xml:space="preserve"> Network Control Theory suggests that the brain requires specific "control energy" to transition between states. ECT provides a massive infusion of this energy, allowing transitions that are energetically impossible under normal physiological conditions.</w:t>
      </w:r>
      <w:r w:rsidRPr="00AC57D5">
        <w:rPr>
          <w:rFonts w:ascii="Google Sans Text" w:eastAsia="Google Sans Text" w:hAnsi="Google Sans Text" w:cs="Google Sans Text"/>
          <w:color w:val="444746"/>
          <w:sz w:val="21"/>
          <w:szCs w:val="21"/>
          <w:vertAlign w:val="superscript"/>
        </w:rPr>
        <w:t>61</w:t>
      </w:r>
    </w:p>
    <w:p w14:paraId="28B9CD50" w14:textId="77777777" w:rsidR="000215AE" w:rsidRPr="00AC57D5" w:rsidRDefault="00167558">
      <w:pPr>
        <w:pStyle w:val="Heading3"/>
        <w:spacing w:after="120" w:line="275" w:lineRule="auto"/>
        <w:rPr>
          <w:rFonts w:ascii="Google Sans" w:eastAsia="Google Sans" w:hAnsi="Google Sans" w:cs="Google Sans"/>
          <w:color w:val="1F1F1F"/>
          <w:sz w:val="22"/>
          <w:szCs w:val="22"/>
        </w:rPr>
      </w:pPr>
      <w:r w:rsidRPr="00AC57D5">
        <w:rPr>
          <w:rFonts w:ascii="Google Sans" w:eastAsia="Google Sans" w:hAnsi="Google Sans" w:cs="Google Sans"/>
          <w:color w:val="1F1F1F"/>
          <w:sz w:val="22"/>
          <w:szCs w:val="22"/>
        </w:rPr>
        <w:t>Medications: "Tilting" and Stabilization</w:t>
      </w:r>
    </w:p>
    <w:p w14:paraId="7B06300E" w14:textId="77777777" w:rsidR="000215AE" w:rsidRPr="00AC57D5" w:rsidRDefault="00167558">
      <w:pPr>
        <w:pBdr>
          <w:top w:val="nil"/>
          <w:left w:val="nil"/>
          <w:bottom w:val="nil"/>
          <w:right w:val="nil"/>
          <w:between w:val="nil"/>
        </w:pBdr>
        <w:spacing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If ECT "flattens" the landscape to allow escape, medications work by "tilting" the landscape to favor the new, healthy attractor.</w:t>
      </w:r>
    </w:p>
    <w:p w14:paraId="376E798E" w14:textId="77777777" w:rsidR="000215AE" w:rsidRPr="00AC57D5" w:rsidRDefault="00167558">
      <w:pPr>
        <w:numPr>
          <w:ilvl w:val="0"/>
          <w:numId w:val="25"/>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Antidepressants:</w:t>
      </w:r>
      <w:r w:rsidRPr="00AC57D5">
        <w:rPr>
          <w:rFonts w:ascii="Google Sans Text" w:eastAsia="Google Sans Text" w:hAnsi="Google Sans Text" w:cs="Google Sans Text"/>
          <w:color w:val="1F1F1F"/>
          <w:sz w:val="20"/>
          <w:szCs w:val="20"/>
        </w:rPr>
        <w:t xml:space="preserve"> By sustaining neurotrophic signaling and monoaminergic tone, antidepressants deepen the basin of the "euthymic" attractor. Without this stabilization, the landscape may slowly revert to its pathological configuration, leading to relapse.</w:t>
      </w:r>
      <w:r w:rsidRPr="00AC57D5">
        <w:rPr>
          <w:rFonts w:ascii="Google Sans Text" w:eastAsia="Google Sans Text" w:hAnsi="Google Sans Text" w:cs="Google Sans Text"/>
          <w:color w:val="444746"/>
          <w:sz w:val="21"/>
          <w:szCs w:val="21"/>
          <w:vertAlign w:val="superscript"/>
        </w:rPr>
        <w:t>63</w:t>
      </w:r>
    </w:p>
    <w:p w14:paraId="243A08CA" w14:textId="77777777" w:rsidR="000215AE" w:rsidRPr="00AC57D5" w:rsidRDefault="00167558">
      <w:pPr>
        <w:numPr>
          <w:ilvl w:val="0"/>
          <w:numId w:val="25"/>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lastRenderedPageBreak/>
        <w:t>Benzodiazepines (The Stabilizers):</w:t>
      </w:r>
      <w:r w:rsidRPr="00AC57D5">
        <w:rPr>
          <w:rFonts w:ascii="Google Sans Text" w:eastAsia="Google Sans Text" w:hAnsi="Google Sans Text" w:cs="Google Sans Text"/>
          <w:color w:val="1F1F1F"/>
          <w:sz w:val="20"/>
          <w:szCs w:val="20"/>
        </w:rPr>
        <w:t xml:space="preserve"> BZDs increase inhibitory tone, which tends to deepen </w:t>
      </w:r>
      <w:r w:rsidRPr="00AC57D5">
        <w:rPr>
          <w:rFonts w:ascii="Google Sans Text" w:eastAsia="Google Sans Text" w:hAnsi="Google Sans Text" w:cs="Google Sans Text"/>
          <w:i/>
          <w:iCs/>
          <w:color w:val="1F1F1F"/>
          <w:sz w:val="20"/>
          <w:szCs w:val="20"/>
        </w:rPr>
        <w:t>all</w:t>
      </w:r>
      <w:r w:rsidRPr="00AC57D5">
        <w:rPr>
          <w:rFonts w:ascii="Google Sans Text" w:eastAsia="Google Sans Text" w:hAnsi="Google Sans Text" w:cs="Google Sans Text"/>
          <w:color w:val="1F1F1F"/>
          <w:sz w:val="20"/>
          <w:szCs w:val="20"/>
        </w:rPr>
        <w:t xml:space="preserve"> attractors, including the pathological one. They increase the "viscosity" of the state space, making it harder for ECT to destabilize the depression. This explains why BZD-loaded patients require higher energy to seize and show slower clinical response.</w:t>
      </w:r>
      <w:r w:rsidRPr="00AC57D5">
        <w:rPr>
          <w:rFonts w:ascii="Google Sans Text" w:eastAsia="Google Sans Text" w:hAnsi="Google Sans Text" w:cs="Google Sans Text"/>
          <w:color w:val="444746"/>
          <w:sz w:val="21"/>
          <w:szCs w:val="21"/>
          <w:vertAlign w:val="superscript"/>
        </w:rPr>
        <w:t>35</w:t>
      </w:r>
    </w:p>
    <w:p w14:paraId="616FFCCE" w14:textId="77777777" w:rsidR="000215AE" w:rsidRPr="00AC57D5" w:rsidRDefault="00167558">
      <w:pPr>
        <w:numPr>
          <w:ilvl w:val="0"/>
          <w:numId w:val="25"/>
        </w:numPr>
        <w:pBdr>
          <w:top w:val="nil"/>
          <w:left w:val="nil"/>
          <w:bottom w:val="nil"/>
          <w:right w:val="nil"/>
          <w:between w:val="nil"/>
        </w:pBdr>
        <w:spacing w:after="120" w:line="275" w:lineRule="auto"/>
        <w:rPr>
          <w:sz w:val="20"/>
          <w:szCs w:val="20"/>
        </w:rPr>
      </w:pPr>
      <w:r w:rsidRPr="00AC57D5">
        <w:rPr>
          <w:rFonts w:ascii="Google Sans Text" w:eastAsia="Google Sans Text" w:hAnsi="Google Sans Text" w:cs="Google Sans Text"/>
          <w:b/>
          <w:bCs/>
          <w:color w:val="1F1F1F"/>
          <w:sz w:val="20"/>
          <w:szCs w:val="20"/>
        </w:rPr>
        <w:t>Ketamine (The Lubricant):</w:t>
      </w:r>
      <w:r w:rsidRPr="00AC57D5">
        <w:rPr>
          <w:rFonts w:ascii="Google Sans Text" w:eastAsia="Google Sans Text" w:hAnsi="Google Sans Text" w:cs="Google Sans Text"/>
          <w:color w:val="1F1F1F"/>
          <w:sz w:val="20"/>
          <w:szCs w:val="20"/>
        </w:rPr>
        <w:t xml:space="preserve"> Ketamine, like ECT, can flatten the landscape (entropic brain hypothesis). When used as an induction agent, it may act synergistically with ECT to lower the energy barrier for transition, effectively "lubricating" the exit from the depressive basin.</w:t>
      </w:r>
      <w:r w:rsidRPr="00AC57D5">
        <w:rPr>
          <w:rFonts w:ascii="Google Sans Text" w:eastAsia="Google Sans Text" w:hAnsi="Google Sans Text" w:cs="Google Sans Text"/>
          <w:color w:val="444746"/>
          <w:sz w:val="21"/>
          <w:szCs w:val="21"/>
          <w:vertAlign w:val="superscript"/>
        </w:rPr>
        <w:t>28</w:t>
      </w:r>
    </w:p>
    <w:p w14:paraId="2042595C" w14:textId="77777777" w:rsidR="000215AE" w:rsidRPr="00AC57D5" w:rsidRDefault="00167558">
      <w:pPr>
        <w:pStyle w:val="Heading3"/>
        <w:spacing w:after="120" w:line="275" w:lineRule="auto"/>
        <w:rPr>
          <w:rFonts w:ascii="Google Sans" w:eastAsia="Google Sans" w:hAnsi="Google Sans" w:cs="Google Sans"/>
          <w:color w:val="1F1F1F"/>
          <w:sz w:val="22"/>
          <w:szCs w:val="22"/>
        </w:rPr>
      </w:pPr>
      <w:r w:rsidRPr="00AC57D5">
        <w:rPr>
          <w:rFonts w:ascii="Google Sans" w:eastAsia="Google Sans" w:hAnsi="Google Sans" w:cs="Google Sans"/>
          <w:color w:val="1F1F1F"/>
          <w:sz w:val="22"/>
          <w:szCs w:val="22"/>
        </w:rPr>
        <w:t>Metaplasticity Windows</w:t>
      </w:r>
    </w:p>
    <w:p w14:paraId="2C6ACED4" w14:textId="77777777" w:rsidR="000215AE" w:rsidRPr="00AC57D5" w:rsidRDefault="00167558">
      <w:pPr>
        <w:pBdr>
          <w:top w:val="nil"/>
          <w:left w:val="nil"/>
          <w:bottom w:val="nil"/>
          <w:right w:val="nil"/>
          <w:between w:val="nil"/>
        </w:pBdr>
        <w:spacing w:after="120" w:line="275" w:lineRule="auto"/>
        <w:rPr>
          <w:rFonts w:ascii="Google Sans Text" w:eastAsia="Google Sans Text" w:hAnsi="Google Sans Text" w:cs="Google Sans Text"/>
          <w:color w:val="444746"/>
          <w:sz w:val="21"/>
          <w:szCs w:val="21"/>
          <w:vertAlign w:val="superscript"/>
        </w:rPr>
      </w:pPr>
      <w:r w:rsidRPr="00AC57D5">
        <w:rPr>
          <w:rFonts w:ascii="Google Sans Text" w:eastAsia="Google Sans Text" w:hAnsi="Google Sans Text" w:cs="Google Sans Text"/>
          <w:color w:val="1F1F1F"/>
          <w:sz w:val="20"/>
          <w:szCs w:val="20"/>
        </w:rPr>
        <w:t xml:space="preserve">The immediate post-ECT period is a </w:t>
      </w:r>
      <w:r w:rsidRPr="00AC57D5">
        <w:rPr>
          <w:rFonts w:ascii="Google Sans Text" w:eastAsia="Google Sans Text" w:hAnsi="Google Sans Text" w:cs="Google Sans Text"/>
          <w:b/>
          <w:bCs/>
          <w:color w:val="1F1F1F"/>
          <w:sz w:val="20"/>
          <w:szCs w:val="20"/>
        </w:rPr>
        <w:t>"metaplastic window"</w:t>
      </w:r>
      <w:r w:rsidRPr="00AC57D5">
        <w:rPr>
          <w:rFonts w:ascii="Google Sans Text" w:eastAsia="Google Sans Text" w:hAnsi="Google Sans Text" w:cs="Google Sans Text"/>
          <w:color w:val="1F1F1F"/>
          <w:sz w:val="20"/>
          <w:szCs w:val="20"/>
        </w:rPr>
        <w:t xml:space="preserve"> of heightened sensitivity. The seizure has opened the door (flattened the landscape), but the direction the brain takes depends on the subsequent input.</w:t>
      </w:r>
      <w:r w:rsidRPr="00AC57D5">
        <w:rPr>
          <w:rFonts w:ascii="Google Sans Text" w:eastAsia="Google Sans Text" w:hAnsi="Google Sans Text" w:cs="Google Sans Text"/>
          <w:color w:val="444746"/>
          <w:sz w:val="21"/>
          <w:szCs w:val="21"/>
          <w:vertAlign w:val="superscript"/>
        </w:rPr>
        <w:t>26</w:t>
      </w:r>
    </w:p>
    <w:p w14:paraId="188D5B88" w14:textId="77777777" w:rsidR="000215AE" w:rsidRPr="00AC57D5" w:rsidRDefault="00167558">
      <w:pPr>
        <w:numPr>
          <w:ilvl w:val="0"/>
          <w:numId w:val="26"/>
        </w:numPr>
        <w:pBdr>
          <w:top w:val="nil"/>
          <w:left w:val="nil"/>
          <w:bottom w:val="nil"/>
          <w:right w:val="nil"/>
          <w:between w:val="nil"/>
        </w:pBdr>
        <w:spacing w:after="120" w:line="275" w:lineRule="auto"/>
        <w:rPr>
          <w:sz w:val="20"/>
          <w:szCs w:val="20"/>
        </w:rPr>
      </w:pPr>
      <w:r w:rsidRPr="00AC57D5">
        <w:rPr>
          <w:rFonts w:ascii="Google Sans Text" w:eastAsia="Google Sans Text" w:hAnsi="Google Sans Text" w:cs="Google Sans Text"/>
          <w:b/>
          <w:bCs/>
          <w:color w:val="1F1F1F"/>
          <w:sz w:val="20"/>
          <w:szCs w:val="20"/>
        </w:rPr>
        <w:t>Implication:</w:t>
      </w:r>
      <w:r w:rsidRPr="00AC57D5">
        <w:rPr>
          <w:rFonts w:ascii="Google Sans Text" w:eastAsia="Google Sans Text" w:hAnsi="Google Sans Text" w:cs="Google Sans Text"/>
          <w:color w:val="1F1F1F"/>
          <w:sz w:val="20"/>
          <w:szCs w:val="20"/>
        </w:rPr>
        <w:t xml:space="preserve"> This theoretical view supports the use of cues or cognitive retraining immediately post-ECT, as well as the rigorous maintenance of antidepressant medication to guide the "cooling" network into a healthy configuration rather than letting it slide back into the trauma/depression trace.</w:t>
      </w:r>
    </w:p>
    <w:p w14:paraId="01FD32F2" w14:textId="77777777" w:rsidR="000215AE" w:rsidRPr="00AC57D5" w:rsidRDefault="00167558">
      <w:pPr>
        <w:pStyle w:val="Heading2"/>
        <w:spacing w:before="240" w:after="120" w:line="275" w:lineRule="auto"/>
        <w:rPr>
          <w:rFonts w:ascii="Google Sans" w:eastAsia="Google Sans" w:hAnsi="Google Sans" w:cs="Google Sans"/>
          <w:color w:val="1F1F1F"/>
          <w:sz w:val="28"/>
          <w:szCs w:val="28"/>
        </w:rPr>
      </w:pPr>
      <w:r w:rsidRPr="00AC57D5">
        <w:rPr>
          <w:rFonts w:ascii="Google Sans" w:eastAsia="Google Sans" w:hAnsi="Google Sans" w:cs="Google Sans"/>
          <w:color w:val="1F1F1F"/>
          <w:sz w:val="28"/>
          <w:szCs w:val="28"/>
        </w:rPr>
        <w:t>Clinical Implications and Treatment Strategy</w:t>
      </w:r>
    </w:p>
    <w:p w14:paraId="69982CC7" w14:textId="77777777" w:rsidR="000215AE" w:rsidRPr="00AC57D5" w:rsidRDefault="00167558">
      <w:pPr>
        <w:pBdr>
          <w:top w:val="nil"/>
          <w:left w:val="nil"/>
          <w:bottom w:val="nil"/>
          <w:right w:val="nil"/>
          <w:between w:val="nil"/>
        </w:pBdr>
        <w:spacing w:after="24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Based on the synthesized evidence and theoretical models, the following strategies are recommended for the management of medications during ECT. This section is structured to provide actionable guidance for the clinician.</w:t>
      </w:r>
    </w:p>
    <w:p w14:paraId="0DFAB759" w14:textId="77777777" w:rsidR="000215AE" w:rsidRPr="00AC57D5" w:rsidRDefault="00167558">
      <w:pPr>
        <w:pStyle w:val="Heading3"/>
        <w:spacing w:before="0" w:after="120" w:line="275" w:lineRule="auto"/>
        <w:rPr>
          <w:rFonts w:ascii="Google Sans" w:eastAsia="Google Sans" w:hAnsi="Google Sans" w:cs="Google Sans"/>
          <w:color w:val="1F1F1F"/>
          <w:sz w:val="22"/>
          <w:szCs w:val="22"/>
        </w:rPr>
      </w:pPr>
      <w:r w:rsidRPr="00AC57D5">
        <w:rPr>
          <w:rFonts w:ascii="Google Sans" w:eastAsia="Google Sans" w:hAnsi="Google Sans" w:cs="Google Sans"/>
          <w:color w:val="1F1F1F"/>
          <w:sz w:val="22"/>
          <w:szCs w:val="22"/>
        </w:rPr>
        <w:t>1. General Strategy: The "Augmentation and Protection" Model</w:t>
      </w:r>
    </w:p>
    <w:p w14:paraId="66588EC5" w14:textId="77777777" w:rsidR="000215AE" w:rsidRPr="00AC57D5" w:rsidRDefault="00167558">
      <w:pPr>
        <w:pBdr>
          <w:top w:val="nil"/>
          <w:left w:val="nil"/>
          <w:bottom w:val="nil"/>
          <w:right w:val="nil"/>
          <w:between w:val="nil"/>
        </w:pBdr>
        <w:spacing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The goal is not merely to avoid negative interactions but to actively use pharmacology to enhance ECT.</w:t>
      </w:r>
    </w:p>
    <w:p w14:paraId="6E6A19AB" w14:textId="77777777" w:rsidR="000215AE" w:rsidRPr="00AC57D5" w:rsidRDefault="00167558">
      <w:pPr>
        <w:numPr>
          <w:ilvl w:val="0"/>
          <w:numId w:val="27"/>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Concurrent Use is Standard:</w:t>
      </w:r>
      <w:r w:rsidRPr="00AC57D5">
        <w:rPr>
          <w:rFonts w:ascii="Google Sans Text" w:eastAsia="Google Sans Text" w:hAnsi="Google Sans Text" w:cs="Google Sans Text"/>
          <w:color w:val="1F1F1F"/>
          <w:sz w:val="20"/>
          <w:szCs w:val="20"/>
        </w:rPr>
        <w:t xml:space="preserve"> The default strategy should be </w:t>
      </w:r>
      <w:r w:rsidRPr="00AC57D5">
        <w:rPr>
          <w:rFonts w:ascii="Google Sans Text" w:eastAsia="Google Sans Text" w:hAnsi="Google Sans Text" w:cs="Google Sans Text"/>
          <w:b/>
          <w:bCs/>
          <w:color w:val="1F1F1F"/>
          <w:sz w:val="20"/>
          <w:szCs w:val="20"/>
        </w:rPr>
        <w:t>Concurrent Pharmacotherapy</w:t>
      </w:r>
      <w:r w:rsidRPr="00AC57D5">
        <w:rPr>
          <w:rFonts w:ascii="Google Sans Text" w:eastAsia="Google Sans Text" w:hAnsi="Google Sans Text" w:cs="Google Sans Text"/>
          <w:color w:val="1F1F1F"/>
          <w:sz w:val="20"/>
          <w:szCs w:val="20"/>
        </w:rPr>
        <w:t>. Discontinuing antidepressants prior to ECT is outdated and increases the risk of post-ECT relapse. The "neurotrophic milieu" provided by antidepressants is essential for stabilizing the synaptic changes induced by the seizure.</w:t>
      </w:r>
      <w:r w:rsidRPr="00AC57D5">
        <w:rPr>
          <w:rFonts w:ascii="Google Sans Text" w:eastAsia="Google Sans Text" w:hAnsi="Google Sans Text" w:cs="Google Sans Text"/>
          <w:color w:val="444746"/>
          <w:sz w:val="21"/>
          <w:szCs w:val="21"/>
          <w:vertAlign w:val="superscript"/>
        </w:rPr>
        <w:t>9</w:t>
      </w:r>
    </w:p>
    <w:p w14:paraId="7767A9DB" w14:textId="77777777" w:rsidR="000215AE" w:rsidRPr="00AC57D5" w:rsidRDefault="00167558">
      <w:pPr>
        <w:numPr>
          <w:ilvl w:val="0"/>
          <w:numId w:val="27"/>
        </w:numPr>
        <w:pBdr>
          <w:top w:val="nil"/>
          <w:left w:val="nil"/>
          <w:bottom w:val="nil"/>
          <w:right w:val="nil"/>
          <w:between w:val="nil"/>
        </w:pBdr>
        <w:spacing w:after="120" w:line="275" w:lineRule="auto"/>
        <w:rPr>
          <w:sz w:val="20"/>
          <w:szCs w:val="20"/>
        </w:rPr>
      </w:pPr>
      <w:r w:rsidRPr="00AC57D5">
        <w:rPr>
          <w:rFonts w:ascii="Google Sans Text" w:eastAsia="Google Sans Text" w:hAnsi="Google Sans Text" w:cs="Google Sans Text"/>
          <w:b/>
          <w:bCs/>
          <w:color w:val="1F1F1F"/>
          <w:sz w:val="20"/>
          <w:szCs w:val="20"/>
        </w:rPr>
        <w:t>Relapse Prevention Starts on Day 1:</w:t>
      </w:r>
      <w:r w:rsidRPr="00AC57D5">
        <w:rPr>
          <w:rFonts w:ascii="Google Sans Text" w:eastAsia="Google Sans Text" w:hAnsi="Google Sans Text" w:cs="Google Sans Text"/>
          <w:color w:val="1F1F1F"/>
          <w:sz w:val="20"/>
          <w:szCs w:val="20"/>
        </w:rPr>
        <w:t xml:space="preserve"> Maintenance strategy should be determined before the ECT course ends. The combination of </w:t>
      </w:r>
      <w:r w:rsidRPr="00AC57D5">
        <w:rPr>
          <w:rFonts w:ascii="Google Sans Text" w:eastAsia="Google Sans Text" w:hAnsi="Google Sans Text" w:cs="Google Sans Text"/>
          <w:b/>
          <w:bCs/>
          <w:color w:val="1F1F1F"/>
          <w:sz w:val="20"/>
          <w:szCs w:val="20"/>
        </w:rPr>
        <w:t>Nortriptyline + Lithium</w:t>
      </w:r>
      <w:r w:rsidRPr="00AC57D5">
        <w:rPr>
          <w:rFonts w:ascii="Google Sans Text" w:eastAsia="Google Sans Text" w:hAnsi="Google Sans Text" w:cs="Google Sans Text"/>
          <w:color w:val="1F1F1F"/>
          <w:sz w:val="20"/>
          <w:szCs w:val="20"/>
        </w:rPr>
        <w:t xml:space="preserve"> remains the statistical gold standard for preventing post-ECT relapse in unipolar depression, though Venlafaxine + Lithium is also highly effective.</w:t>
      </w:r>
      <w:r w:rsidRPr="00AC57D5">
        <w:rPr>
          <w:rFonts w:ascii="Google Sans Text" w:eastAsia="Google Sans Text" w:hAnsi="Google Sans Text" w:cs="Google Sans Text"/>
          <w:color w:val="444746"/>
          <w:sz w:val="21"/>
          <w:szCs w:val="21"/>
          <w:vertAlign w:val="superscript"/>
        </w:rPr>
        <w:t>40</w:t>
      </w:r>
    </w:p>
    <w:p w14:paraId="5EEC369C" w14:textId="77777777" w:rsidR="000215AE" w:rsidRPr="00AC57D5" w:rsidRDefault="00167558">
      <w:pPr>
        <w:pStyle w:val="Heading3"/>
        <w:spacing w:after="120" w:line="275" w:lineRule="auto"/>
        <w:rPr>
          <w:rFonts w:ascii="Google Sans" w:eastAsia="Google Sans" w:hAnsi="Google Sans" w:cs="Google Sans"/>
          <w:color w:val="1F1F1F"/>
          <w:sz w:val="22"/>
          <w:szCs w:val="22"/>
        </w:rPr>
      </w:pPr>
      <w:r w:rsidRPr="00AC57D5">
        <w:rPr>
          <w:rFonts w:ascii="Google Sans" w:eastAsia="Google Sans" w:hAnsi="Google Sans" w:cs="Google Sans"/>
          <w:color w:val="1F1F1F"/>
          <w:sz w:val="22"/>
          <w:szCs w:val="22"/>
        </w:rPr>
        <w:t>2. Managing Interfering Medications (The "Lowering Resistance" Strategy)</w:t>
      </w:r>
    </w:p>
    <w:p w14:paraId="26F7E8D9" w14:textId="77777777" w:rsidR="000215AE" w:rsidRPr="00AC57D5" w:rsidRDefault="00167558">
      <w:pPr>
        <w:numPr>
          <w:ilvl w:val="0"/>
          <w:numId w:val="2"/>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Benzodiazepines:</w:t>
      </w:r>
    </w:p>
    <w:p w14:paraId="0FAC8F12" w14:textId="77777777" w:rsidR="000215AE" w:rsidRPr="00AC57D5" w:rsidRDefault="00167558">
      <w:pPr>
        <w:numPr>
          <w:ilvl w:val="1"/>
          <w:numId w:val="3"/>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Taper:</w:t>
      </w:r>
      <w:r w:rsidRPr="00AC57D5">
        <w:rPr>
          <w:rFonts w:ascii="Google Sans Text" w:eastAsia="Google Sans Text" w:hAnsi="Google Sans Text" w:cs="Google Sans Text"/>
          <w:color w:val="1F1F1F"/>
          <w:sz w:val="20"/>
          <w:szCs w:val="20"/>
        </w:rPr>
        <w:t xml:space="preserve"> Aggressively taper BZDs before starting ECT.</w:t>
      </w:r>
    </w:p>
    <w:p w14:paraId="69F96EE4" w14:textId="77777777" w:rsidR="000215AE" w:rsidRPr="00AC57D5" w:rsidRDefault="00167558">
      <w:pPr>
        <w:numPr>
          <w:ilvl w:val="1"/>
          <w:numId w:val="3"/>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Bypass:</w:t>
      </w:r>
      <w:r w:rsidRPr="00AC57D5">
        <w:rPr>
          <w:rFonts w:ascii="Google Sans Text" w:eastAsia="Google Sans Text" w:hAnsi="Google Sans Text" w:cs="Google Sans Text"/>
          <w:color w:val="1F1F1F"/>
          <w:sz w:val="20"/>
          <w:szCs w:val="20"/>
        </w:rPr>
        <w:t xml:space="preserve"> If tapering is impossible, use </w:t>
      </w:r>
      <w:r w:rsidRPr="00AC57D5">
        <w:rPr>
          <w:rFonts w:ascii="Google Sans Text" w:eastAsia="Google Sans Text" w:hAnsi="Google Sans Text" w:cs="Google Sans Text"/>
          <w:b/>
          <w:bCs/>
          <w:color w:val="1F1F1F"/>
          <w:sz w:val="20"/>
          <w:szCs w:val="20"/>
        </w:rPr>
        <w:t>Flumazenil</w:t>
      </w:r>
      <w:r w:rsidRPr="00AC57D5">
        <w:rPr>
          <w:rFonts w:ascii="Google Sans Text" w:eastAsia="Google Sans Text" w:hAnsi="Google Sans Text" w:cs="Google Sans Text"/>
          <w:color w:val="1F1F1F"/>
          <w:sz w:val="20"/>
          <w:szCs w:val="20"/>
        </w:rPr>
        <w:t xml:space="preserve"> (0.2–0.5 mg IV) immediately before anesthesia induction. This reverses the BZD effect at the receptor level, allowing for a therapeutic seizure without compromising the patient's anxiety management post-procedure.</w:t>
      </w:r>
      <w:r w:rsidRPr="00AC57D5">
        <w:rPr>
          <w:rFonts w:ascii="Google Sans Text" w:eastAsia="Google Sans Text" w:hAnsi="Google Sans Text" w:cs="Google Sans Text"/>
          <w:color w:val="444746"/>
          <w:sz w:val="21"/>
          <w:szCs w:val="21"/>
          <w:vertAlign w:val="superscript"/>
        </w:rPr>
        <w:t>6</w:t>
      </w:r>
    </w:p>
    <w:p w14:paraId="21201A5D" w14:textId="77777777" w:rsidR="000215AE" w:rsidRPr="00AC57D5" w:rsidRDefault="00167558">
      <w:pPr>
        <w:numPr>
          <w:ilvl w:val="1"/>
          <w:numId w:val="3"/>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Timing:</w:t>
      </w:r>
      <w:r w:rsidRPr="00AC57D5">
        <w:rPr>
          <w:rFonts w:ascii="Google Sans Text" w:eastAsia="Google Sans Text" w:hAnsi="Google Sans Text" w:cs="Google Sans Text"/>
          <w:color w:val="1F1F1F"/>
          <w:sz w:val="20"/>
          <w:szCs w:val="20"/>
        </w:rPr>
        <w:t xml:space="preserve"> Move the daily BZD dose to </w:t>
      </w:r>
      <w:r w:rsidRPr="00AC57D5">
        <w:rPr>
          <w:rFonts w:ascii="Google Sans Text" w:eastAsia="Google Sans Text" w:hAnsi="Google Sans Text" w:cs="Google Sans Text"/>
          <w:i/>
          <w:iCs/>
          <w:color w:val="1F1F1F"/>
          <w:sz w:val="20"/>
          <w:szCs w:val="20"/>
        </w:rPr>
        <w:t>after</w:t>
      </w:r>
      <w:r w:rsidRPr="00AC57D5">
        <w:rPr>
          <w:rFonts w:ascii="Google Sans Text" w:eastAsia="Google Sans Text" w:hAnsi="Google Sans Text" w:cs="Google Sans Text"/>
          <w:color w:val="1F1F1F"/>
          <w:sz w:val="20"/>
          <w:szCs w:val="20"/>
        </w:rPr>
        <w:t xml:space="preserve"> the treatment session (e.g., bedtime) to ensure the </w:t>
      </w:r>
      <w:r w:rsidRPr="00AC57D5">
        <w:rPr>
          <w:rFonts w:ascii="Google Sans Text" w:eastAsia="Google Sans Text" w:hAnsi="Google Sans Text" w:cs="Google Sans Text"/>
          <w:color w:val="1F1F1F"/>
          <w:sz w:val="20"/>
          <w:szCs w:val="20"/>
        </w:rPr>
        <w:lastRenderedPageBreak/>
        <w:t>trough level occurs during the ECT administration.</w:t>
      </w:r>
      <w:r w:rsidRPr="00AC57D5">
        <w:rPr>
          <w:rFonts w:ascii="Google Sans Text" w:eastAsia="Google Sans Text" w:hAnsi="Google Sans Text" w:cs="Google Sans Text"/>
          <w:color w:val="444746"/>
          <w:sz w:val="21"/>
          <w:szCs w:val="21"/>
          <w:vertAlign w:val="superscript"/>
        </w:rPr>
        <w:t>32</w:t>
      </w:r>
    </w:p>
    <w:p w14:paraId="67A02D16" w14:textId="77777777" w:rsidR="000215AE" w:rsidRPr="00AC57D5" w:rsidRDefault="00167558">
      <w:pPr>
        <w:numPr>
          <w:ilvl w:val="0"/>
          <w:numId w:val="2"/>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Anticonvulsants:</w:t>
      </w:r>
    </w:p>
    <w:p w14:paraId="06EE93E4" w14:textId="77777777" w:rsidR="000215AE" w:rsidRPr="00AC57D5" w:rsidRDefault="00167558">
      <w:pPr>
        <w:numPr>
          <w:ilvl w:val="1"/>
          <w:numId w:val="4"/>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Morning Hold:</w:t>
      </w:r>
      <w:r w:rsidRPr="00AC57D5">
        <w:rPr>
          <w:rFonts w:ascii="Google Sans Text" w:eastAsia="Google Sans Text" w:hAnsi="Google Sans Text" w:cs="Google Sans Text"/>
          <w:color w:val="1F1F1F"/>
          <w:sz w:val="20"/>
          <w:szCs w:val="20"/>
        </w:rPr>
        <w:t xml:space="preserve"> For mood stabilizers like Valproate or Carbamazepine, withhold the morning dose.</w:t>
      </w:r>
    </w:p>
    <w:p w14:paraId="09AC3EB7" w14:textId="77777777" w:rsidR="000215AE" w:rsidRPr="00AC57D5" w:rsidRDefault="00167558">
      <w:pPr>
        <w:numPr>
          <w:ilvl w:val="1"/>
          <w:numId w:val="4"/>
        </w:numPr>
        <w:pBdr>
          <w:top w:val="nil"/>
          <w:left w:val="nil"/>
          <w:bottom w:val="nil"/>
          <w:right w:val="nil"/>
          <w:between w:val="nil"/>
        </w:pBdr>
        <w:spacing w:after="120" w:line="275" w:lineRule="auto"/>
        <w:rPr>
          <w:sz w:val="20"/>
          <w:szCs w:val="20"/>
        </w:rPr>
      </w:pPr>
      <w:r w:rsidRPr="00AC57D5">
        <w:rPr>
          <w:rFonts w:ascii="Google Sans Text" w:eastAsia="Google Sans Text" w:hAnsi="Google Sans Text" w:cs="Google Sans Text"/>
          <w:b/>
          <w:bCs/>
          <w:color w:val="1F1F1F"/>
          <w:sz w:val="20"/>
          <w:szCs w:val="20"/>
        </w:rPr>
        <w:t>Lamotrigine:</w:t>
      </w:r>
      <w:r w:rsidRPr="00AC57D5">
        <w:rPr>
          <w:rFonts w:ascii="Google Sans Text" w:eastAsia="Google Sans Text" w:hAnsi="Google Sans Text" w:cs="Google Sans Text"/>
          <w:color w:val="1F1F1F"/>
          <w:sz w:val="20"/>
          <w:szCs w:val="20"/>
        </w:rPr>
        <w:t xml:space="preserve"> Can often be continued due to its lower interference profile and the risk of titration-related rash if stopped. However, be prepared to use higher electrical charges.</w:t>
      </w:r>
      <w:r w:rsidRPr="00AC57D5">
        <w:rPr>
          <w:rFonts w:ascii="Google Sans Text" w:eastAsia="Google Sans Text" w:hAnsi="Google Sans Text" w:cs="Google Sans Text"/>
          <w:color w:val="444746"/>
          <w:sz w:val="21"/>
          <w:szCs w:val="21"/>
          <w:vertAlign w:val="superscript"/>
        </w:rPr>
        <w:t>43</w:t>
      </w:r>
    </w:p>
    <w:p w14:paraId="2FEE9E64" w14:textId="77777777" w:rsidR="000215AE" w:rsidRPr="00AC57D5" w:rsidRDefault="00167558">
      <w:pPr>
        <w:pStyle w:val="Heading3"/>
        <w:spacing w:after="120" w:line="275" w:lineRule="auto"/>
        <w:rPr>
          <w:rFonts w:ascii="Google Sans" w:eastAsia="Google Sans" w:hAnsi="Google Sans" w:cs="Google Sans"/>
          <w:color w:val="1F1F1F"/>
          <w:sz w:val="22"/>
          <w:szCs w:val="22"/>
        </w:rPr>
      </w:pPr>
      <w:r w:rsidRPr="00AC57D5">
        <w:rPr>
          <w:rFonts w:ascii="Google Sans" w:eastAsia="Google Sans" w:hAnsi="Google Sans" w:cs="Google Sans"/>
          <w:color w:val="1F1F1F"/>
          <w:sz w:val="22"/>
          <w:szCs w:val="22"/>
        </w:rPr>
        <w:t>3. Leveraging Synergistic Combinations</w:t>
      </w:r>
    </w:p>
    <w:p w14:paraId="703F26BC" w14:textId="77777777" w:rsidR="000215AE" w:rsidRPr="00AC57D5" w:rsidRDefault="00167558">
      <w:pPr>
        <w:numPr>
          <w:ilvl w:val="0"/>
          <w:numId w:val="5"/>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Clozapine + ECT:</w:t>
      </w:r>
      <w:r w:rsidRPr="00AC57D5">
        <w:rPr>
          <w:rFonts w:ascii="Google Sans Text" w:eastAsia="Google Sans Text" w:hAnsi="Google Sans Text" w:cs="Google Sans Text"/>
          <w:color w:val="1F1F1F"/>
          <w:sz w:val="20"/>
          <w:szCs w:val="20"/>
        </w:rPr>
        <w:t xml:space="preserve"> For schizophrenia that has failed clozapine, add ECT rather than switching antipsychotics. Expect high efficacy. Monitor for prolonged seizures; if they occur, use a lower electrical dose or add a small dose of an anticonvulsant (ironically) only if safety dictates, but usually, simple observation is sufficient.</w:t>
      </w:r>
      <w:r w:rsidRPr="00AC57D5">
        <w:rPr>
          <w:rFonts w:ascii="Google Sans Text" w:eastAsia="Google Sans Text" w:hAnsi="Google Sans Text" w:cs="Google Sans Text"/>
          <w:color w:val="444746"/>
          <w:sz w:val="21"/>
          <w:szCs w:val="21"/>
          <w:vertAlign w:val="superscript"/>
        </w:rPr>
        <w:t>45</w:t>
      </w:r>
    </w:p>
    <w:p w14:paraId="41BDF448" w14:textId="77777777" w:rsidR="000215AE" w:rsidRPr="00AC57D5" w:rsidRDefault="00167558">
      <w:pPr>
        <w:numPr>
          <w:ilvl w:val="0"/>
          <w:numId w:val="5"/>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Ketamine Induction:</w:t>
      </w:r>
      <w:r w:rsidRPr="00AC57D5">
        <w:rPr>
          <w:rFonts w:ascii="Google Sans Text" w:eastAsia="Google Sans Text" w:hAnsi="Google Sans Text" w:cs="Google Sans Text"/>
          <w:color w:val="1F1F1F"/>
          <w:sz w:val="20"/>
          <w:szCs w:val="20"/>
        </w:rPr>
        <w:t xml:space="preserve"> Consider using </w:t>
      </w:r>
      <w:r w:rsidRPr="00AC57D5">
        <w:rPr>
          <w:rFonts w:ascii="Google Sans Text" w:eastAsia="Google Sans Text" w:hAnsi="Google Sans Text" w:cs="Google Sans Text"/>
          <w:b/>
          <w:bCs/>
          <w:color w:val="1F1F1F"/>
          <w:sz w:val="20"/>
          <w:szCs w:val="20"/>
        </w:rPr>
        <w:t>Ketamine</w:t>
      </w:r>
      <w:r w:rsidRPr="00AC57D5">
        <w:rPr>
          <w:rFonts w:ascii="Google Sans Text" w:eastAsia="Google Sans Text" w:hAnsi="Google Sans Text" w:cs="Google Sans Text"/>
          <w:color w:val="1F1F1F"/>
          <w:sz w:val="20"/>
          <w:szCs w:val="20"/>
        </w:rPr>
        <w:t xml:space="preserve"> (0.5 mg/kg) as the anesthetic induction agent (or in combination with propofol/thiopental) for patients who:</w:t>
      </w:r>
    </w:p>
    <w:p w14:paraId="2F513CE8" w14:textId="77777777" w:rsidR="000215AE" w:rsidRPr="00AC57D5" w:rsidRDefault="00167558">
      <w:pPr>
        <w:numPr>
          <w:ilvl w:val="1"/>
          <w:numId w:val="6"/>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color w:val="1F1F1F"/>
          <w:sz w:val="20"/>
          <w:szCs w:val="20"/>
        </w:rPr>
        <w:t>Have not responded to the first few ECT sessions (to harness metaplastic priming).</w:t>
      </w:r>
    </w:p>
    <w:p w14:paraId="5A9A6673" w14:textId="77777777" w:rsidR="000215AE" w:rsidRPr="00AC57D5" w:rsidRDefault="00167558">
      <w:pPr>
        <w:numPr>
          <w:ilvl w:val="1"/>
          <w:numId w:val="6"/>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color w:val="1F1F1F"/>
          <w:sz w:val="20"/>
          <w:szCs w:val="20"/>
        </w:rPr>
        <w:t>Have high seizure thresholds (ketamine does not raise threshold as much as propofol).</w:t>
      </w:r>
    </w:p>
    <w:p w14:paraId="70591F45" w14:textId="77777777" w:rsidR="000215AE" w:rsidRPr="00AC57D5" w:rsidRDefault="00167558">
      <w:pPr>
        <w:numPr>
          <w:ilvl w:val="1"/>
          <w:numId w:val="6"/>
        </w:numPr>
        <w:pBdr>
          <w:top w:val="nil"/>
          <w:left w:val="nil"/>
          <w:bottom w:val="nil"/>
          <w:right w:val="nil"/>
          <w:between w:val="nil"/>
        </w:pBdr>
        <w:spacing w:after="120" w:line="275" w:lineRule="auto"/>
        <w:rPr>
          <w:sz w:val="20"/>
          <w:szCs w:val="20"/>
        </w:rPr>
      </w:pPr>
      <w:r w:rsidRPr="00AC57D5">
        <w:rPr>
          <w:rFonts w:ascii="Google Sans Text" w:eastAsia="Google Sans Text" w:hAnsi="Google Sans Text" w:cs="Google Sans Text"/>
          <w:color w:val="1F1F1F"/>
          <w:sz w:val="20"/>
          <w:szCs w:val="20"/>
        </w:rPr>
        <w:t>Have significant cognitive fears (ketamine may have a neuroprotective profile, though data is mixed).</w:t>
      </w:r>
      <w:r w:rsidRPr="00AC57D5">
        <w:rPr>
          <w:rFonts w:ascii="Google Sans Text" w:eastAsia="Google Sans Text" w:hAnsi="Google Sans Text" w:cs="Google Sans Text"/>
          <w:color w:val="444746"/>
          <w:sz w:val="21"/>
          <w:szCs w:val="21"/>
          <w:vertAlign w:val="superscript"/>
        </w:rPr>
        <w:t>21</w:t>
      </w:r>
    </w:p>
    <w:p w14:paraId="26117D93" w14:textId="77777777" w:rsidR="000215AE" w:rsidRPr="00AC57D5" w:rsidRDefault="00167558">
      <w:pPr>
        <w:pStyle w:val="Heading3"/>
        <w:spacing w:after="120" w:line="275" w:lineRule="auto"/>
        <w:rPr>
          <w:rFonts w:ascii="Google Sans" w:eastAsia="Google Sans" w:hAnsi="Google Sans" w:cs="Google Sans"/>
          <w:color w:val="1F1F1F"/>
          <w:sz w:val="22"/>
          <w:szCs w:val="22"/>
        </w:rPr>
      </w:pPr>
      <w:r w:rsidRPr="00AC57D5">
        <w:rPr>
          <w:rFonts w:ascii="Google Sans" w:eastAsia="Google Sans" w:hAnsi="Google Sans" w:cs="Google Sans"/>
          <w:color w:val="1F1F1F"/>
          <w:sz w:val="22"/>
          <w:szCs w:val="22"/>
        </w:rPr>
        <w:t>4. Safety Protocols for Specific Agents</w:t>
      </w:r>
    </w:p>
    <w:p w14:paraId="080B2C46" w14:textId="77777777" w:rsidR="000215AE" w:rsidRPr="00AC57D5" w:rsidRDefault="00167558">
      <w:pPr>
        <w:numPr>
          <w:ilvl w:val="0"/>
          <w:numId w:val="7"/>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Lithium Safety:</w:t>
      </w:r>
      <w:r w:rsidRPr="00AC57D5">
        <w:rPr>
          <w:rFonts w:ascii="Google Sans Text" w:eastAsia="Google Sans Text" w:hAnsi="Google Sans Text" w:cs="Google Sans Text"/>
          <w:color w:val="1F1F1F"/>
          <w:sz w:val="20"/>
          <w:szCs w:val="20"/>
        </w:rPr>
        <w:t xml:space="preserve"> To avoid the high risk of delirium:</w:t>
      </w:r>
    </w:p>
    <w:p w14:paraId="2FAE31ED" w14:textId="77777777" w:rsidR="000215AE" w:rsidRPr="00AC57D5" w:rsidRDefault="00167558">
      <w:pPr>
        <w:numPr>
          <w:ilvl w:val="1"/>
          <w:numId w:val="8"/>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Discontinue</w:t>
      </w:r>
      <w:r w:rsidRPr="00AC57D5">
        <w:rPr>
          <w:rFonts w:ascii="Google Sans Text" w:eastAsia="Google Sans Text" w:hAnsi="Google Sans Text" w:cs="Google Sans Text"/>
          <w:color w:val="1F1F1F"/>
          <w:sz w:val="20"/>
          <w:szCs w:val="20"/>
        </w:rPr>
        <w:t xml:space="preserve"> lithium during the acute ECT course if possible.</w:t>
      </w:r>
    </w:p>
    <w:p w14:paraId="48BE294A" w14:textId="77777777" w:rsidR="000215AE" w:rsidRPr="00AC57D5" w:rsidRDefault="00167558">
      <w:pPr>
        <w:numPr>
          <w:ilvl w:val="1"/>
          <w:numId w:val="8"/>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Low-Dose Protocol:</w:t>
      </w:r>
      <w:r w:rsidRPr="00AC57D5">
        <w:rPr>
          <w:rFonts w:ascii="Google Sans Text" w:eastAsia="Google Sans Text" w:hAnsi="Google Sans Text" w:cs="Google Sans Text"/>
          <w:color w:val="1F1F1F"/>
          <w:sz w:val="20"/>
          <w:szCs w:val="20"/>
        </w:rPr>
        <w:t xml:space="preserve"> If lithium is essential (e.g., severe mania), maintain serum levels &lt;0.6 mmol/L and </w:t>
      </w:r>
      <w:r w:rsidRPr="00AC57D5">
        <w:rPr>
          <w:rFonts w:ascii="Google Sans Text" w:eastAsia="Google Sans Text" w:hAnsi="Google Sans Text" w:cs="Google Sans Text"/>
          <w:b/>
          <w:bCs/>
          <w:color w:val="1F1F1F"/>
          <w:sz w:val="20"/>
          <w:szCs w:val="20"/>
        </w:rPr>
        <w:t>strictly withhold the dose for 24 hours</w:t>
      </w:r>
      <w:r w:rsidRPr="00AC57D5">
        <w:rPr>
          <w:rFonts w:ascii="Google Sans Text" w:eastAsia="Google Sans Text" w:hAnsi="Google Sans Text" w:cs="Google Sans Text"/>
          <w:color w:val="1F1F1F"/>
          <w:sz w:val="20"/>
          <w:szCs w:val="20"/>
        </w:rPr>
        <w:t xml:space="preserve"> prior to each treatment. Resume dosing the evening of the treatment day.</w:t>
      </w:r>
      <w:r w:rsidRPr="00AC57D5">
        <w:rPr>
          <w:rFonts w:ascii="Google Sans Text" w:eastAsia="Google Sans Text" w:hAnsi="Google Sans Text" w:cs="Google Sans Text"/>
          <w:color w:val="444746"/>
          <w:sz w:val="21"/>
          <w:szCs w:val="21"/>
          <w:vertAlign w:val="superscript"/>
        </w:rPr>
        <w:t>37</w:t>
      </w:r>
    </w:p>
    <w:p w14:paraId="4242CDB4" w14:textId="77777777" w:rsidR="000215AE" w:rsidRPr="00AC57D5" w:rsidRDefault="00167558">
      <w:pPr>
        <w:numPr>
          <w:ilvl w:val="0"/>
          <w:numId w:val="7"/>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GLP-1 Agonist Protocol (2025 Standard):</w:t>
      </w:r>
    </w:p>
    <w:p w14:paraId="17DA59B8" w14:textId="77777777" w:rsidR="000215AE" w:rsidRPr="00AC57D5" w:rsidRDefault="00167558">
      <w:pPr>
        <w:numPr>
          <w:ilvl w:val="1"/>
          <w:numId w:val="9"/>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Screening:</w:t>
      </w:r>
      <w:r w:rsidRPr="00AC57D5">
        <w:rPr>
          <w:rFonts w:ascii="Google Sans Text" w:eastAsia="Google Sans Text" w:hAnsi="Google Sans Text" w:cs="Google Sans Text"/>
          <w:color w:val="1F1F1F"/>
          <w:sz w:val="20"/>
          <w:szCs w:val="20"/>
        </w:rPr>
        <w:t xml:space="preserve"> Ask every patient specifically about Ozempic, Wegovy, Mounjaro, etc.</w:t>
      </w:r>
    </w:p>
    <w:p w14:paraId="2EB0ADD4" w14:textId="77777777" w:rsidR="000215AE" w:rsidRPr="00AC57D5" w:rsidRDefault="00167558">
      <w:pPr>
        <w:numPr>
          <w:ilvl w:val="1"/>
          <w:numId w:val="9"/>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Holding Rules:</w:t>
      </w:r>
      <w:r w:rsidRPr="00AC57D5">
        <w:rPr>
          <w:rFonts w:ascii="Google Sans Text" w:eastAsia="Google Sans Text" w:hAnsi="Google Sans Text" w:cs="Google Sans Text"/>
          <w:color w:val="1F1F1F"/>
          <w:sz w:val="20"/>
          <w:szCs w:val="20"/>
        </w:rPr>
        <w:t xml:space="preserve"> Hold </w:t>
      </w:r>
      <w:r w:rsidRPr="00AC57D5">
        <w:rPr>
          <w:rFonts w:ascii="Google Sans Text" w:eastAsia="Google Sans Text" w:hAnsi="Google Sans Text" w:cs="Google Sans Text"/>
          <w:b/>
          <w:bCs/>
          <w:color w:val="1F1F1F"/>
          <w:sz w:val="20"/>
          <w:szCs w:val="20"/>
        </w:rPr>
        <w:t>daily</w:t>
      </w:r>
      <w:r w:rsidRPr="00AC57D5">
        <w:rPr>
          <w:rFonts w:ascii="Google Sans Text" w:eastAsia="Google Sans Text" w:hAnsi="Google Sans Text" w:cs="Google Sans Text"/>
          <w:color w:val="1F1F1F"/>
          <w:sz w:val="20"/>
          <w:szCs w:val="20"/>
        </w:rPr>
        <w:t xml:space="preserve"> agonists on the day of ECT. Hold </w:t>
      </w:r>
      <w:r w:rsidRPr="00AC57D5">
        <w:rPr>
          <w:rFonts w:ascii="Google Sans Text" w:eastAsia="Google Sans Text" w:hAnsi="Google Sans Text" w:cs="Google Sans Text"/>
          <w:b/>
          <w:bCs/>
          <w:color w:val="1F1F1F"/>
          <w:sz w:val="20"/>
          <w:szCs w:val="20"/>
        </w:rPr>
        <w:t>weekly</w:t>
      </w:r>
      <w:r w:rsidRPr="00AC57D5">
        <w:rPr>
          <w:rFonts w:ascii="Google Sans Text" w:eastAsia="Google Sans Text" w:hAnsi="Google Sans Text" w:cs="Google Sans Text"/>
          <w:color w:val="1F1F1F"/>
          <w:sz w:val="20"/>
          <w:szCs w:val="20"/>
        </w:rPr>
        <w:t xml:space="preserve"> agonists for </w:t>
      </w:r>
      <w:r w:rsidRPr="00AC57D5">
        <w:rPr>
          <w:rFonts w:ascii="Google Sans Text" w:eastAsia="Google Sans Text" w:hAnsi="Google Sans Text" w:cs="Google Sans Text"/>
          <w:b/>
          <w:bCs/>
          <w:color w:val="1F1F1F"/>
          <w:sz w:val="20"/>
          <w:szCs w:val="20"/>
        </w:rPr>
        <w:t>1 week</w:t>
      </w:r>
      <w:r w:rsidRPr="00AC57D5">
        <w:rPr>
          <w:rFonts w:ascii="Google Sans Text" w:eastAsia="Google Sans Text" w:hAnsi="Google Sans Text" w:cs="Google Sans Text"/>
          <w:color w:val="1F1F1F"/>
          <w:sz w:val="20"/>
          <w:szCs w:val="20"/>
        </w:rPr>
        <w:t xml:space="preserve"> prior to ECT.</w:t>
      </w:r>
    </w:p>
    <w:p w14:paraId="4B096A84" w14:textId="77777777" w:rsidR="000215AE" w:rsidRPr="00AC57D5" w:rsidRDefault="00167558">
      <w:pPr>
        <w:numPr>
          <w:ilvl w:val="1"/>
          <w:numId w:val="9"/>
        </w:numPr>
        <w:pBdr>
          <w:top w:val="nil"/>
          <w:left w:val="nil"/>
          <w:bottom w:val="nil"/>
          <w:right w:val="nil"/>
          <w:between w:val="nil"/>
        </w:pBdr>
        <w:spacing w:after="120" w:line="275" w:lineRule="auto"/>
        <w:rPr>
          <w:sz w:val="20"/>
          <w:szCs w:val="20"/>
        </w:rPr>
      </w:pPr>
      <w:r w:rsidRPr="00AC57D5">
        <w:rPr>
          <w:rFonts w:ascii="Google Sans Text" w:eastAsia="Google Sans Text" w:hAnsi="Google Sans Text" w:cs="Google Sans Text"/>
          <w:b/>
          <w:bCs/>
          <w:color w:val="1F1F1F"/>
          <w:sz w:val="20"/>
          <w:szCs w:val="20"/>
        </w:rPr>
        <w:t>Ultrasound:</w:t>
      </w:r>
      <w:r w:rsidRPr="00AC57D5">
        <w:rPr>
          <w:rFonts w:ascii="Google Sans Text" w:eastAsia="Google Sans Text" w:hAnsi="Google Sans Text" w:cs="Google Sans Text"/>
          <w:color w:val="1F1F1F"/>
          <w:sz w:val="20"/>
          <w:szCs w:val="20"/>
        </w:rPr>
        <w:t xml:space="preserve"> If holding is not clinically feasible (e.g., severe diabetes instability), perform </w:t>
      </w:r>
      <w:r w:rsidRPr="00AC57D5">
        <w:rPr>
          <w:rFonts w:ascii="Google Sans Text" w:eastAsia="Google Sans Text" w:hAnsi="Google Sans Text" w:cs="Google Sans Text"/>
          <w:b/>
          <w:bCs/>
          <w:color w:val="1F1F1F"/>
          <w:sz w:val="20"/>
          <w:szCs w:val="20"/>
        </w:rPr>
        <w:t>gastric ultrasound</w:t>
      </w:r>
      <w:r w:rsidRPr="00AC57D5">
        <w:rPr>
          <w:rFonts w:ascii="Google Sans Text" w:eastAsia="Google Sans Text" w:hAnsi="Google Sans Text" w:cs="Google Sans Text"/>
          <w:color w:val="1F1F1F"/>
          <w:sz w:val="20"/>
          <w:szCs w:val="20"/>
        </w:rPr>
        <w:t xml:space="preserve"> pre-procedure. If "full stomach" signs are present, cancel or use Rapid Sequence Induction (RSI) with intubation (though intubation is cumbersome for routine ECT, making holding the drug the preferred strategy).</w:t>
      </w:r>
      <w:r w:rsidRPr="00AC57D5">
        <w:rPr>
          <w:rFonts w:ascii="Google Sans Text" w:eastAsia="Google Sans Text" w:hAnsi="Google Sans Text" w:cs="Google Sans Text"/>
          <w:color w:val="444746"/>
          <w:sz w:val="21"/>
          <w:szCs w:val="21"/>
          <w:vertAlign w:val="superscript"/>
        </w:rPr>
        <w:t>11</w:t>
      </w:r>
    </w:p>
    <w:p w14:paraId="43483540" w14:textId="77777777" w:rsidR="000215AE" w:rsidRPr="00AC57D5" w:rsidRDefault="00167558">
      <w:pPr>
        <w:pStyle w:val="Heading3"/>
        <w:spacing w:after="120" w:line="275" w:lineRule="auto"/>
        <w:rPr>
          <w:rFonts w:ascii="Google Sans" w:eastAsia="Google Sans" w:hAnsi="Google Sans" w:cs="Google Sans"/>
          <w:color w:val="1F1F1F"/>
          <w:sz w:val="22"/>
          <w:szCs w:val="22"/>
        </w:rPr>
      </w:pPr>
      <w:r w:rsidRPr="00AC57D5">
        <w:rPr>
          <w:rFonts w:ascii="Google Sans" w:eastAsia="Google Sans" w:hAnsi="Google Sans" w:cs="Google Sans"/>
          <w:color w:val="1F1F1F"/>
          <w:sz w:val="22"/>
          <w:szCs w:val="22"/>
        </w:rPr>
        <w:t>5. Strategies for Cognitive Protection</w:t>
      </w:r>
    </w:p>
    <w:p w14:paraId="442FB649" w14:textId="77777777" w:rsidR="000215AE" w:rsidRPr="00AC57D5" w:rsidRDefault="00167558">
      <w:pPr>
        <w:numPr>
          <w:ilvl w:val="0"/>
          <w:numId w:val="10"/>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Memantine:</w:t>
      </w:r>
      <w:r w:rsidRPr="00AC57D5">
        <w:rPr>
          <w:rFonts w:ascii="Google Sans Text" w:eastAsia="Google Sans Text" w:hAnsi="Google Sans Text" w:cs="Google Sans Text"/>
          <w:color w:val="1F1F1F"/>
          <w:sz w:val="20"/>
          <w:szCs w:val="20"/>
        </w:rPr>
        <w:t xml:space="preserve"> Meta-analyses (2024) indicate that adjunctive </w:t>
      </w:r>
      <w:r w:rsidRPr="00AC57D5">
        <w:rPr>
          <w:rFonts w:ascii="Google Sans Text" w:eastAsia="Google Sans Text" w:hAnsi="Google Sans Text" w:cs="Google Sans Text"/>
          <w:b/>
          <w:bCs/>
          <w:color w:val="1F1F1F"/>
          <w:sz w:val="20"/>
          <w:szCs w:val="20"/>
        </w:rPr>
        <w:t>Memantine</w:t>
      </w:r>
      <w:r w:rsidRPr="00AC57D5">
        <w:rPr>
          <w:rFonts w:ascii="Google Sans Text" w:eastAsia="Google Sans Text" w:hAnsi="Google Sans Text" w:cs="Google Sans Text"/>
          <w:color w:val="1F1F1F"/>
          <w:sz w:val="20"/>
          <w:szCs w:val="20"/>
        </w:rPr>
        <w:t xml:space="preserve"> (5–10 mg/day) can reduce global cognitive impairment and improve memory outcomes without compromising ECT efficacy.</w:t>
      </w:r>
      <w:r w:rsidRPr="00AC57D5">
        <w:rPr>
          <w:rFonts w:ascii="Google Sans Text" w:eastAsia="Google Sans Text" w:hAnsi="Google Sans Text" w:cs="Google Sans Text"/>
          <w:color w:val="444746"/>
          <w:sz w:val="21"/>
          <w:szCs w:val="21"/>
          <w:vertAlign w:val="superscript"/>
        </w:rPr>
        <w:t>71</w:t>
      </w:r>
      <w:r w:rsidRPr="00AC57D5">
        <w:rPr>
          <w:rFonts w:ascii="Google Sans Text" w:eastAsia="Google Sans Text" w:hAnsi="Google Sans Text" w:cs="Google Sans Text"/>
          <w:color w:val="1F1F1F"/>
          <w:sz w:val="20"/>
          <w:szCs w:val="20"/>
        </w:rPr>
        <w:t xml:space="preserve"> It works by blocking excitotoxic NMDA current (excessive noise) while preserving the synaptic plasticity signals.</w:t>
      </w:r>
    </w:p>
    <w:p w14:paraId="7570E6C8" w14:textId="77777777" w:rsidR="000215AE" w:rsidRPr="00AC57D5" w:rsidRDefault="00167558">
      <w:pPr>
        <w:numPr>
          <w:ilvl w:val="0"/>
          <w:numId w:val="10"/>
        </w:numPr>
        <w:pBdr>
          <w:top w:val="nil"/>
          <w:left w:val="nil"/>
          <w:bottom w:val="nil"/>
          <w:right w:val="nil"/>
          <w:between w:val="nil"/>
        </w:pBdr>
        <w:spacing w:after="120" w:line="275" w:lineRule="auto"/>
        <w:rPr>
          <w:sz w:val="20"/>
          <w:szCs w:val="20"/>
        </w:rPr>
      </w:pPr>
      <w:r w:rsidRPr="00AC57D5">
        <w:rPr>
          <w:rFonts w:ascii="Google Sans Text" w:eastAsia="Google Sans Text" w:hAnsi="Google Sans Text" w:cs="Google Sans Text"/>
          <w:b/>
          <w:bCs/>
          <w:color w:val="1F1F1F"/>
          <w:sz w:val="20"/>
          <w:szCs w:val="20"/>
        </w:rPr>
        <w:t>Cholinesterase Inhibitors:</w:t>
      </w:r>
      <w:r w:rsidRPr="00AC57D5">
        <w:rPr>
          <w:rFonts w:ascii="Google Sans Text" w:eastAsia="Google Sans Text" w:hAnsi="Google Sans Text" w:cs="Google Sans Text"/>
          <w:color w:val="1F1F1F"/>
          <w:sz w:val="20"/>
          <w:szCs w:val="20"/>
        </w:rPr>
        <w:t xml:space="preserve"> Donepezil has shown mixed but promising results in preserving cognitive function during ECT maintenance.</w:t>
      </w:r>
      <w:r w:rsidRPr="00AC57D5">
        <w:rPr>
          <w:rFonts w:ascii="Google Sans Text" w:eastAsia="Google Sans Text" w:hAnsi="Google Sans Text" w:cs="Google Sans Text"/>
          <w:color w:val="444746"/>
          <w:sz w:val="21"/>
          <w:szCs w:val="21"/>
          <w:vertAlign w:val="superscript"/>
        </w:rPr>
        <w:t>73</w:t>
      </w:r>
    </w:p>
    <w:p w14:paraId="075285D0" w14:textId="77777777" w:rsidR="000215AE" w:rsidRPr="00AC57D5" w:rsidRDefault="00167558">
      <w:pPr>
        <w:pStyle w:val="Heading3"/>
        <w:spacing w:after="120" w:line="275" w:lineRule="auto"/>
        <w:rPr>
          <w:rFonts w:ascii="Google Sans" w:eastAsia="Google Sans" w:hAnsi="Google Sans" w:cs="Google Sans"/>
          <w:color w:val="1F1F1F"/>
          <w:sz w:val="22"/>
          <w:szCs w:val="22"/>
        </w:rPr>
      </w:pPr>
      <w:r w:rsidRPr="00AC57D5">
        <w:rPr>
          <w:rFonts w:ascii="Google Sans" w:eastAsia="Google Sans" w:hAnsi="Google Sans" w:cs="Google Sans"/>
          <w:color w:val="1F1F1F"/>
          <w:sz w:val="22"/>
          <w:szCs w:val="22"/>
        </w:rPr>
        <w:t>6. Maintenance and Sequential Pharmacotherapy</w:t>
      </w:r>
    </w:p>
    <w:p w14:paraId="03E4397C" w14:textId="77777777" w:rsidR="000215AE" w:rsidRPr="00AC57D5" w:rsidRDefault="00167558">
      <w:pPr>
        <w:numPr>
          <w:ilvl w:val="0"/>
          <w:numId w:val="11"/>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lastRenderedPageBreak/>
        <w:t>Sequential vs. Concurrent:</w:t>
      </w:r>
      <w:r w:rsidRPr="00AC57D5">
        <w:rPr>
          <w:rFonts w:ascii="Google Sans Text" w:eastAsia="Google Sans Text" w:hAnsi="Google Sans Text" w:cs="Google Sans Text"/>
          <w:color w:val="1F1F1F"/>
          <w:sz w:val="20"/>
          <w:szCs w:val="20"/>
        </w:rPr>
        <w:t xml:space="preserve"> Evidence strongly favors </w:t>
      </w:r>
      <w:r w:rsidRPr="00AC57D5">
        <w:rPr>
          <w:rFonts w:ascii="Google Sans Text" w:eastAsia="Google Sans Text" w:hAnsi="Google Sans Text" w:cs="Google Sans Text"/>
          <w:b/>
          <w:bCs/>
          <w:color w:val="1F1F1F"/>
          <w:sz w:val="20"/>
          <w:szCs w:val="20"/>
        </w:rPr>
        <w:t>Concurrent Initiation</w:t>
      </w:r>
      <w:r w:rsidRPr="00AC57D5">
        <w:rPr>
          <w:rFonts w:ascii="Google Sans Text" w:eastAsia="Google Sans Text" w:hAnsi="Google Sans Text" w:cs="Google Sans Text"/>
          <w:color w:val="1F1F1F"/>
          <w:sz w:val="20"/>
          <w:szCs w:val="20"/>
        </w:rPr>
        <w:t xml:space="preserve">. Starting the maintenance medication (e.g., Lithium) </w:t>
      </w:r>
      <w:r w:rsidRPr="00AC57D5">
        <w:rPr>
          <w:rFonts w:ascii="Google Sans Text" w:eastAsia="Google Sans Text" w:hAnsi="Google Sans Text" w:cs="Google Sans Text"/>
          <w:i/>
          <w:iCs/>
          <w:color w:val="1F1F1F"/>
          <w:sz w:val="20"/>
          <w:szCs w:val="20"/>
        </w:rPr>
        <w:t>during</w:t>
      </w:r>
      <w:r w:rsidRPr="00AC57D5">
        <w:rPr>
          <w:rFonts w:ascii="Google Sans Text" w:eastAsia="Google Sans Text" w:hAnsi="Google Sans Text" w:cs="Google Sans Text"/>
          <w:color w:val="1F1F1F"/>
          <w:sz w:val="20"/>
          <w:szCs w:val="20"/>
        </w:rPr>
        <w:t xml:space="preserve"> the final week of the acute ECT course (or tapering it back in) prevents the "gap" in coverage that often leads to early relapse.</w:t>
      </w:r>
      <w:r w:rsidRPr="00AC57D5">
        <w:rPr>
          <w:rFonts w:ascii="Google Sans Text" w:eastAsia="Google Sans Text" w:hAnsi="Google Sans Text" w:cs="Google Sans Text"/>
          <w:color w:val="444746"/>
          <w:sz w:val="21"/>
          <w:szCs w:val="21"/>
          <w:vertAlign w:val="superscript"/>
        </w:rPr>
        <w:t>9</w:t>
      </w:r>
    </w:p>
    <w:p w14:paraId="657DF102" w14:textId="77777777" w:rsidR="000215AE" w:rsidRPr="00AC57D5" w:rsidRDefault="00167558">
      <w:pPr>
        <w:numPr>
          <w:ilvl w:val="0"/>
          <w:numId w:val="11"/>
        </w:numPr>
        <w:pBdr>
          <w:top w:val="nil"/>
          <w:left w:val="nil"/>
          <w:bottom w:val="nil"/>
          <w:right w:val="nil"/>
          <w:between w:val="nil"/>
        </w:pBdr>
        <w:spacing w:after="120" w:line="275" w:lineRule="auto"/>
        <w:rPr>
          <w:sz w:val="20"/>
          <w:szCs w:val="20"/>
        </w:rPr>
      </w:pPr>
      <w:r w:rsidRPr="00AC57D5">
        <w:rPr>
          <w:rFonts w:ascii="Google Sans Text" w:eastAsia="Google Sans Text" w:hAnsi="Google Sans Text" w:cs="Google Sans Text"/>
          <w:b/>
          <w:bCs/>
          <w:color w:val="1F1F1F"/>
          <w:sz w:val="20"/>
          <w:szCs w:val="20"/>
        </w:rPr>
        <w:t>Continuation ECT (C-ECT):</w:t>
      </w:r>
      <w:r w:rsidRPr="00AC57D5">
        <w:rPr>
          <w:rFonts w:ascii="Google Sans Text" w:eastAsia="Google Sans Text" w:hAnsi="Google Sans Text" w:cs="Google Sans Text"/>
          <w:color w:val="1F1F1F"/>
          <w:sz w:val="20"/>
          <w:szCs w:val="20"/>
        </w:rPr>
        <w:t xml:space="preserve"> For patients who relapse despite medication, C-ECT is indicated. The frequency should be titrated (e.g., weekly </w:t>
      </w:r>
      <w:r w:rsidRPr="00AC57D5">
        <w:rPr>
          <w:rFonts w:ascii="Google Sans Text" w:eastAsia="Google Sans Text" w:hAnsi="Google Sans Text" w:cs="Google Sans Text"/>
          <w:noProof/>
          <w:color w:val="1F1F1F"/>
          <w:sz w:val="20"/>
          <w:szCs w:val="20"/>
        </w:rPr>
        <w:drawing>
          <wp:inline distT="19050" distB="19050" distL="19050" distR="19050" wp14:anchorId="7ECC1AD3" wp14:editId="772E10C7">
            <wp:extent cx="184473" cy="22330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84473" cy="223309"/>
                    </a:xfrm>
                    <a:prstGeom prst="rect">
                      <a:avLst/>
                    </a:prstGeom>
                    <a:ln/>
                  </pic:spPr>
                </pic:pic>
              </a:graphicData>
            </a:graphic>
          </wp:inline>
        </w:drawing>
      </w:r>
      <w:r w:rsidRPr="00AC57D5">
        <w:rPr>
          <w:rFonts w:ascii="Google Sans Text" w:eastAsia="Google Sans Text" w:hAnsi="Google Sans Text" w:cs="Google Sans Text"/>
          <w:color w:val="1F1F1F"/>
          <w:sz w:val="20"/>
          <w:szCs w:val="20"/>
        </w:rPr>
        <w:t xml:space="preserve"> biweekly </w:t>
      </w:r>
      <w:r w:rsidRPr="00AC57D5">
        <w:rPr>
          <w:rFonts w:ascii="Google Sans Text" w:eastAsia="Google Sans Text" w:hAnsi="Google Sans Text" w:cs="Google Sans Text"/>
          <w:noProof/>
          <w:color w:val="1F1F1F"/>
          <w:sz w:val="20"/>
          <w:szCs w:val="20"/>
        </w:rPr>
        <w:drawing>
          <wp:inline distT="19050" distB="19050" distL="19050" distR="19050" wp14:anchorId="3D46935C" wp14:editId="57900E02">
            <wp:extent cx="184473" cy="223309"/>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84473" cy="223309"/>
                    </a:xfrm>
                    <a:prstGeom prst="rect">
                      <a:avLst/>
                    </a:prstGeom>
                    <a:ln/>
                  </pic:spPr>
                </pic:pic>
              </a:graphicData>
            </a:graphic>
          </wp:inline>
        </w:drawing>
      </w:r>
      <w:r w:rsidRPr="00AC57D5">
        <w:rPr>
          <w:rFonts w:ascii="Google Sans Text" w:eastAsia="Google Sans Text" w:hAnsi="Google Sans Text" w:cs="Google Sans Text"/>
          <w:color w:val="1F1F1F"/>
          <w:sz w:val="20"/>
          <w:szCs w:val="20"/>
        </w:rPr>
        <w:t xml:space="preserve"> monthly) based on symptom re-emergence ("symptom-titrated schedule") rather than a fixed calendar schedule.</w:t>
      </w:r>
      <w:r w:rsidRPr="00AC57D5">
        <w:rPr>
          <w:rFonts w:ascii="Google Sans Text" w:eastAsia="Google Sans Text" w:hAnsi="Google Sans Text" w:cs="Google Sans Text"/>
          <w:color w:val="444746"/>
          <w:sz w:val="21"/>
          <w:szCs w:val="21"/>
          <w:vertAlign w:val="superscript"/>
        </w:rPr>
        <w:t>76</w:t>
      </w:r>
    </w:p>
    <w:p w14:paraId="2B93C4F3" w14:textId="77777777" w:rsidR="000215AE" w:rsidRPr="00AC57D5" w:rsidRDefault="00167558">
      <w:pPr>
        <w:pStyle w:val="Heading2"/>
        <w:spacing w:before="240" w:after="120" w:line="275" w:lineRule="auto"/>
        <w:rPr>
          <w:rFonts w:ascii="Google Sans" w:eastAsia="Google Sans" w:hAnsi="Google Sans" w:cs="Google Sans"/>
          <w:color w:val="1F1F1F"/>
          <w:sz w:val="28"/>
          <w:szCs w:val="28"/>
        </w:rPr>
      </w:pPr>
      <w:r w:rsidRPr="00AC57D5">
        <w:rPr>
          <w:rFonts w:ascii="Google Sans" w:eastAsia="Google Sans" w:hAnsi="Google Sans" w:cs="Google Sans"/>
          <w:color w:val="1F1F1F"/>
          <w:sz w:val="28"/>
          <w:szCs w:val="28"/>
        </w:rPr>
        <w:t>Synthesis and Future Directions</w:t>
      </w:r>
    </w:p>
    <w:p w14:paraId="5EF77558" w14:textId="77777777" w:rsidR="000215AE" w:rsidRPr="00AC57D5" w:rsidRDefault="00167558">
      <w:pPr>
        <w:pBdr>
          <w:top w:val="nil"/>
          <w:left w:val="nil"/>
          <w:bottom w:val="nil"/>
          <w:right w:val="nil"/>
          <w:between w:val="nil"/>
        </w:pBdr>
        <w:spacing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The field of ECT has moved beyond the simple application of electricity to a sophisticated manipulation of neural networks, where pharmacology plays a decisive role. The interactions are predictable based on the mechanisms of excitability and plasticity:</w:t>
      </w:r>
    </w:p>
    <w:p w14:paraId="565D8D5B" w14:textId="77777777" w:rsidR="000215AE" w:rsidRPr="00AC57D5" w:rsidRDefault="00167558">
      <w:pPr>
        <w:numPr>
          <w:ilvl w:val="0"/>
          <w:numId w:val="12"/>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GABAergic agonists</w:t>
      </w:r>
      <w:r w:rsidRPr="00AC57D5">
        <w:rPr>
          <w:rFonts w:ascii="Google Sans Text" w:eastAsia="Google Sans Text" w:hAnsi="Google Sans Text" w:cs="Google Sans Text"/>
          <w:color w:val="1F1F1F"/>
          <w:sz w:val="20"/>
          <w:szCs w:val="20"/>
        </w:rPr>
        <w:t xml:space="preserve"> (Benzodiazepines) resist the "flattening" of the landscape and should be minimized or reversed.</w:t>
      </w:r>
    </w:p>
    <w:p w14:paraId="5E04B479" w14:textId="77777777" w:rsidR="000215AE" w:rsidRPr="00AC57D5" w:rsidRDefault="00167558">
      <w:pPr>
        <w:numPr>
          <w:ilvl w:val="0"/>
          <w:numId w:val="12"/>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Glutamatergic modulators</w:t>
      </w:r>
      <w:r w:rsidRPr="00AC57D5">
        <w:rPr>
          <w:rFonts w:ascii="Google Sans Text" w:eastAsia="Google Sans Text" w:hAnsi="Google Sans Text" w:cs="Google Sans Text"/>
          <w:color w:val="1F1F1F"/>
          <w:sz w:val="20"/>
          <w:szCs w:val="20"/>
        </w:rPr>
        <w:t xml:space="preserve"> (Ketamine, Memantine) offer tools to prime the network or protect against excitotoxicity.</w:t>
      </w:r>
    </w:p>
    <w:p w14:paraId="758C6CAE" w14:textId="77777777" w:rsidR="000215AE" w:rsidRPr="00AC57D5" w:rsidRDefault="00167558">
      <w:pPr>
        <w:numPr>
          <w:ilvl w:val="0"/>
          <w:numId w:val="12"/>
        </w:numPr>
        <w:pBdr>
          <w:top w:val="nil"/>
          <w:left w:val="nil"/>
          <w:bottom w:val="nil"/>
          <w:right w:val="nil"/>
          <w:between w:val="nil"/>
        </w:pBdr>
        <w:spacing w:line="275" w:lineRule="auto"/>
        <w:rPr>
          <w:sz w:val="20"/>
          <w:szCs w:val="20"/>
        </w:rPr>
      </w:pPr>
      <w:r w:rsidRPr="00AC57D5">
        <w:rPr>
          <w:rFonts w:ascii="Google Sans Text" w:eastAsia="Google Sans Text" w:hAnsi="Google Sans Text" w:cs="Google Sans Text"/>
          <w:b/>
          <w:bCs/>
          <w:color w:val="1F1F1F"/>
          <w:sz w:val="20"/>
          <w:szCs w:val="20"/>
        </w:rPr>
        <w:t>Monoaminergic agents</w:t>
      </w:r>
      <w:r w:rsidRPr="00AC57D5">
        <w:rPr>
          <w:rFonts w:ascii="Google Sans Text" w:eastAsia="Google Sans Text" w:hAnsi="Google Sans Text" w:cs="Google Sans Text"/>
          <w:color w:val="1F1F1F"/>
          <w:sz w:val="20"/>
          <w:szCs w:val="20"/>
        </w:rPr>
        <w:t xml:space="preserve"> (Antidepressants) provide the necessary stability to maintain the new network configuration.</w:t>
      </w:r>
    </w:p>
    <w:p w14:paraId="2732508A" w14:textId="77777777" w:rsidR="000215AE" w:rsidRPr="00AC57D5" w:rsidRDefault="00167558">
      <w:pPr>
        <w:numPr>
          <w:ilvl w:val="0"/>
          <w:numId w:val="12"/>
        </w:numPr>
        <w:pBdr>
          <w:top w:val="nil"/>
          <w:left w:val="nil"/>
          <w:bottom w:val="nil"/>
          <w:right w:val="nil"/>
          <w:between w:val="nil"/>
        </w:pBdr>
        <w:spacing w:after="120" w:line="275" w:lineRule="auto"/>
        <w:rPr>
          <w:sz w:val="20"/>
          <w:szCs w:val="20"/>
        </w:rPr>
      </w:pPr>
      <w:r w:rsidRPr="00AC57D5">
        <w:rPr>
          <w:rFonts w:ascii="Google Sans Text" w:eastAsia="Google Sans Text" w:hAnsi="Google Sans Text" w:cs="Google Sans Text"/>
          <w:b/>
          <w:bCs/>
          <w:color w:val="1F1F1F"/>
          <w:sz w:val="20"/>
          <w:szCs w:val="20"/>
        </w:rPr>
        <w:t>Metabolic agents</w:t>
      </w:r>
      <w:r w:rsidRPr="00AC57D5">
        <w:rPr>
          <w:rFonts w:ascii="Google Sans Text" w:eastAsia="Google Sans Text" w:hAnsi="Google Sans Text" w:cs="Google Sans Text"/>
          <w:color w:val="1F1F1F"/>
          <w:sz w:val="20"/>
          <w:szCs w:val="20"/>
        </w:rPr>
        <w:t xml:space="preserve"> (GLP-1s) introduce new physical safety variables that require vigilant anesthetic management.</w:t>
      </w:r>
    </w:p>
    <w:p w14:paraId="5048853D" w14:textId="77777777" w:rsidR="000215AE" w:rsidRPr="00AC57D5" w:rsidRDefault="00167558">
      <w:pPr>
        <w:pBdr>
          <w:top w:val="nil"/>
          <w:left w:val="nil"/>
          <w:bottom w:val="nil"/>
          <w:right w:val="nil"/>
          <w:between w:val="nil"/>
        </w:pBdr>
        <w:spacing w:before="240" w:after="24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By integrating these "Clinical Implications and Treatment Strategies," clinicians can transform ECT from a standalone salvage therapy into a precision medicine intervention, optimized by the rational co-administration of psychotropic drugs to achieve deep, resilient remission in the most severe psychiatric disorders.</w:t>
      </w:r>
    </w:p>
    <w:p w14:paraId="092C5D77" w14:textId="77777777" w:rsidR="000215AE" w:rsidRPr="00AC57D5" w:rsidRDefault="00167558">
      <w:pPr>
        <w:pStyle w:val="Heading3"/>
        <w:spacing w:before="120" w:after="120" w:line="275" w:lineRule="auto"/>
        <w:rPr>
          <w:rFonts w:ascii="Google Sans" w:eastAsia="Google Sans" w:hAnsi="Google Sans" w:cs="Google Sans"/>
          <w:color w:val="1F1F1F"/>
          <w:sz w:val="22"/>
          <w:szCs w:val="22"/>
        </w:rPr>
      </w:pPr>
      <w:r>
        <w:rPr>
          <w:noProof/>
          <w:sz w:val="22"/>
          <w:szCs w:val="22"/>
        </w:rPr>
      </w:r>
      <w:r w:rsidR="00167558">
        <w:rPr>
          <w:noProof/>
          <w:sz w:val="22"/>
          <w:szCs w:val="22"/>
        </w:rPr>
        <w:pict w14:anchorId="69331CB2">
          <v:rect id="_x0000_i1025" alt="" style="width:468pt;height:.05pt;mso-width-percent:0;mso-height-percent:0;mso-width-percent:0;mso-height-percent:0" o:hralign="center" o:hrstd="t" o:hr="t" fillcolor="#a0a0a0" stroked="f"/>
        </w:pict>
      </w:r>
      <w:r w:rsidR="00364572" w:rsidRPr="00AC57D5">
        <w:rPr>
          <w:rFonts w:ascii="Google Sans" w:eastAsia="Google Sans" w:hAnsi="Google Sans" w:cs="Google Sans"/>
          <w:color w:val="1F1F1F"/>
          <w:sz w:val="22"/>
          <w:szCs w:val="22"/>
        </w:rPr>
        <w:t>Table 1: Summary of Drug Interactions with ECT and Clinical Management</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0215AE" w:rsidRPr="00AC57D5" w14:paraId="2C7D88F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0A4BB7"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b/>
                <w:bCs/>
                <w:color w:val="1F1F1F"/>
                <w:sz w:val="20"/>
                <w:szCs w:val="20"/>
              </w:rPr>
            </w:pPr>
            <w:r w:rsidRPr="00AC57D5">
              <w:rPr>
                <w:rFonts w:ascii="Google Sans Text" w:eastAsia="Google Sans Text" w:hAnsi="Google Sans Text" w:cs="Google Sans Text"/>
                <w:b/>
                <w:bCs/>
                <w:color w:val="1F1F1F"/>
                <w:sz w:val="20"/>
                <w:szCs w:val="20"/>
              </w:rPr>
              <w:t>Drug Class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0768C5"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b/>
                <w:bCs/>
                <w:color w:val="1F1F1F"/>
                <w:sz w:val="20"/>
                <w:szCs w:val="20"/>
              </w:rPr>
            </w:pPr>
            <w:r w:rsidRPr="00AC57D5">
              <w:rPr>
                <w:rFonts w:ascii="Google Sans Text" w:eastAsia="Google Sans Text" w:hAnsi="Google Sans Text" w:cs="Google Sans Text"/>
                <w:b/>
                <w:bCs/>
                <w:color w:val="1F1F1F"/>
                <w:sz w:val="20"/>
                <w:szCs w:val="20"/>
              </w:rPr>
              <w:t>Interaction Mechanism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4B3DBC"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b/>
                <w:bCs/>
                <w:color w:val="1F1F1F"/>
                <w:sz w:val="20"/>
                <w:szCs w:val="20"/>
              </w:rPr>
            </w:pPr>
            <w:r w:rsidRPr="00AC57D5">
              <w:rPr>
                <w:rFonts w:ascii="Google Sans Text" w:eastAsia="Google Sans Text" w:hAnsi="Google Sans Text" w:cs="Google Sans Text"/>
                <w:b/>
                <w:bCs/>
                <w:color w:val="1F1F1F"/>
                <w:sz w:val="20"/>
                <w:szCs w:val="20"/>
              </w:rPr>
              <w:t>Effect on Seizure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8C2BEA"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b/>
                <w:bCs/>
                <w:color w:val="1F1F1F"/>
                <w:sz w:val="20"/>
                <w:szCs w:val="20"/>
              </w:rPr>
            </w:pPr>
            <w:r w:rsidRPr="00AC57D5">
              <w:rPr>
                <w:rFonts w:ascii="Google Sans Text" w:eastAsia="Google Sans Text" w:hAnsi="Google Sans Text" w:cs="Google Sans Text"/>
                <w:b/>
                <w:bCs/>
                <w:color w:val="1F1F1F"/>
                <w:sz w:val="20"/>
                <w:szCs w:val="20"/>
              </w:rPr>
              <w:t>Clinical Recommendation</w:t>
            </w:r>
          </w:p>
        </w:tc>
      </w:tr>
      <w:tr w:rsidR="000215AE" w:rsidRPr="00AC57D5" w14:paraId="2482CC0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FB9D0E"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b/>
                <w:bCs/>
                <w:color w:val="1F1F1F"/>
                <w:sz w:val="20"/>
                <w:szCs w:val="20"/>
              </w:rPr>
            </w:pPr>
            <w:r w:rsidRPr="00AC57D5">
              <w:rPr>
                <w:rFonts w:ascii="Google Sans Text" w:eastAsia="Google Sans Text" w:hAnsi="Google Sans Text" w:cs="Google Sans Text"/>
                <w:b/>
                <w:bCs/>
                <w:color w:val="1F1F1F"/>
                <w:sz w:val="20"/>
                <w:szCs w:val="20"/>
              </w:rPr>
              <w:t>Antidepressants (TCA/SSRI/SNRI)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C50690"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Synergistic plasticity; Monoamine sensitization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99B267"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Minimal effect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5E0F6F"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b/>
                <w:bCs/>
                <w:color w:val="1F1F1F"/>
                <w:sz w:val="20"/>
                <w:szCs w:val="20"/>
              </w:rPr>
              <w:t>Continue.</w:t>
            </w:r>
            <w:r w:rsidRPr="00AC57D5">
              <w:rPr>
                <w:rFonts w:ascii="Google Sans Text" w:eastAsia="Google Sans Text" w:hAnsi="Google Sans Text" w:cs="Google Sans Text"/>
                <w:color w:val="1F1F1F"/>
                <w:sz w:val="20"/>
                <w:szCs w:val="20"/>
              </w:rPr>
              <w:t xml:space="preserve"> Enhances efficacy and prevents relapse. Nortriptyline is gold standard.</w:t>
            </w:r>
          </w:p>
        </w:tc>
      </w:tr>
      <w:tr w:rsidR="000215AE" w:rsidRPr="00AC57D5" w14:paraId="6769A3C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D9CC95"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b/>
                <w:bCs/>
                <w:color w:val="1F1F1F"/>
                <w:sz w:val="20"/>
                <w:szCs w:val="20"/>
              </w:rPr>
            </w:pPr>
            <w:r w:rsidRPr="00AC57D5">
              <w:rPr>
                <w:rFonts w:ascii="Google Sans Text" w:eastAsia="Google Sans Text" w:hAnsi="Google Sans Text" w:cs="Google Sans Text"/>
                <w:b/>
                <w:bCs/>
                <w:color w:val="1F1F1F"/>
                <w:sz w:val="20"/>
                <w:szCs w:val="20"/>
              </w:rPr>
              <w:t>Benzodiazepines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8A5821"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GABA-A agonism (Inhibitory)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63C852"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Raises Threshold (</w:t>
            </w:r>
            <w:r w:rsidRPr="00AC57D5">
              <w:rPr>
                <w:rFonts w:ascii="Google Sans Text" w:eastAsia="Google Sans Text" w:hAnsi="Google Sans Text" w:cs="Google Sans Text"/>
                <w:noProof/>
                <w:color w:val="1F1F1F"/>
                <w:sz w:val="20"/>
                <w:szCs w:val="20"/>
              </w:rPr>
              <w:drawing>
                <wp:inline distT="19050" distB="19050" distL="19050" distR="19050" wp14:anchorId="5222710C" wp14:editId="0E57B4DA">
                  <wp:extent cx="80739" cy="20184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80739" cy="201848"/>
                          </a:xfrm>
                          <a:prstGeom prst="rect">
                            <a:avLst/>
                          </a:prstGeom>
                          <a:ln/>
                        </pic:spPr>
                      </pic:pic>
                    </a:graphicData>
                  </a:graphic>
                </wp:inline>
              </w:drawing>
            </w:r>
            <w:r w:rsidRPr="00AC57D5">
              <w:rPr>
                <w:rFonts w:ascii="Google Sans Text" w:eastAsia="Google Sans Text" w:hAnsi="Google Sans Text" w:cs="Google Sans Text"/>
                <w:color w:val="1F1F1F"/>
                <w:sz w:val="20"/>
                <w:szCs w:val="20"/>
              </w:rPr>
              <w:t>), Shortens Duration (</w:t>
            </w:r>
            <w:r w:rsidRPr="00AC57D5">
              <w:rPr>
                <w:rFonts w:ascii="Google Sans Text" w:eastAsia="Google Sans Text" w:hAnsi="Google Sans Text" w:cs="Google Sans Text"/>
                <w:noProof/>
                <w:color w:val="1F1F1F"/>
                <w:sz w:val="20"/>
                <w:szCs w:val="20"/>
              </w:rPr>
              <w:drawing>
                <wp:inline distT="19050" distB="19050" distL="19050" distR="19050" wp14:anchorId="55C1BA5A" wp14:editId="04170084">
                  <wp:extent cx="80739" cy="201848"/>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80739" cy="201848"/>
                          </a:xfrm>
                          <a:prstGeom prst="rect">
                            <a:avLst/>
                          </a:prstGeom>
                          <a:ln/>
                        </pic:spPr>
                      </pic:pic>
                    </a:graphicData>
                  </a:graphic>
                </wp:inline>
              </w:drawing>
            </w:r>
            <w:r w:rsidRPr="00AC57D5">
              <w:rPr>
                <w:rFonts w:ascii="Google Sans Text" w:eastAsia="Google Sans Text" w:hAnsi="Google Sans Text" w:cs="Google Sans Text"/>
                <w:color w:val="1F1F1F"/>
                <w:sz w:val="20"/>
                <w:szCs w:val="20"/>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08E5ED"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b/>
                <w:bCs/>
                <w:color w:val="1F1F1F"/>
                <w:sz w:val="20"/>
                <w:szCs w:val="20"/>
              </w:rPr>
              <w:t>Taper/Hold.</w:t>
            </w:r>
            <w:r w:rsidRPr="00AC57D5">
              <w:rPr>
                <w:rFonts w:ascii="Google Sans Text" w:eastAsia="Google Sans Text" w:hAnsi="Google Sans Text" w:cs="Google Sans Text"/>
                <w:color w:val="1F1F1F"/>
                <w:sz w:val="20"/>
                <w:szCs w:val="20"/>
              </w:rPr>
              <w:t xml:space="preserve"> If not possible, use </w:t>
            </w:r>
            <w:r w:rsidRPr="00AC57D5">
              <w:rPr>
                <w:rFonts w:ascii="Google Sans Text" w:eastAsia="Google Sans Text" w:hAnsi="Google Sans Text" w:cs="Google Sans Text"/>
                <w:b/>
                <w:bCs/>
                <w:color w:val="1F1F1F"/>
                <w:sz w:val="20"/>
                <w:szCs w:val="20"/>
              </w:rPr>
              <w:t>Flumazenil</w:t>
            </w:r>
            <w:r w:rsidRPr="00AC57D5">
              <w:rPr>
                <w:rFonts w:ascii="Google Sans Text" w:eastAsia="Google Sans Text" w:hAnsi="Google Sans Text" w:cs="Google Sans Text"/>
                <w:color w:val="1F1F1F"/>
                <w:sz w:val="20"/>
                <w:szCs w:val="20"/>
              </w:rPr>
              <w:t xml:space="preserve"> reversal or dose after treatment.</w:t>
            </w:r>
          </w:p>
        </w:tc>
      </w:tr>
      <w:tr w:rsidR="000215AE" w:rsidRPr="00AC57D5" w14:paraId="553A314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BC7AE8"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b/>
                <w:bCs/>
                <w:color w:val="1F1F1F"/>
                <w:sz w:val="20"/>
                <w:szCs w:val="20"/>
              </w:rPr>
            </w:pPr>
            <w:r w:rsidRPr="00AC57D5">
              <w:rPr>
                <w:rFonts w:ascii="Google Sans Text" w:eastAsia="Google Sans Text" w:hAnsi="Google Sans Text" w:cs="Google Sans Text"/>
                <w:b/>
                <w:bCs/>
                <w:color w:val="1F1F1F"/>
                <w:sz w:val="20"/>
                <w:szCs w:val="20"/>
              </w:rPr>
              <w:lastRenderedPageBreak/>
              <w:t>Lithium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C3F4EB"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Synergistic neurotoxicity; BBB permeability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979EA7"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Variable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AE7138"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b/>
                <w:bCs/>
                <w:color w:val="1F1F1F"/>
                <w:sz w:val="20"/>
                <w:szCs w:val="20"/>
              </w:rPr>
              <w:t>Hold/Reduce.</w:t>
            </w:r>
            <w:r w:rsidRPr="00AC57D5">
              <w:rPr>
                <w:rFonts w:ascii="Google Sans Text" w:eastAsia="Google Sans Text" w:hAnsi="Google Sans Text" w:cs="Google Sans Text"/>
                <w:color w:val="1F1F1F"/>
                <w:sz w:val="20"/>
                <w:szCs w:val="20"/>
              </w:rPr>
              <w:t xml:space="preserve"> High risk of delirium. Hold 24h pre-ECT or keep level &lt;0.6.</w:t>
            </w:r>
          </w:p>
        </w:tc>
      </w:tr>
      <w:tr w:rsidR="000215AE" w:rsidRPr="00AC57D5" w14:paraId="4245A5E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80887E"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b/>
                <w:bCs/>
                <w:color w:val="1F1F1F"/>
                <w:sz w:val="20"/>
                <w:szCs w:val="20"/>
              </w:rPr>
            </w:pPr>
            <w:r w:rsidRPr="00AC57D5">
              <w:rPr>
                <w:rFonts w:ascii="Google Sans Text" w:eastAsia="Google Sans Text" w:hAnsi="Google Sans Text" w:cs="Google Sans Text"/>
                <w:b/>
                <w:bCs/>
                <w:color w:val="1F1F1F"/>
                <w:sz w:val="20"/>
                <w:szCs w:val="20"/>
              </w:rPr>
              <w:t>Anticonvulsants (Valproate)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01299B"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GABA enhancement; Sodium channel block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A6055C"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Raises Threshold (</w:t>
            </w:r>
            <w:r w:rsidRPr="00AC57D5">
              <w:rPr>
                <w:rFonts w:ascii="Google Sans Text" w:eastAsia="Google Sans Text" w:hAnsi="Google Sans Text" w:cs="Google Sans Text"/>
                <w:noProof/>
                <w:color w:val="1F1F1F"/>
                <w:sz w:val="20"/>
                <w:szCs w:val="20"/>
              </w:rPr>
              <w:drawing>
                <wp:inline distT="19050" distB="19050" distL="19050" distR="19050" wp14:anchorId="017B7810" wp14:editId="78B9A273">
                  <wp:extent cx="80739" cy="20184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80739" cy="201848"/>
                          </a:xfrm>
                          <a:prstGeom prst="rect">
                            <a:avLst/>
                          </a:prstGeom>
                          <a:ln/>
                        </pic:spPr>
                      </pic:pic>
                    </a:graphicData>
                  </a:graphic>
                </wp:inline>
              </w:drawing>
            </w:r>
            <w:r w:rsidRPr="00AC57D5">
              <w:rPr>
                <w:rFonts w:ascii="Google Sans Text" w:eastAsia="Google Sans Text" w:hAnsi="Google Sans Text" w:cs="Google Sans Text"/>
                <w:color w:val="1F1F1F"/>
                <w:sz w:val="20"/>
                <w:szCs w:val="20"/>
              </w:rPr>
              <w:t>), Shortens Duration (</w:t>
            </w:r>
            <w:r w:rsidRPr="00AC57D5">
              <w:rPr>
                <w:rFonts w:ascii="Google Sans Text" w:eastAsia="Google Sans Text" w:hAnsi="Google Sans Text" w:cs="Google Sans Text"/>
                <w:noProof/>
                <w:color w:val="1F1F1F"/>
                <w:sz w:val="20"/>
                <w:szCs w:val="20"/>
              </w:rPr>
              <w:drawing>
                <wp:inline distT="19050" distB="19050" distL="19050" distR="19050" wp14:anchorId="049A0F2B" wp14:editId="2544872A">
                  <wp:extent cx="80739" cy="201848"/>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80739" cy="201848"/>
                          </a:xfrm>
                          <a:prstGeom prst="rect">
                            <a:avLst/>
                          </a:prstGeom>
                          <a:ln/>
                        </pic:spPr>
                      </pic:pic>
                    </a:graphicData>
                  </a:graphic>
                </wp:inline>
              </w:drawing>
            </w:r>
            <w:r w:rsidRPr="00AC57D5">
              <w:rPr>
                <w:rFonts w:ascii="Google Sans Text" w:eastAsia="Google Sans Text" w:hAnsi="Google Sans Text" w:cs="Google Sans Text"/>
                <w:color w:val="1F1F1F"/>
                <w:sz w:val="20"/>
                <w:szCs w:val="20"/>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288366"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b/>
                <w:bCs/>
                <w:color w:val="1F1F1F"/>
                <w:sz w:val="20"/>
                <w:szCs w:val="20"/>
              </w:rPr>
              <w:t>Hold morning dose.</w:t>
            </w:r>
            <w:r w:rsidRPr="00AC57D5">
              <w:rPr>
                <w:rFonts w:ascii="Google Sans Text" w:eastAsia="Google Sans Text" w:hAnsi="Google Sans Text" w:cs="Google Sans Text"/>
                <w:color w:val="1F1F1F"/>
                <w:sz w:val="20"/>
                <w:szCs w:val="20"/>
              </w:rPr>
              <w:t xml:space="preserve"> May necessitate higher charge. Switch to Lamotrigine if feasible.</w:t>
            </w:r>
          </w:p>
        </w:tc>
      </w:tr>
      <w:tr w:rsidR="000215AE" w:rsidRPr="00AC57D5" w14:paraId="686B805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F9DA66"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b/>
                <w:bCs/>
                <w:color w:val="1F1F1F"/>
                <w:sz w:val="20"/>
                <w:szCs w:val="20"/>
              </w:rPr>
            </w:pPr>
            <w:r w:rsidRPr="00AC57D5">
              <w:rPr>
                <w:rFonts w:ascii="Google Sans Text" w:eastAsia="Google Sans Text" w:hAnsi="Google Sans Text" w:cs="Google Sans Text"/>
                <w:b/>
                <w:bCs/>
                <w:color w:val="1F1F1F"/>
                <w:sz w:val="20"/>
                <w:szCs w:val="20"/>
              </w:rPr>
              <w:t>Clozapine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3C21DF"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Lowers seizure threshold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EC1EF0"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Lowers Threshold (</w:t>
            </w:r>
            <w:r w:rsidRPr="00AC57D5">
              <w:rPr>
                <w:rFonts w:ascii="Google Sans Text" w:eastAsia="Google Sans Text" w:hAnsi="Google Sans Text" w:cs="Google Sans Text"/>
                <w:noProof/>
                <w:color w:val="1F1F1F"/>
                <w:sz w:val="20"/>
                <w:szCs w:val="20"/>
              </w:rPr>
              <w:drawing>
                <wp:inline distT="19050" distB="19050" distL="19050" distR="19050" wp14:anchorId="510225FB" wp14:editId="5A77F236">
                  <wp:extent cx="80739" cy="201848"/>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80739" cy="201848"/>
                          </a:xfrm>
                          <a:prstGeom prst="rect">
                            <a:avLst/>
                          </a:prstGeom>
                          <a:ln/>
                        </pic:spPr>
                      </pic:pic>
                    </a:graphicData>
                  </a:graphic>
                </wp:inline>
              </w:drawing>
            </w:r>
            <w:r w:rsidRPr="00AC57D5">
              <w:rPr>
                <w:rFonts w:ascii="Google Sans Text" w:eastAsia="Google Sans Text" w:hAnsi="Google Sans Text" w:cs="Google Sans Text"/>
                <w:color w:val="1F1F1F"/>
                <w:sz w:val="20"/>
                <w:szCs w:val="20"/>
              </w:rPr>
              <w:t>), Prolongs Duration (</w:t>
            </w:r>
            <w:r w:rsidRPr="00AC57D5">
              <w:rPr>
                <w:rFonts w:ascii="Google Sans Text" w:eastAsia="Google Sans Text" w:hAnsi="Google Sans Text" w:cs="Google Sans Text"/>
                <w:noProof/>
                <w:color w:val="1F1F1F"/>
                <w:sz w:val="20"/>
                <w:szCs w:val="20"/>
              </w:rPr>
              <w:drawing>
                <wp:inline distT="19050" distB="19050" distL="19050" distR="19050" wp14:anchorId="4693EE43" wp14:editId="342868B7">
                  <wp:extent cx="80739" cy="201848"/>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80739" cy="201848"/>
                          </a:xfrm>
                          <a:prstGeom prst="rect">
                            <a:avLst/>
                          </a:prstGeom>
                          <a:ln/>
                        </pic:spPr>
                      </pic:pic>
                    </a:graphicData>
                  </a:graphic>
                </wp:inline>
              </w:drawing>
            </w:r>
            <w:r w:rsidRPr="00AC57D5">
              <w:rPr>
                <w:rFonts w:ascii="Google Sans Text" w:eastAsia="Google Sans Text" w:hAnsi="Google Sans Text" w:cs="Google Sans Text"/>
                <w:color w:val="1F1F1F"/>
                <w:sz w:val="20"/>
                <w:szCs w:val="20"/>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6B9623"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b/>
                <w:bCs/>
                <w:color w:val="1F1F1F"/>
                <w:sz w:val="20"/>
                <w:szCs w:val="20"/>
              </w:rPr>
              <w:t>Continue.</w:t>
            </w:r>
            <w:r w:rsidRPr="00AC57D5">
              <w:rPr>
                <w:rFonts w:ascii="Google Sans Text" w:eastAsia="Google Sans Text" w:hAnsi="Google Sans Text" w:cs="Google Sans Text"/>
                <w:color w:val="1F1F1F"/>
                <w:sz w:val="20"/>
                <w:szCs w:val="20"/>
              </w:rPr>
              <w:t xml:space="preserve"> Synergistic for refractory schizophrenia. Monitor for prolonged seizures.</w:t>
            </w:r>
          </w:p>
        </w:tc>
      </w:tr>
      <w:tr w:rsidR="000215AE" w:rsidRPr="00AC57D5" w14:paraId="2613AC0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28BD89"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b/>
                <w:bCs/>
                <w:color w:val="1F1F1F"/>
                <w:sz w:val="20"/>
                <w:szCs w:val="20"/>
              </w:rPr>
            </w:pPr>
            <w:r w:rsidRPr="00AC57D5">
              <w:rPr>
                <w:rFonts w:ascii="Google Sans Text" w:eastAsia="Google Sans Text" w:hAnsi="Google Sans Text" w:cs="Google Sans Text"/>
                <w:b/>
                <w:bCs/>
                <w:color w:val="1F1F1F"/>
                <w:sz w:val="20"/>
                <w:szCs w:val="20"/>
              </w:rPr>
              <w:t>GLP-1 Agonists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FC28BB"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Delayed gastric emptying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B3606E"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None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873546"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b/>
                <w:bCs/>
                <w:color w:val="1F1F1F"/>
                <w:sz w:val="20"/>
                <w:szCs w:val="20"/>
              </w:rPr>
              <w:t>Hold.</w:t>
            </w:r>
            <w:r w:rsidRPr="00AC57D5">
              <w:rPr>
                <w:rFonts w:ascii="Google Sans Text" w:eastAsia="Google Sans Text" w:hAnsi="Google Sans Text" w:cs="Google Sans Text"/>
                <w:color w:val="1F1F1F"/>
                <w:sz w:val="20"/>
                <w:szCs w:val="20"/>
              </w:rPr>
              <w:t xml:space="preserve"> Daily: Hold day of. Weekly: Hold 1 week prior. Aspiration risk.</w:t>
            </w:r>
          </w:p>
        </w:tc>
      </w:tr>
      <w:tr w:rsidR="000215AE" w:rsidRPr="00AC57D5" w14:paraId="2EAD982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BC3E98"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b/>
                <w:bCs/>
                <w:color w:val="1F1F1F"/>
                <w:sz w:val="20"/>
                <w:szCs w:val="20"/>
              </w:rPr>
            </w:pPr>
            <w:r w:rsidRPr="00AC57D5">
              <w:rPr>
                <w:rFonts w:ascii="Google Sans Text" w:eastAsia="Google Sans Text" w:hAnsi="Google Sans Text" w:cs="Google Sans Text"/>
                <w:b/>
                <w:bCs/>
                <w:color w:val="1F1F1F"/>
                <w:sz w:val="20"/>
                <w:szCs w:val="20"/>
              </w:rPr>
              <w:t>Ketamine (Anesthetic)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BA3F2F"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NMDA antagonism; Metaplasticity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16D27B"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Preserves Duration; Potential Synergy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957B73"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b/>
                <w:bCs/>
                <w:color w:val="1F1F1F"/>
                <w:sz w:val="20"/>
                <w:szCs w:val="20"/>
              </w:rPr>
              <w:t>Consider.</w:t>
            </w:r>
            <w:r w:rsidRPr="00AC57D5">
              <w:rPr>
                <w:rFonts w:ascii="Google Sans Text" w:eastAsia="Google Sans Text" w:hAnsi="Google Sans Text" w:cs="Google Sans Text"/>
                <w:color w:val="1F1F1F"/>
                <w:sz w:val="20"/>
                <w:szCs w:val="20"/>
              </w:rPr>
              <w:t xml:space="preserve"> Use for high thresholds, depression urgency, or cognitive protection.</w:t>
            </w:r>
          </w:p>
        </w:tc>
      </w:tr>
      <w:tr w:rsidR="000215AE" w:rsidRPr="00AC57D5" w14:paraId="3D2207C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B41FC2"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b/>
                <w:bCs/>
                <w:color w:val="1F1F1F"/>
                <w:sz w:val="20"/>
                <w:szCs w:val="20"/>
              </w:rPr>
            </w:pPr>
            <w:r w:rsidRPr="00AC57D5">
              <w:rPr>
                <w:rFonts w:ascii="Google Sans Text" w:eastAsia="Google Sans Text" w:hAnsi="Google Sans Text" w:cs="Google Sans Text"/>
                <w:b/>
                <w:bCs/>
                <w:color w:val="1F1F1F"/>
                <w:sz w:val="20"/>
                <w:szCs w:val="20"/>
              </w:rPr>
              <w:t>Memantine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3349C5"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NMDA antagonism (Excitotoxicity block)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A1BA72"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1F1F1F"/>
                <w:sz w:val="20"/>
                <w:szCs w:val="20"/>
              </w:rPr>
              <w:t>None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7A83DF" w14:textId="77777777" w:rsidR="000215AE" w:rsidRPr="00AC57D5" w:rsidRDefault="00167558">
            <w:pPr>
              <w:pBdr>
                <w:top w:val="nil"/>
                <w:left w:val="nil"/>
                <w:bottom w:val="nil"/>
                <w:right w:val="nil"/>
                <w:between w:val="nil"/>
              </w:pBdr>
              <w:spacing w:before="120" w:after="120"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b/>
                <w:bCs/>
                <w:color w:val="1F1F1F"/>
                <w:sz w:val="20"/>
                <w:szCs w:val="20"/>
              </w:rPr>
              <w:t>Adjunct.</w:t>
            </w:r>
            <w:r w:rsidRPr="00AC57D5">
              <w:rPr>
                <w:rFonts w:ascii="Google Sans Text" w:eastAsia="Google Sans Text" w:hAnsi="Google Sans Text" w:cs="Google Sans Text"/>
                <w:color w:val="1F1F1F"/>
                <w:sz w:val="20"/>
                <w:szCs w:val="20"/>
              </w:rPr>
              <w:t xml:space="preserve"> Use for cognitive protection (memory preservation).</w:t>
            </w:r>
          </w:p>
        </w:tc>
      </w:tr>
    </w:tbl>
    <w:p w14:paraId="5D908028" w14:textId="77777777" w:rsidR="000215AE" w:rsidRPr="00AC57D5" w:rsidRDefault="00167558">
      <w:pPr>
        <w:pStyle w:val="Heading3"/>
        <w:spacing w:before="480" w:after="120" w:line="275" w:lineRule="auto"/>
        <w:rPr>
          <w:rFonts w:ascii="Google Sans" w:eastAsia="Google Sans" w:hAnsi="Google Sans" w:cs="Google Sans"/>
          <w:color w:val="1F1F1F"/>
          <w:sz w:val="22"/>
          <w:szCs w:val="22"/>
        </w:rPr>
      </w:pPr>
      <w:r w:rsidRPr="00AC57D5">
        <w:rPr>
          <w:rFonts w:ascii="Google Sans" w:eastAsia="Google Sans" w:hAnsi="Google Sans" w:cs="Google Sans"/>
          <w:color w:val="1F1F1F"/>
          <w:sz w:val="22"/>
          <w:szCs w:val="22"/>
        </w:rPr>
        <w:t>References</w:t>
      </w:r>
    </w:p>
    <w:p w14:paraId="0B9160D7" w14:textId="77777777" w:rsidR="000215AE" w:rsidRPr="00AC57D5" w:rsidRDefault="00167558">
      <w:pPr>
        <w:pBdr>
          <w:top w:val="nil"/>
          <w:left w:val="nil"/>
          <w:bottom w:val="nil"/>
          <w:right w:val="nil"/>
          <w:between w:val="nil"/>
        </w:pBdr>
        <w:spacing w:after="255" w:line="275" w:lineRule="auto"/>
        <w:rPr>
          <w:rFonts w:ascii="Google Sans Text" w:eastAsia="Google Sans Text" w:hAnsi="Google Sans Text" w:cs="Google Sans Text"/>
          <w:color w:val="1F1F1F"/>
          <w:sz w:val="20"/>
          <w:szCs w:val="20"/>
        </w:rPr>
      </w:pPr>
      <w:r w:rsidRPr="00AC57D5">
        <w:rPr>
          <w:rFonts w:ascii="Google Sans Text" w:eastAsia="Google Sans Text" w:hAnsi="Google Sans Text" w:cs="Google Sans Text"/>
          <w:color w:val="444746"/>
          <w:sz w:val="21"/>
          <w:szCs w:val="21"/>
          <w:vertAlign w:val="superscript"/>
        </w:rPr>
        <w:t>6</w:t>
      </w:r>
      <w:r w:rsidRPr="00AC57D5">
        <w:rPr>
          <w:rFonts w:ascii="Google Sans Text" w:eastAsia="Google Sans Text" w:hAnsi="Google Sans Text" w:cs="Google Sans Text"/>
          <w:color w:val="1F1F1F"/>
          <w:sz w:val="20"/>
          <w:szCs w:val="20"/>
        </w:rPr>
        <w:t xml:space="preserve"> Royal College of Psychiatrists (2024). Section 24: ECT Guidelines. </w:t>
      </w:r>
      <w:r w:rsidRPr="00AC57D5">
        <w:rPr>
          <w:rFonts w:ascii="Google Sans Text" w:eastAsia="Google Sans Text" w:hAnsi="Google Sans Text" w:cs="Google Sans Text"/>
          <w:color w:val="444746"/>
          <w:sz w:val="21"/>
          <w:szCs w:val="21"/>
          <w:vertAlign w:val="superscript"/>
        </w:rPr>
        <w:t>1</w:t>
      </w:r>
      <w:r w:rsidRPr="00AC57D5">
        <w:rPr>
          <w:rFonts w:ascii="Google Sans Text" w:eastAsia="Google Sans Text" w:hAnsi="Google Sans Text" w:cs="Google Sans Text"/>
          <w:color w:val="1F1F1F"/>
          <w:sz w:val="20"/>
          <w:szCs w:val="20"/>
        </w:rPr>
        <w:t xml:space="preserve"> AAPP (2025). Essentials of Electroconvulsive Therapy. </w:t>
      </w:r>
      <w:r w:rsidRPr="00AC57D5">
        <w:rPr>
          <w:rFonts w:ascii="Google Sans Text" w:eastAsia="Google Sans Text" w:hAnsi="Google Sans Text" w:cs="Google Sans Text"/>
          <w:color w:val="444746"/>
          <w:sz w:val="21"/>
          <w:szCs w:val="21"/>
          <w:vertAlign w:val="superscript"/>
        </w:rPr>
        <w:t>7</w:t>
      </w:r>
      <w:r w:rsidRPr="00AC57D5">
        <w:rPr>
          <w:rFonts w:ascii="Google Sans Text" w:eastAsia="Google Sans Text" w:hAnsi="Google Sans Text" w:cs="Google Sans Text"/>
          <w:color w:val="1F1F1F"/>
          <w:sz w:val="20"/>
          <w:szCs w:val="20"/>
        </w:rPr>
        <w:t xml:space="preserve"> EGUIDE Project (2025). Pharmacotherapy and ECT concordance. </w:t>
      </w:r>
      <w:r w:rsidRPr="00AC57D5">
        <w:rPr>
          <w:rFonts w:ascii="Google Sans Text" w:eastAsia="Google Sans Text" w:hAnsi="Google Sans Text" w:cs="Google Sans Text"/>
          <w:color w:val="444746"/>
          <w:sz w:val="21"/>
          <w:szCs w:val="21"/>
          <w:vertAlign w:val="superscript"/>
        </w:rPr>
        <w:t>9</w:t>
      </w:r>
      <w:r w:rsidRPr="00AC57D5">
        <w:rPr>
          <w:rFonts w:ascii="Google Sans Text" w:eastAsia="Google Sans Text" w:hAnsi="Google Sans Text" w:cs="Google Sans Text"/>
          <w:color w:val="1F1F1F"/>
          <w:sz w:val="20"/>
          <w:szCs w:val="20"/>
        </w:rPr>
        <w:t xml:space="preserve"> Sackeim HA et al. (2009). Effect of concomitant pharmacotherapy on ECT outcomes. </w:t>
      </w:r>
      <w:r w:rsidRPr="00AC57D5">
        <w:rPr>
          <w:rFonts w:ascii="Google Sans Text" w:eastAsia="Google Sans Text" w:hAnsi="Google Sans Text" w:cs="Google Sans Text"/>
          <w:color w:val="444746"/>
          <w:sz w:val="21"/>
          <w:szCs w:val="21"/>
          <w:vertAlign w:val="superscript"/>
        </w:rPr>
        <w:t>4</w:t>
      </w:r>
      <w:r w:rsidRPr="00AC57D5">
        <w:rPr>
          <w:rFonts w:ascii="Google Sans Text" w:eastAsia="Google Sans Text" w:hAnsi="Google Sans Text" w:cs="Google Sans Text"/>
          <w:color w:val="1F1F1F"/>
          <w:sz w:val="20"/>
          <w:szCs w:val="20"/>
        </w:rPr>
        <w:t xml:space="preserve"> Sackeim HA et al. (2009). </w:t>
      </w:r>
      <w:r w:rsidRPr="00AC57D5">
        <w:rPr>
          <w:rFonts w:ascii="Google Sans Text" w:eastAsia="Google Sans Text" w:hAnsi="Google Sans Text" w:cs="Google Sans Text"/>
          <w:i/>
          <w:iCs/>
          <w:color w:val="1F1F1F"/>
          <w:sz w:val="20"/>
          <w:szCs w:val="20"/>
        </w:rPr>
        <w:t>Arch Gen Psychiatry</w:t>
      </w:r>
      <w:r w:rsidRPr="00AC57D5">
        <w:rPr>
          <w:rFonts w:ascii="Google Sans Text" w:eastAsia="Google Sans Text" w:hAnsi="Google Sans Text" w:cs="Google Sans Text"/>
          <w:color w:val="1F1F1F"/>
          <w:sz w:val="20"/>
          <w:szCs w:val="20"/>
        </w:rPr>
        <w:t xml:space="preserve">. </w:t>
      </w:r>
      <w:r w:rsidRPr="00AC57D5">
        <w:rPr>
          <w:rFonts w:ascii="Google Sans Text" w:eastAsia="Google Sans Text" w:hAnsi="Google Sans Text" w:cs="Google Sans Text"/>
          <w:color w:val="444746"/>
          <w:sz w:val="21"/>
          <w:szCs w:val="21"/>
          <w:vertAlign w:val="superscript"/>
        </w:rPr>
        <w:t>33</w:t>
      </w:r>
      <w:r w:rsidRPr="00AC57D5">
        <w:rPr>
          <w:rFonts w:ascii="Google Sans Text" w:eastAsia="Google Sans Text" w:hAnsi="Google Sans Text" w:cs="Google Sans Text"/>
          <w:color w:val="1F1F1F"/>
          <w:sz w:val="20"/>
          <w:szCs w:val="20"/>
        </w:rPr>
        <w:t xml:space="preserve"> Eranti S et al. (2019). Benzodiazepines and ECT outcomes. </w:t>
      </w:r>
      <w:r w:rsidRPr="00AC57D5">
        <w:rPr>
          <w:rFonts w:ascii="Google Sans Text" w:eastAsia="Google Sans Text" w:hAnsi="Google Sans Text" w:cs="Google Sans Text"/>
          <w:color w:val="444746"/>
          <w:sz w:val="21"/>
          <w:szCs w:val="21"/>
          <w:vertAlign w:val="superscript"/>
        </w:rPr>
        <w:t>77</w:t>
      </w:r>
      <w:r w:rsidRPr="00AC57D5">
        <w:rPr>
          <w:rFonts w:ascii="Google Sans Text" w:eastAsia="Google Sans Text" w:hAnsi="Google Sans Text" w:cs="Google Sans Text"/>
          <w:color w:val="1F1F1F"/>
          <w:sz w:val="20"/>
          <w:szCs w:val="20"/>
        </w:rPr>
        <w:t xml:space="preserve"> Dolenc </w:t>
      </w:r>
      <w:r w:rsidRPr="00AC57D5">
        <w:rPr>
          <w:rFonts w:ascii="Google Sans Text" w:eastAsia="Google Sans Text" w:hAnsi="Google Sans Text" w:cs="Google Sans Text"/>
          <w:color w:val="1F1F1F"/>
          <w:sz w:val="20"/>
          <w:szCs w:val="20"/>
        </w:rPr>
        <w:lastRenderedPageBreak/>
        <w:t xml:space="preserve">TJ et al. (2005). Safety of ECT and lithium. </w:t>
      </w:r>
      <w:r w:rsidRPr="00AC57D5">
        <w:rPr>
          <w:rFonts w:ascii="Google Sans Text" w:eastAsia="Google Sans Text" w:hAnsi="Google Sans Text" w:cs="Google Sans Text"/>
          <w:color w:val="444746"/>
          <w:sz w:val="21"/>
          <w:szCs w:val="21"/>
          <w:vertAlign w:val="superscript"/>
        </w:rPr>
        <w:t>37</w:t>
      </w:r>
      <w:r w:rsidRPr="00AC57D5">
        <w:rPr>
          <w:rFonts w:ascii="Google Sans Text" w:eastAsia="Google Sans Text" w:hAnsi="Google Sans Text" w:cs="Google Sans Text"/>
          <w:color w:val="1F1F1F"/>
          <w:sz w:val="20"/>
          <w:szCs w:val="20"/>
        </w:rPr>
        <w:t xml:space="preserve"> Patel R et al. (2020). Lithium and ECT delirium odds. </w:t>
      </w:r>
      <w:r w:rsidRPr="00AC57D5">
        <w:rPr>
          <w:rFonts w:ascii="Google Sans Text" w:eastAsia="Google Sans Text" w:hAnsi="Google Sans Text" w:cs="Google Sans Text"/>
          <w:color w:val="444746"/>
          <w:sz w:val="21"/>
          <w:szCs w:val="21"/>
          <w:vertAlign w:val="superscript"/>
        </w:rPr>
        <w:t>2</w:t>
      </w:r>
      <w:r w:rsidRPr="00AC57D5">
        <w:rPr>
          <w:rFonts w:ascii="Google Sans Text" w:eastAsia="Google Sans Text" w:hAnsi="Google Sans Text" w:cs="Google Sans Text"/>
          <w:color w:val="1F1F1F"/>
          <w:sz w:val="20"/>
          <w:szCs w:val="20"/>
        </w:rPr>
        <w:t xml:space="preserve"> APA Task Force on ECT. </w:t>
      </w:r>
      <w:r w:rsidRPr="00AC57D5">
        <w:rPr>
          <w:rFonts w:ascii="Google Sans Text" w:eastAsia="Google Sans Text" w:hAnsi="Google Sans Text" w:cs="Google Sans Text"/>
          <w:color w:val="444746"/>
          <w:sz w:val="21"/>
          <w:szCs w:val="21"/>
          <w:vertAlign w:val="superscript"/>
        </w:rPr>
        <w:t>45</w:t>
      </w:r>
      <w:r w:rsidRPr="00AC57D5">
        <w:rPr>
          <w:rFonts w:ascii="Google Sans Text" w:eastAsia="Google Sans Text" w:hAnsi="Google Sans Text" w:cs="Google Sans Text"/>
          <w:color w:val="1F1F1F"/>
          <w:sz w:val="20"/>
          <w:szCs w:val="20"/>
        </w:rPr>
        <w:t xml:space="preserve"> Petrides G et al. (2015). Clozapine-ECT for resistant schizophrenia. </w:t>
      </w:r>
      <w:r w:rsidRPr="00AC57D5">
        <w:rPr>
          <w:rFonts w:ascii="Google Sans Text" w:eastAsia="Google Sans Text" w:hAnsi="Google Sans Text" w:cs="Google Sans Text"/>
          <w:color w:val="444746"/>
          <w:sz w:val="21"/>
          <w:szCs w:val="21"/>
          <w:vertAlign w:val="superscript"/>
        </w:rPr>
        <w:t>25</w:t>
      </w:r>
      <w:r w:rsidRPr="00AC57D5">
        <w:rPr>
          <w:rFonts w:ascii="Google Sans Text" w:eastAsia="Google Sans Text" w:hAnsi="Google Sans Text" w:cs="Google Sans Text"/>
          <w:color w:val="1F1F1F"/>
          <w:sz w:val="20"/>
          <w:szCs w:val="20"/>
        </w:rPr>
        <w:t xml:space="preserve"> Meta-analysis of ECT + Antidepressants (2025). </w:t>
      </w:r>
      <w:r w:rsidRPr="00AC57D5">
        <w:rPr>
          <w:rFonts w:ascii="Google Sans Text" w:eastAsia="Google Sans Text" w:hAnsi="Google Sans Text" w:cs="Google Sans Text"/>
          <w:color w:val="444746"/>
          <w:sz w:val="21"/>
          <w:szCs w:val="21"/>
          <w:vertAlign w:val="superscript"/>
        </w:rPr>
        <w:t>46</w:t>
      </w:r>
      <w:r w:rsidRPr="00AC57D5">
        <w:rPr>
          <w:rFonts w:ascii="Google Sans Text" w:eastAsia="Google Sans Text" w:hAnsi="Google Sans Text" w:cs="Google Sans Text"/>
          <w:color w:val="1F1F1F"/>
          <w:sz w:val="20"/>
          <w:szCs w:val="20"/>
        </w:rPr>
        <w:t xml:space="preserve"> Wang et al. (2015). Clozapine and ECT safety review. </w:t>
      </w:r>
      <w:r w:rsidRPr="00AC57D5">
        <w:rPr>
          <w:rFonts w:ascii="Google Sans Text" w:eastAsia="Google Sans Text" w:hAnsi="Google Sans Text" w:cs="Google Sans Text"/>
          <w:color w:val="444746"/>
          <w:sz w:val="21"/>
          <w:szCs w:val="21"/>
          <w:vertAlign w:val="superscript"/>
        </w:rPr>
        <w:t>21</w:t>
      </w:r>
      <w:r w:rsidRPr="00AC57D5">
        <w:rPr>
          <w:rFonts w:ascii="Google Sans Text" w:eastAsia="Google Sans Text" w:hAnsi="Google Sans Text" w:cs="Google Sans Text"/>
          <w:color w:val="1F1F1F"/>
          <w:sz w:val="20"/>
          <w:szCs w:val="20"/>
        </w:rPr>
        <w:t xml:space="preserve"> Cl</w:t>
      </w:r>
      <w:r w:rsidRPr="00AC57D5">
        <w:rPr>
          <w:rFonts w:ascii="Google Sans Text" w:eastAsia="Google Sans Text" w:hAnsi="Google Sans Text" w:cs="Google Sans Text"/>
          <w:color w:val="1F1F1F"/>
          <w:sz w:val="20"/>
          <w:szCs w:val="20"/>
        </w:rPr>
        <w:t xml:space="preserve">inicalTrials.gov (2023). Ketamine-ECT synergy. </w:t>
      </w:r>
      <w:r w:rsidRPr="00AC57D5">
        <w:rPr>
          <w:rFonts w:ascii="Google Sans Text" w:eastAsia="Google Sans Text" w:hAnsi="Google Sans Text" w:cs="Google Sans Text"/>
          <w:color w:val="444746"/>
          <w:sz w:val="21"/>
          <w:szCs w:val="21"/>
          <w:vertAlign w:val="superscript"/>
        </w:rPr>
        <w:t>13</w:t>
      </w:r>
      <w:r w:rsidRPr="00AC57D5">
        <w:rPr>
          <w:rFonts w:ascii="Google Sans Text" w:eastAsia="Google Sans Text" w:hAnsi="Google Sans Text" w:cs="Google Sans Text"/>
          <w:color w:val="1F1F1F"/>
          <w:sz w:val="20"/>
          <w:szCs w:val="20"/>
        </w:rPr>
        <w:t xml:space="preserve"> Joshi SH et al. (2016). Neuroplasticity in hippocampus. </w:t>
      </w:r>
      <w:r w:rsidRPr="00AC57D5">
        <w:rPr>
          <w:rFonts w:ascii="Google Sans Text" w:eastAsia="Google Sans Text" w:hAnsi="Google Sans Text" w:cs="Google Sans Text"/>
          <w:color w:val="444746"/>
          <w:sz w:val="21"/>
          <w:szCs w:val="21"/>
          <w:vertAlign w:val="superscript"/>
        </w:rPr>
        <w:t>17</w:t>
      </w:r>
      <w:r w:rsidRPr="00AC57D5">
        <w:rPr>
          <w:rFonts w:ascii="Google Sans Text" w:eastAsia="Google Sans Text" w:hAnsi="Google Sans Text" w:cs="Google Sans Text"/>
          <w:color w:val="1F1F1F"/>
          <w:sz w:val="20"/>
          <w:szCs w:val="20"/>
        </w:rPr>
        <w:t xml:space="preserve"> Leaver AM et al. (2022). Network model of ECT. </w:t>
      </w:r>
      <w:r w:rsidRPr="00AC57D5">
        <w:rPr>
          <w:rFonts w:ascii="Google Sans Text" w:eastAsia="Google Sans Text" w:hAnsi="Google Sans Text" w:cs="Google Sans Text"/>
          <w:color w:val="444746"/>
          <w:sz w:val="21"/>
          <w:szCs w:val="21"/>
          <w:vertAlign w:val="superscript"/>
        </w:rPr>
        <w:t>15</w:t>
      </w:r>
      <w:r w:rsidRPr="00AC57D5">
        <w:rPr>
          <w:rFonts w:ascii="Google Sans Text" w:eastAsia="Google Sans Text" w:hAnsi="Google Sans Text" w:cs="Google Sans Text"/>
          <w:color w:val="1F1F1F"/>
          <w:sz w:val="20"/>
          <w:szCs w:val="20"/>
        </w:rPr>
        <w:t xml:space="preserve"> Heino et al. (2022). Attractor landscapes in behavior. </w:t>
      </w:r>
      <w:r w:rsidRPr="00AC57D5">
        <w:rPr>
          <w:rFonts w:ascii="Google Sans Text" w:eastAsia="Google Sans Text" w:hAnsi="Google Sans Text" w:cs="Google Sans Text"/>
          <w:color w:val="444746"/>
          <w:sz w:val="21"/>
          <w:szCs w:val="21"/>
          <w:vertAlign w:val="superscript"/>
        </w:rPr>
        <w:t>35</w:t>
      </w:r>
      <w:r w:rsidRPr="00AC57D5">
        <w:rPr>
          <w:rFonts w:ascii="Google Sans Text" w:eastAsia="Google Sans Text" w:hAnsi="Google Sans Text" w:cs="Google Sans Text"/>
          <w:color w:val="1F1F1F"/>
          <w:sz w:val="20"/>
          <w:szCs w:val="20"/>
        </w:rPr>
        <w:t xml:space="preserve"> Nazif et al. (2025). Benzodiazepines and seizure trajectory. </w:t>
      </w:r>
      <w:r w:rsidRPr="00AC57D5">
        <w:rPr>
          <w:rFonts w:ascii="Google Sans Text" w:eastAsia="Google Sans Text" w:hAnsi="Google Sans Text" w:cs="Google Sans Text"/>
          <w:color w:val="444746"/>
          <w:sz w:val="21"/>
          <w:szCs w:val="21"/>
          <w:vertAlign w:val="superscript"/>
        </w:rPr>
        <w:t>22</w:t>
      </w:r>
      <w:r w:rsidRPr="00AC57D5">
        <w:rPr>
          <w:rFonts w:ascii="Google Sans Text" w:eastAsia="Google Sans Text" w:hAnsi="Google Sans Text" w:cs="Google Sans Text"/>
          <w:color w:val="1F1F1F"/>
          <w:sz w:val="20"/>
          <w:szCs w:val="20"/>
        </w:rPr>
        <w:t xml:space="preserve"> Memantine for ECT cognitive protection (2015). </w:t>
      </w:r>
      <w:r w:rsidRPr="00AC57D5">
        <w:rPr>
          <w:rFonts w:ascii="Google Sans Text" w:eastAsia="Google Sans Text" w:hAnsi="Google Sans Text" w:cs="Google Sans Text"/>
          <w:color w:val="444746"/>
          <w:sz w:val="21"/>
          <w:szCs w:val="21"/>
          <w:vertAlign w:val="superscript"/>
        </w:rPr>
        <w:t>26</w:t>
      </w:r>
      <w:r w:rsidRPr="00AC57D5">
        <w:rPr>
          <w:rFonts w:ascii="Google Sans Text" w:eastAsia="Google Sans Text" w:hAnsi="Google Sans Text" w:cs="Google Sans Text"/>
          <w:color w:val="1F1F1F"/>
          <w:sz w:val="20"/>
          <w:szCs w:val="20"/>
        </w:rPr>
        <w:t xml:space="preserve"> Krystal et al. (2023). Metaplasticity and antidepressants. </w:t>
      </w:r>
      <w:r w:rsidRPr="00AC57D5">
        <w:rPr>
          <w:rFonts w:ascii="Google Sans Text" w:eastAsia="Google Sans Text" w:hAnsi="Google Sans Text" w:cs="Google Sans Text"/>
          <w:color w:val="444746"/>
          <w:sz w:val="21"/>
          <w:szCs w:val="21"/>
          <w:vertAlign w:val="superscript"/>
        </w:rPr>
        <w:t>16</w:t>
      </w:r>
      <w:r w:rsidRPr="00AC57D5">
        <w:rPr>
          <w:rFonts w:ascii="Google Sans Text" w:eastAsia="Google Sans Text" w:hAnsi="Google Sans Text" w:cs="Google Sans Text"/>
          <w:color w:val="1F1F1F"/>
          <w:sz w:val="20"/>
          <w:szCs w:val="20"/>
        </w:rPr>
        <w:t xml:space="preserve"> Li et al. (2019). Energy landscape flattening. </w:t>
      </w:r>
      <w:r w:rsidRPr="00AC57D5">
        <w:rPr>
          <w:rFonts w:ascii="Google Sans Text" w:eastAsia="Google Sans Text" w:hAnsi="Google Sans Text" w:cs="Google Sans Text"/>
          <w:color w:val="444746"/>
          <w:sz w:val="21"/>
          <w:szCs w:val="21"/>
          <w:vertAlign w:val="superscript"/>
        </w:rPr>
        <w:t>71</w:t>
      </w:r>
      <w:r w:rsidRPr="00AC57D5">
        <w:rPr>
          <w:rFonts w:ascii="Google Sans Text" w:eastAsia="Google Sans Text" w:hAnsi="Google Sans Text" w:cs="Google Sans Text"/>
          <w:color w:val="1F1F1F"/>
          <w:sz w:val="20"/>
          <w:szCs w:val="20"/>
        </w:rPr>
        <w:t xml:space="preserve"> Hazari et al. (2022). Meta-analysis of memantine. </w:t>
      </w:r>
      <w:r w:rsidRPr="00AC57D5">
        <w:rPr>
          <w:rFonts w:ascii="Google Sans Text" w:eastAsia="Google Sans Text" w:hAnsi="Google Sans Text" w:cs="Google Sans Text"/>
          <w:color w:val="444746"/>
          <w:sz w:val="21"/>
          <w:szCs w:val="21"/>
          <w:vertAlign w:val="superscript"/>
        </w:rPr>
        <w:t>11</w:t>
      </w:r>
      <w:r w:rsidRPr="00AC57D5">
        <w:rPr>
          <w:rFonts w:ascii="Google Sans Text" w:eastAsia="Google Sans Text" w:hAnsi="Google Sans Text" w:cs="Google Sans Text"/>
          <w:color w:val="1F1F1F"/>
          <w:sz w:val="20"/>
          <w:szCs w:val="20"/>
        </w:rPr>
        <w:t xml:space="preserve"> ASA Guidance on </w:t>
      </w:r>
      <w:r w:rsidRPr="00AC57D5">
        <w:rPr>
          <w:rFonts w:ascii="Google Sans Text" w:eastAsia="Google Sans Text" w:hAnsi="Google Sans Text" w:cs="Google Sans Text"/>
          <w:color w:val="1F1F1F"/>
          <w:sz w:val="20"/>
          <w:szCs w:val="20"/>
        </w:rPr>
        <w:t xml:space="preserve">GLP-1 Agonists (2024). </w:t>
      </w:r>
      <w:r w:rsidRPr="00AC57D5">
        <w:rPr>
          <w:rFonts w:ascii="Google Sans Text" w:eastAsia="Google Sans Text" w:hAnsi="Google Sans Text" w:cs="Google Sans Text"/>
          <w:color w:val="444746"/>
          <w:sz w:val="21"/>
          <w:szCs w:val="21"/>
          <w:vertAlign w:val="superscript"/>
        </w:rPr>
        <w:t>55</w:t>
      </w:r>
      <w:r w:rsidRPr="00AC57D5">
        <w:rPr>
          <w:rFonts w:ascii="Google Sans Text" w:eastAsia="Google Sans Text" w:hAnsi="Google Sans Text" w:cs="Google Sans Text"/>
          <w:color w:val="1F1F1F"/>
          <w:sz w:val="20"/>
          <w:szCs w:val="20"/>
        </w:rPr>
        <w:t xml:space="preserve"> ASA Consensus on GLP-1 (2023/2024). </w:t>
      </w:r>
      <w:r w:rsidRPr="00AC57D5">
        <w:rPr>
          <w:rFonts w:ascii="Google Sans Text" w:eastAsia="Google Sans Text" w:hAnsi="Google Sans Text" w:cs="Google Sans Text"/>
          <w:color w:val="444746"/>
          <w:sz w:val="21"/>
          <w:szCs w:val="21"/>
          <w:vertAlign w:val="superscript"/>
        </w:rPr>
        <w:t>48</w:t>
      </w:r>
      <w:r w:rsidRPr="00AC57D5">
        <w:rPr>
          <w:rFonts w:ascii="Google Sans Text" w:eastAsia="Google Sans Text" w:hAnsi="Google Sans Text" w:cs="Google Sans Text"/>
          <w:color w:val="1F1F1F"/>
          <w:sz w:val="20"/>
          <w:szCs w:val="20"/>
        </w:rPr>
        <w:t xml:space="preserve"> Schmidt et al. (2025). Caffeine augmentation. </w:t>
      </w:r>
      <w:r w:rsidRPr="00AC57D5">
        <w:rPr>
          <w:rFonts w:ascii="Google Sans Text" w:eastAsia="Google Sans Text" w:hAnsi="Google Sans Text" w:cs="Google Sans Text"/>
          <w:color w:val="444746"/>
          <w:sz w:val="21"/>
          <w:szCs w:val="21"/>
          <w:vertAlign w:val="superscript"/>
        </w:rPr>
        <w:t>69</w:t>
      </w:r>
      <w:r w:rsidRPr="00AC57D5">
        <w:rPr>
          <w:rFonts w:ascii="Google Sans Text" w:eastAsia="Google Sans Text" w:hAnsi="Google Sans Text" w:cs="Google Sans Text"/>
          <w:color w:val="1F1F1F"/>
          <w:sz w:val="20"/>
          <w:szCs w:val="20"/>
        </w:rPr>
        <w:t xml:space="preserve"> Harvard Gazette (2023). Ketamine vs ECT. </w:t>
      </w:r>
      <w:r w:rsidRPr="00AC57D5">
        <w:rPr>
          <w:rFonts w:ascii="Google Sans Text" w:eastAsia="Google Sans Text" w:hAnsi="Google Sans Text" w:cs="Google Sans Text"/>
          <w:color w:val="444746"/>
          <w:sz w:val="21"/>
          <w:szCs w:val="21"/>
          <w:vertAlign w:val="superscript"/>
        </w:rPr>
        <w:t>67</w:t>
      </w:r>
      <w:r w:rsidRPr="00AC57D5">
        <w:rPr>
          <w:rFonts w:ascii="Google Sans Text" w:eastAsia="Google Sans Text" w:hAnsi="Google Sans Text" w:cs="Google Sans Text"/>
          <w:color w:val="1F1F1F"/>
          <w:sz w:val="20"/>
          <w:szCs w:val="20"/>
        </w:rPr>
        <w:t xml:space="preserve"> Cognitive FX (2025). TRD Guide. </w:t>
      </w:r>
      <w:r w:rsidRPr="00AC57D5">
        <w:rPr>
          <w:rFonts w:ascii="Google Sans Text" w:eastAsia="Google Sans Text" w:hAnsi="Google Sans Text" w:cs="Google Sans Text"/>
          <w:color w:val="444746"/>
          <w:sz w:val="21"/>
          <w:szCs w:val="21"/>
          <w:vertAlign w:val="superscript"/>
        </w:rPr>
        <w:t>40</w:t>
      </w:r>
      <w:r w:rsidRPr="00AC57D5">
        <w:rPr>
          <w:rFonts w:ascii="Google Sans Text" w:eastAsia="Google Sans Text" w:hAnsi="Google Sans Text" w:cs="Google Sans Text"/>
          <w:color w:val="1F1F1F"/>
          <w:sz w:val="20"/>
          <w:szCs w:val="20"/>
        </w:rPr>
        <w:t xml:space="preserve"> Rasmussen KG (2017). Lithium recommendations. </w:t>
      </w:r>
      <w:r w:rsidRPr="00AC57D5">
        <w:rPr>
          <w:rFonts w:ascii="Google Sans Text" w:eastAsia="Google Sans Text" w:hAnsi="Google Sans Text" w:cs="Google Sans Text"/>
          <w:color w:val="444746"/>
          <w:sz w:val="21"/>
          <w:szCs w:val="21"/>
          <w:vertAlign w:val="superscript"/>
        </w:rPr>
        <w:t>76</w:t>
      </w:r>
      <w:r w:rsidRPr="00AC57D5">
        <w:rPr>
          <w:rFonts w:ascii="Google Sans Text" w:eastAsia="Google Sans Text" w:hAnsi="Google Sans Text" w:cs="Google Sans Text"/>
          <w:color w:val="1F1F1F"/>
          <w:sz w:val="20"/>
          <w:szCs w:val="20"/>
        </w:rPr>
        <w:t xml:space="preserve"> Jorgensen A et al. (2024). Continuation ECT readmission rates.</w:t>
      </w:r>
    </w:p>
    <w:p w14:paraId="633CD791" w14:textId="77777777" w:rsidR="000215AE" w:rsidRPr="00AC57D5" w:rsidRDefault="00167558">
      <w:pPr>
        <w:pStyle w:val="Heading4"/>
        <w:spacing w:before="0"/>
        <w:rPr>
          <w:rFonts w:ascii="Google Sans" w:eastAsia="Google Sans" w:hAnsi="Google Sans" w:cs="Google Sans"/>
          <w:sz w:val="21"/>
          <w:szCs w:val="21"/>
        </w:rPr>
      </w:pPr>
      <w:r w:rsidRPr="00AC57D5">
        <w:rPr>
          <w:rFonts w:ascii="Google Sans" w:eastAsia="Google Sans" w:hAnsi="Google Sans" w:cs="Google Sans"/>
          <w:sz w:val="21"/>
          <w:szCs w:val="21"/>
        </w:rPr>
        <w:t>참고</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자료</w:t>
      </w:r>
    </w:p>
    <w:p w14:paraId="3026D01C"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Psychiatric Pharmacy Essentials: Medications and Electroconvulsive Therapy (ECT),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8">
        <w:r w:rsidR="000215AE" w:rsidRPr="00AC57D5">
          <w:rPr>
            <w:rFonts w:ascii="Google Sans" w:eastAsia="Google Sans" w:hAnsi="Google Sans" w:cs="Google Sans"/>
            <w:color w:val="0000EE"/>
            <w:sz w:val="21"/>
            <w:szCs w:val="21"/>
            <w:u w:val="single"/>
          </w:rPr>
          <w:t>https://aapp.org/guideline/essentials/ect</w:t>
        </w:r>
      </w:hyperlink>
    </w:p>
    <w:p w14:paraId="5C0A945E"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Efficacy of electroconvulsive therapy as a potential first-choice treatment in treatment-resistant depression (Review) - NIH,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9">
        <w:r w:rsidR="000215AE" w:rsidRPr="00AC57D5">
          <w:rPr>
            <w:rFonts w:ascii="Google Sans" w:eastAsia="Google Sans" w:hAnsi="Google Sans" w:cs="Google Sans"/>
            <w:color w:val="0000EE"/>
            <w:sz w:val="21"/>
            <w:szCs w:val="21"/>
            <w:u w:val="single"/>
          </w:rPr>
          <w:t>https://pmc.ncbi.nlm.nih.gov/articles/PMC8461517/</w:t>
        </w:r>
      </w:hyperlink>
    </w:p>
    <w:p w14:paraId="1CEABDF5"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A Systematic Review of the Combined Use of Electroconvulsive Therapy and Psychotherapy for Depression - PMC - NIH,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10">
        <w:r w:rsidR="000215AE" w:rsidRPr="00AC57D5">
          <w:rPr>
            <w:rFonts w:ascii="Google Sans" w:eastAsia="Google Sans" w:hAnsi="Google Sans" w:cs="Google Sans"/>
            <w:color w:val="0000EE"/>
            <w:sz w:val="21"/>
            <w:szCs w:val="21"/>
            <w:u w:val="single"/>
          </w:rPr>
          <w:t>https://pmc.ncbi.nlm.nih.gov/articles/PMC3162076/</w:t>
        </w:r>
      </w:hyperlink>
    </w:p>
    <w:p w14:paraId="74861161"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Effect of concomitant pharmacotherapy on electroconvulsive therapy outcomes: Short-term efficacy and adverse effects,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11">
        <w:r w:rsidR="000215AE" w:rsidRPr="00AC57D5">
          <w:rPr>
            <w:rFonts w:ascii="Google Sans" w:eastAsia="Google Sans" w:hAnsi="Google Sans" w:cs="Google Sans"/>
            <w:color w:val="0000EE"/>
            <w:sz w:val="21"/>
            <w:szCs w:val="21"/>
            <w:u w:val="single"/>
          </w:rPr>
          <w:t>https://augusta.elsevierpure.com/en/publications/effect-of-concomitant-pharmacotherapy-on-electroconvulsive-therap/</w:t>
        </w:r>
      </w:hyperlink>
    </w:p>
    <w:p w14:paraId="5655AAFA"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Full article: Medication management during electroconvulsant therapy - Taylor &amp; Francis,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12">
        <w:r w:rsidR="000215AE" w:rsidRPr="00AC57D5">
          <w:rPr>
            <w:rFonts w:ascii="Google Sans" w:eastAsia="Google Sans" w:hAnsi="Google Sans" w:cs="Google Sans"/>
            <w:color w:val="0000EE"/>
            <w:sz w:val="21"/>
            <w:szCs w:val="21"/>
            <w:u w:val="single"/>
          </w:rPr>
          <w:t>https://www.tandfonline.com/doi/full/10.2147/NDT.S100908</w:t>
        </w:r>
      </w:hyperlink>
    </w:p>
    <w:p w14:paraId="2F8D1283"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Formulary and Prescribing Guidelines,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13">
        <w:r w:rsidR="000215AE" w:rsidRPr="00AC57D5">
          <w:rPr>
            <w:rFonts w:ascii="Google Sans" w:eastAsia="Google Sans" w:hAnsi="Google Sans" w:cs="Google Sans"/>
            <w:color w:val="0000EE"/>
            <w:sz w:val="21"/>
            <w:szCs w:val="21"/>
            <w:u w:val="single"/>
          </w:rPr>
          <w:t>https://www.eput.nhs.uk/wp-content/uploads/2025/04/section-24-electroconvulsive-therapy-new-jun-2024.pdf</w:t>
        </w:r>
      </w:hyperlink>
    </w:p>
    <w:p w14:paraId="520BEF53"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Maintenance pharmacotherapy after electroconvulsive therapy in inpatients with major depressive disorder: 198 prescriptions in a real-world clinical setting - NIH,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14">
        <w:r w:rsidR="000215AE" w:rsidRPr="00AC57D5">
          <w:rPr>
            <w:rFonts w:ascii="Google Sans" w:eastAsia="Google Sans" w:hAnsi="Google Sans" w:cs="Google Sans"/>
            <w:color w:val="0000EE"/>
            <w:sz w:val="21"/>
            <w:szCs w:val="21"/>
            <w:u w:val="single"/>
          </w:rPr>
          <w:t>https://pmc.ncbi.nlm.nih.gov/articles/PMC12512634/</w:t>
        </w:r>
      </w:hyperlink>
    </w:p>
    <w:p w14:paraId="2EE924C9"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The influence of concomitant antidepressant and antipsychotic medication on antidepressant effect and seizure duration of electroconvulsive therapy - Frontiers,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15">
        <w:r w:rsidR="000215AE" w:rsidRPr="00AC57D5">
          <w:rPr>
            <w:rFonts w:ascii="Google Sans" w:eastAsia="Google Sans" w:hAnsi="Google Sans" w:cs="Google Sans"/>
            <w:color w:val="0000EE"/>
            <w:sz w:val="21"/>
            <w:szCs w:val="21"/>
            <w:u w:val="single"/>
          </w:rPr>
          <w:t>https://www.frontiersin.org/journals/psychiatry/articles/10.3389/fpsyt.2024.1341508/full</w:t>
        </w:r>
      </w:hyperlink>
    </w:p>
    <w:p w14:paraId="4135007F"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Effect of Concomitant Pharmacotherapy on Electroconvulsive Therapy Outcomes | Request PDF - ResearchGate,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16">
        <w:r w:rsidR="000215AE" w:rsidRPr="00AC57D5">
          <w:rPr>
            <w:rFonts w:ascii="Google Sans" w:eastAsia="Google Sans" w:hAnsi="Google Sans" w:cs="Google Sans"/>
            <w:color w:val="0000EE"/>
            <w:sz w:val="21"/>
            <w:szCs w:val="21"/>
            <w:u w:val="single"/>
          </w:rPr>
          <w:t>https://www.researchgate.net/publication/26651374_Effect_of_Concomitant_Pharmacotherapy_on_Electroconvulsive_Therapy_Outcomes</w:t>
        </w:r>
      </w:hyperlink>
    </w:p>
    <w:p w14:paraId="2960DAEF"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Interactions between ECT and Prescribed Medication (Chapter 25) - The ECT Handbook,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17">
        <w:r w:rsidR="000215AE" w:rsidRPr="00AC57D5">
          <w:rPr>
            <w:rFonts w:ascii="Google Sans" w:eastAsia="Google Sans" w:hAnsi="Google Sans" w:cs="Google Sans"/>
            <w:color w:val="0000EE"/>
            <w:sz w:val="21"/>
            <w:szCs w:val="21"/>
            <w:u w:val="single"/>
          </w:rPr>
          <w:t>https://www.cambridge.org/core/books/ect-handbook/interactions-between-ect-and-prescribed-medication/51095AFF21C0758E3AA17B8A82E3CF16</w:t>
        </w:r>
      </w:hyperlink>
    </w:p>
    <w:p w14:paraId="03BBD1A7"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 xml:space="preserve">Glucagon-Like Peptide-1 Receptor Agonists and Peri-Procedural Aspiration Risk | Journal of </w:t>
      </w:r>
      <w:r w:rsidRPr="00AC57D5">
        <w:rPr>
          <w:rFonts w:ascii="Google Sans" w:eastAsia="Google Sans" w:hAnsi="Google Sans" w:cs="Google Sans"/>
          <w:sz w:val="21"/>
          <w:szCs w:val="21"/>
        </w:rPr>
        <w:lastRenderedPageBreak/>
        <w:t>the Endocrine Society | Oxford Academic,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18">
        <w:r w:rsidR="000215AE" w:rsidRPr="00AC57D5">
          <w:rPr>
            <w:rFonts w:ascii="Google Sans" w:eastAsia="Google Sans" w:hAnsi="Google Sans" w:cs="Google Sans"/>
            <w:color w:val="0000EE"/>
            <w:sz w:val="21"/>
            <w:szCs w:val="21"/>
            <w:u w:val="single"/>
          </w:rPr>
          <w:t>https://academic.oup.com/jes/article/9/9/bvaf088/8196040</w:t>
        </w:r>
      </w:hyperlink>
    </w:p>
    <w:p w14:paraId="5766AA70"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Most Patients Can Continue Diabetes, Weight Loss GLP-1 Drugs Before Surgery, Those at Highest Risk for GI Problems Should Follow Liquid Diet Before Procedure - American Society of Anesthesiologists (ASA),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19">
        <w:r w:rsidR="000215AE" w:rsidRPr="00AC57D5">
          <w:rPr>
            <w:rFonts w:ascii="Google Sans" w:eastAsia="Google Sans" w:hAnsi="Google Sans" w:cs="Google Sans"/>
            <w:color w:val="0000EE"/>
            <w:sz w:val="21"/>
            <w:szCs w:val="21"/>
            <w:u w:val="single"/>
          </w:rPr>
          <w:t>https://www.asahq.org/about-asa/newsroom/news-releases/2024/10/new-multi-society-glp-1-guidance</w:t>
        </w:r>
      </w:hyperlink>
    </w:p>
    <w:p w14:paraId="18A5826D"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Electroconvulsive therapy and structural neuroplasticity in neocortical, limbic and paralimbic cortex - PMC - PubMed Central,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20">
        <w:r w:rsidR="000215AE" w:rsidRPr="00AC57D5">
          <w:rPr>
            <w:rFonts w:ascii="Google Sans" w:eastAsia="Google Sans" w:hAnsi="Google Sans" w:cs="Google Sans"/>
            <w:color w:val="0000EE"/>
            <w:sz w:val="21"/>
            <w:szCs w:val="21"/>
            <w:u w:val="single"/>
          </w:rPr>
          <w:t>https://pmc.ncbi.nlm.nih.gov/articles/PMC4931600/</w:t>
        </w:r>
      </w:hyperlink>
    </w:p>
    <w:p w14:paraId="20894D1E"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Neurobiological Mechanisms of Electroconvulsive Therapy: Molecular Perspectives of Brain Stimulation - MDPI,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21">
        <w:r w:rsidR="000215AE" w:rsidRPr="00AC57D5">
          <w:rPr>
            <w:rFonts w:ascii="Google Sans" w:eastAsia="Google Sans" w:hAnsi="Google Sans" w:cs="Google Sans"/>
            <w:color w:val="0000EE"/>
            <w:sz w:val="21"/>
            <w:szCs w:val="21"/>
            <w:u w:val="single"/>
          </w:rPr>
          <w:t>https://www.mdpi.com/1422-0067/26/12/5905</w:t>
        </w:r>
      </w:hyperlink>
    </w:p>
    <w:p w14:paraId="4E60303E"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Full article: Attractor landscapes: a unifying conceptual model for understanding behaviour change across scales of observation - Taylor &amp; Francis,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22">
        <w:r w:rsidR="000215AE" w:rsidRPr="00AC57D5">
          <w:rPr>
            <w:rFonts w:ascii="Google Sans" w:eastAsia="Google Sans" w:hAnsi="Google Sans" w:cs="Google Sans"/>
            <w:color w:val="0000EE"/>
            <w:sz w:val="21"/>
            <w:szCs w:val="21"/>
            <w:u w:val="single"/>
          </w:rPr>
          <w:t>https://www.tandfonline.com/doi/full/10.1080/17437199.2022.2146598</w:t>
        </w:r>
      </w:hyperlink>
    </w:p>
    <w:p w14:paraId="5B27AB24"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It's about time: Linking dynamical systems with human neuroimaging to understand the brain - PubMed Central,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23">
        <w:r w:rsidR="000215AE" w:rsidRPr="00AC57D5">
          <w:rPr>
            <w:rFonts w:ascii="Google Sans" w:eastAsia="Google Sans" w:hAnsi="Google Sans" w:cs="Google Sans"/>
            <w:color w:val="0000EE"/>
            <w:sz w:val="21"/>
            <w:szCs w:val="21"/>
            <w:u w:val="single"/>
          </w:rPr>
          <w:t>https://pmc.ncbi.nlm.nih.gov/articles/PMC9976648/</w:t>
        </w:r>
      </w:hyperlink>
    </w:p>
    <w:p w14:paraId="1BDD5E25"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Parsing the Network Mechanisms of Electroconvulsive Therapy - PMC - NIH,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24">
        <w:r w:rsidR="000215AE" w:rsidRPr="00AC57D5">
          <w:rPr>
            <w:rFonts w:ascii="Google Sans" w:eastAsia="Google Sans" w:hAnsi="Google Sans" w:cs="Google Sans"/>
            <w:color w:val="0000EE"/>
            <w:sz w:val="21"/>
            <w:szCs w:val="21"/>
            <w:u w:val="single"/>
          </w:rPr>
          <w:t>https://pmc.ncbi.nlm.nih.gov/articles/PMC9196257/</w:t>
        </w:r>
      </w:hyperlink>
    </w:p>
    <w:p w14:paraId="167171A8"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Parsing the Network Mechanisms of Electroconvulsive Therapy - PubMed - NIH,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25">
        <w:r w:rsidR="000215AE" w:rsidRPr="00AC57D5">
          <w:rPr>
            <w:rFonts w:ascii="Google Sans" w:eastAsia="Google Sans" w:hAnsi="Google Sans" w:cs="Google Sans"/>
            <w:color w:val="0000EE"/>
            <w:sz w:val="21"/>
            <w:szCs w:val="21"/>
            <w:u w:val="single"/>
          </w:rPr>
          <w:t>https://pubmed.ncbi.nlm.nih.gov/35120710/</w:t>
        </w:r>
      </w:hyperlink>
    </w:p>
    <w:p w14:paraId="1922070F"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Neurobiological Mechanisms of Electroconvulsive Therapy: Molecular Perspectives of Brain Stimulation - PubMed,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26">
        <w:r w:rsidR="000215AE" w:rsidRPr="00AC57D5">
          <w:rPr>
            <w:rFonts w:ascii="Google Sans" w:eastAsia="Google Sans" w:hAnsi="Google Sans" w:cs="Google Sans"/>
            <w:color w:val="0000EE"/>
            <w:sz w:val="21"/>
            <w:szCs w:val="21"/>
            <w:u w:val="single"/>
          </w:rPr>
          <w:t>https://pubmed.ncbi.nlm.nih.gov/40565369/</w:t>
        </w:r>
      </w:hyperlink>
    </w:p>
    <w:p w14:paraId="497599CC"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Full article: Reduced Synaptic Plasticity Contributes to Resistance Against Constant-Stimulus Electroconvulsive Treatment in a Rat Model of Stress-Induced Depression - Taylor &amp; Francis,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27">
        <w:r w:rsidR="000215AE" w:rsidRPr="00AC57D5">
          <w:rPr>
            <w:rFonts w:ascii="Google Sans" w:eastAsia="Google Sans" w:hAnsi="Google Sans" w:cs="Google Sans"/>
            <w:color w:val="0000EE"/>
            <w:sz w:val="21"/>
            <w:szCs w:val="21"/>
            <w:u w:val="single"/>
          </w:rPr>
          <w:t>https://www.tandfonline.com/doi/full/10.2147/NDT.S304075</w:t>
        </w:r>
      </w:hyperlink>
    </w:p>
    <w:p w14:paraId="3F9A0EA9"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Study Details | NCT04399070 | The Effect of S-ketamine for Patients Undergoing Electroconvulsive Therapy (ECT) | ClinicalTrials.gov,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28">
        <w:r w:rsidR="000215AE" w:rsidRPr="00AC57D5">
          <w:rPr>
            <w:rFonts w:ascii="Google Sans" w:eastAsia="Google Sans" w:hAnsi="Google Sans" w:cs="Google Sans"/>
            <w:color w:val="0000EE"/>
            <w:sz w:val="21"/>
            <w:szCs w:val="21"/>
            <w:u w:val="single"/>
          </w:rPr>
          <w:t>https://clinicaltrials.gov/study/NCT04399070</w:t>
        </w:r>
      </w:hyperlink>
    </w:p>
    <w:p w14:paraId="14314449"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Effect of Memantine on Cognitive Performance in Patients Under Electroconvulsive Therapy: A Double-Blind Randomized Clinical Trial - PubMed,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29">
        <w:r w:rsidR="000215AE" w:rsidRPr="00AC57D5">
          <w:rPr>
            <w:rFonts w:ascii="Google Sans" w:eastAsia="Google Sans" w:hAnsi="Google Sans" w:cs="Google Sans"/>
            <w:color w:val="0000EE"/>
            <w:sz w:val="21"/>
            <w:szCs w:val="21"/>
            <w:u w:val="single"/>
          </w:rPr>
          <w:t>https://pubmed.ncbi.nlm.nih.gov/26536019/</w:t>
        </w:r>
      </w:hyperlink>
    </w:p>
    <w:p w14:paraId="411564A9"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Combination of Electroconvulsive Therapy and Clozapine in Treatment-Resistant Schizophrenia - PMC - PubMed Central,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30">
        <w:r w:rsidR="000215AE" w:rsidRPr="00AC57D5">
          <w:rPr>
            <w:rFonts w:ascii="Google Sans" w:eastAsia="Google Sans" w:hAnsi="Google Sans" w:cs="Google Sans"/>
            <w:color w:val="0000EE"/>
            <w:sz w:val="21"/>
            <w:szCs w:val="21"/>
            <w:u w:val="single"/>
          </w:rPr>
          <w:t>https://pmc.ncbi.nlm.nih.gov/articles/PMC6111217/</w:t>
        </w:r>
      </w:hyperlink>
    </w:p>
    <w:p w14:paraId="6CC36D73"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Influence of an adjuvant antidepressant on the efficacy of electroconvulsive therapy: A systematic review and meta-analysis - PubMed Central,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31">
        <w:r w:rsidR="000215AE" w:rsidRPr="00AC57D5">
          <w:rPr>
            <w:rFonts w:ascii="Google Sans" w:eastAsia="Google Sans" w:hAnsi="Google Sans" w:cs="Google Sans"/>
            <w:color w:val="0000EE"/>
            <w:sz w:val="21"/>
            <w:szCs w:val="21"/>
            <w:u w:val="single"/>
          </w:rPr>
          <w:t>https://pmc.ncbi.nlm.nih.gov/articles/PMC8020309/</w:t>
        </w:r>
      </w:hyperlink>
    </w:p>
    <w:p w14:paraId="204ACE9D"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Clinical efficacy of electroconvulsive therapy combined with antidepressant medication in patients with treatment-resistant depression: A meta-analysis - PubMed,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32">
        <w:r w:rsidR="000215AE" w:rsidRPr="00AC57D5">
          <w:rPr>
            <w:rFonts w:ascii="Google Sans" w:eastAsia="Google Sans" w:hAnsi="Google Sans" w:cs="Google Sans"/>
            <w:color w:val="0000EE"/>
            <w:sz w:val="21"/>
            <w:szCs w:val="21"/>
            <w:u w:val="single"/>
          </w:rPr>
          <w:t>https://pubmed.ncbi.nlm.nih.gov/40302036/</w:t>
        </w:r>
      </w:hyperlink>
    </w:p>
    <w:p w14:paraId="70E51DD8"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Targeting metaplasticity mechanisms to promote sustained antidepressant actions - PMC,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33">
        <w:r w:rsidR="000215AE" w:rsidRPr="00AC57D5">
          <w:rPr>
            <w:rFonts w:ascii="Google Sans" w:eastAsia="Google Sans" w:hAnsi="Google Sans" w:cs="Google Sans"/>
            <w:color w:val="0000EE"/>
            <w:sz w:val="21"/>
            <w:szCs w:val="21"/>
            <w:u w:val="single"/>
          </w:rPr>
          <w:t>https://pmc.ncbi.nlm.nih.gov/articles/PMC11176041/</w:t>
        </w:r>
      </w:hyperlink>
    </w:p>
    <w:p w14:paraId="20B6EC3E"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A systematic mini-review of epigenetic mechanisms associated with electroconvulsive therapy in humans - Frontiers,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34">
        <w:r w:rsidR="000215AE" w:rsidRPr="00AC57D5">
          <w:rPr>
            <w:rFonts w:ascii="Google Sans" w:eastAsia="Google Sans" w:hAnsi="Google Sans" w:cs="Google Sans"/>
            <w:color w:val="0000EE"/>
            <w:sz w:val="21"/>
            <w:szCs w:val="21"/>
            <w:u w:val="single"/>
          </w:rPr>
          <w:t>https://www.frontiersin.org/journals/human-neuroscience/articles/10.3389/fnhum.2023.1143332/full</w:t>
        </w:r>
      </w:hyperlink>
    </w:p>
    <w:p w14:paraId="2491DB45"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Synaptic priming: A framework for pharmacotherapy in depression | Request PDF,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35">
        <w:r w:rsidR="000215AE" w:rsidRPr="00AC57D5">
          <w:rPr>
            <w:rFonts w:ascii="Google Sans" w:eastAsia="Google Sans" w:hAnsi="Google Sans" w:cs="Google Sans"/>
            <w:color w:val="0000EE"/>
            <w:sz w:val="21"/>
            <w:szCs w:val="21"/>
            <w:u w:val="single"/>
          </w:rPr>
          <w:t>https://www.researchgate.net/publication/396317019_Synaptic_priming_A_framework_for_pharmacotherapy_in_depression</w:t>
        </w:r>
      </w:hyperlink>
    </w:p>
    <w:p w14:paraId="0A95AA41"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Combined Use of Lamotrigine and Electroconvulsive Therapy in Bipolar Depression,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36">
        <w:r w:rsidR="000215AE" w:rsidRPr="00AC57D5">
          <w:rPr>
            <w:rFonts w:ascii="Google Sans" w:eastAsia="Google Sans" w:hAnsi="Google Sans" w:cs="Google Sans"/>
            <w:color w:val="0000EE"/>
            <w:sz w:val="21"/>
            <w:szCs w:val="21"/>
            <w:u w:val="single"/>
          </w:rPr>
          <w:t>https://www.researchgate.net/publication/6982505_Combined_Use_of_Lamotrigine_and_Electroconvulsive_Therapy_in_Bipolar_Depression</w:t>
        </w:r>
      </w:hyperlink>
    </w:p>
    <w:p w14:paraId="2AB13E54"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Alteration of hyperpolarization-activated cation current-mediated metaplasticity contributes to electroconvulsive shock-induced learning and memory impairment in depressed rats - PMC - NIH,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37">
        <w:r w:rsidR="000215AE" w:rsidRPr="00AC57D5">
          <w:rPr>
            <w:rFonts w:ascii="Google Sans" w:eastAsia="Google Sans" w:hAnsi="Google Sans" w:cs="Google Sans"/>
            <w:color w:val="0000EE"/>
            <w:sz w:val="21"/>
            <w:szCs w:val="21"/>
            <w:u w:val="single"/>
          </w:rPr>
          <w:t>https://pmc.ncbi.nlm.nih.gov/articles/PMC11190359/</w:t>
        </w:r>
      </w:hyperlink>
    </w:p>
    <w:p w14:paraId="6CB0F7A0"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https://www.frontiersin.org/journals/human-neuroscience/articles,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38">
        <w:r w:rsidR="000215AE" w:rsidRPr="00AC57D5">
          <w:rPr>
            <w:rFonts w:ascii="Google Sans" w:eastAsia="Google Sans" w:hAnsi="Google Sans" w:cs="Google Sans"/>
            <w:color w:val="0000EE"/>
            <w:sz w:val="21"/>
            <w:szCs w:val="21"/>
            <w:u w:val="single"/>
          </w:rPr>
          <w:t>https://www.frontiersin.org/journals/human-neuroscience/articles/10.3389/fnhum.2022.852657/xml/nlm?isPublishedV2=False</w:t>
        </w:r>
      </w:hyperlink>
    </w:p>
    <w:p w14:paraId="5C18B088"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The Administration of Electroconvulsive Therapy Guideline | Queensland Health,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39">
        <w:r w:rsidR="000215AE" w:rsidRPr="00AC57D5">
          <w:rPr>
            <w:rFonts w:ascii="Google Sans" w:eastAsia="Google Sans" w:hAnsi="Google Sans" w:cs="Google Sans"/>
            <w:color w:val="0000EE"/>
            <w:sz w:val="21"/>
            <w:szCs w:val="21"/>
            <w:u w:val="single"/>
          </w:rPr>
          <w:t>https://www.health.qld.gov.au/__data/assets/pdf_file/0028/444763/guideline-administration-electroconvulsive-therapy.pdf</w:t>
        </w:r>
      </w:hyperlink>
    </w:p>
    <w:p w14:paraId="3A39318A"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How Much Do Benzodiazepines Matter for Electroconvulsive Therapy in Patients With Major Depression? - PubMed,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40">
        <w:r w:rsidR="000215AE" w:rsidRPr="00AC57D5">
          <w:rPr>
            <w:rFonts w:ascii="Google Sans" w:eastAsia="Google Sans" w:hAnsi="Google Sans" w:cs="Google Sans"/>
            <w:color w:val="0000EE"/>
            <w:sz w:val="21"/>
            <w:szCs w:val="21"/>
            <w:u w:val="single"/>
          </w:rPr>
          <w:t>https://pubmed.ncbi.nlm.nih.gov/30720551/</w:t>
        </w:r>
      </w:hyperlink>
    </w:p>
    <w:p w14:paraId="3F2E56B2"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Should Benzodiazepines and Anticonvulsants Be Used During Electroconvulsive Therapy?: A Case Study and Literature Review - PubMed,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41">
        <w:r w:rsidR="000215AE" w:rsidRPr="00AC57D5">
          <w:rPr>
            <w:rFonts w:ascii="Google Sans" w:eastAsia="Google Sans" w:hAnsi="Google Sans" w:cs="Google Sans"/>
            <w:color w:val="0000EE"/>
            <w:sz w:val="21"/>
            <w:szCs w:val="21"/>
            <w:u w:val="single"/>
          </w:rPr>
          <w:t>https://pubmed.ncbi.nlm.nih.gov/28767528/</w:t>
        </w:r>
      </w:hyperlink>
    </w:p>
    <w:p w14:paraId="6FC0C327"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(PDF) Dose-Dependent Effects of Benzodiazepines and Other Psychotropic Drugs on Seizure Duration in Electroconvulsive Therapy - ResearchGate,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42">
        <w:r w:rsidR="000215AE" w:rsidRPr="00AC57D5">
          <w:rPr>
            <w:rFonts w:ascii="Google Sans" w:eastAsia="Google Sans" w:hAnsi="Google Sans" w:cs="Google Sans"/>
            <w:color w:val="0000EE"/>
            <w:sz w:val="21"/>
            <w:szCs w:val="21"/>
            <w:u w:val="single"/>
          </w:rPr>
          <w:t>https://www.researchgate.net/publication/396247974_Dose-Dependent_Effects_of_Benzodiazepines_and_Other_Psychotropic_Drugs_on_Seizure_Duration_in_Electroconvulsive_Therapy</w:t>
        </w:r>
      </w:hyperlink>
    </w:p>
    <w:p w14:paraId="510B9CDD"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Changes in Seizure Threshold Over the Course of Electroconvulsive Therapy Affect Therapeutic Response and Are Detected by Ictal EEG Ratings | The Journal of Neuropsychiatry and Clinical Neurosciences,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43">
        <w:r w:rsidR="000215AE" w:rsidRPr="00AC57D5">
          <w:rPr>
            <w:rFonts w:ascii="Google Sans" w:eastAsia="Google Sans" w:hAnsi="Google Sans" w:cs="Google Sans"/>
            <w:color w:val="0000EE"/>
            <w:sz w:val="21"/>
            <w:szCs w:val="21"/>
            <w:u w:val="single"/>
          </w:rPr>
          <w:t>https://psychiatryonline.org/doi/full/10.1176/jnp.10.2.178</w:t>
        </w:r>
      </w:hyperlink>
    </w:p>
    <w:p w14:paraId="458DA121"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Delirium with Concurrent Use of Lithium and ECT and the Safety Implications: Case Reports and Review of the Literature - PubMed Central,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44">
        <w:r w:rsidR="000215AE" w:rsidRPr="00AC57D5">
          <w:rPr>
            <w:rFonts w:ascii="Google Sans" w:eastAsia="Google Sans" w:hAnsi="Google Sans" w:cs="Google Sans"/>
            <w:color w:val="0000EE"/>
            <w:sz w:val="21"/>
            <w:szCs w:val="21"/>
            <w:u w:val="single"/>
          </w:rPr>
          <w:t>https://pmc.ncbi.nlm.nih.gov/articles/PMC10188255/</w:t>
        </w:r>
      </w:hyperlink>
    </w:p>
    <w:p w14:paraId="656B3678"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Combination of lithium and electroconvulsive therapy (ECT) is associated with higher odds of delirium and cognitive problems in a large national sample across the United States - PubMed,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45">
        <w:r w:rsidR="000215AE" w:rsidRPr="00AC57D5">
          <w:rPr>
            <w:rFonts w:ascii="Google Sans" w:eastAsia="Google Sans" w:hAnsi="Google Sans" w:cs="Google Sans"/>
            <w:color w:val="0000EE"/>
            <w:sz w:val="21"/>
            <w:szCs w:val="21"/>
            <w:u w:val="single"/>
          </w:rPr>
          <w:t>https://pubmed.ncbi.nlm.nih.gov/31492631/</w:t>
        </w:r>
      </w:hyperlink>
    </w:p>
    <w:p w14:paraId="5D157E5F"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Should lithium and ECT be used concurrently in geriatric patients?,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46">
        <w:r w:rsidR="000215AE" w:rsidRPr="00AC57D5">
          <w:rPr>
            <w:rFonts w:ascii="Google Sans" w:eastAsia="Google Sans" w:hAnsi="Google Sans" w:cs="Google Sans"/>
            <w:color w:val="0000EE"/>
            <w:sz w:val="21"/>
            <w:szCs w:val="21"/>
            <w:u w:val="single"/>
          </w:rPr>
          <w:t>https://cdn.mdedge.com/files/s3fs-public/Document/September-2017/e1_0814CP_PRLS_Hategan_FINAL-R_03.pdf</w:t>
        </w:r>
      </w:hyperlink>
    </w:p>
    <w:p w14:paraId="1C9DE81E"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Lithium and Electroconvulsive Therapy,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47">
        <w:r w:rsidR="000215AE" w:rsidRPr="00AC57D5">
          <w:rPr>
            <w:rFonts w:ascii="Google Sans" w:eastAsia="Google Sans" w:hAnsi="Google Sans" w:cs="Google Sans"/>
            <w:color w:val="0000EE"/>
            <w:sz w:val="21"/>
            <w:szCs w:val="21"/>
            <w:u w:val="single"/>
          </w:rPr>
          <w:t>https://nact.se/wp-content/uploads/2017/09/Rasmussen-Lithium-and-ECT-1.pdf</w:t>
        </w:r>
      </w:hyperlink>
    </w:p>
    <w:p w14:paraId="70DE860F"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Association between concomitant anticonvulsants and clinical and cognitive outcomes of electroconvulsive therapy for depression - PubMed,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48">
        <w:r w:rsidR="000215AE" w:rsidRPr="00AC57D5">
          <w:rPr>
            <w:rFonts w:ascii="Google Sans" w:eastAsia="Google Sans" w:hAnsi="Google Sans" w:cs="Google Sans"/>
            <w:color w:val="0000EE"/>
            <w:sz w:val="21"/>
            <w:szCs w:val="21"/>
            <w:u w:val="single"/>
          </w:rPr>
          <w:t>https://pubmed.ncbi.nlm.nih.gov/40846279/</w:t>
        </w:r>
      </w:hyperlink>
    </w:p>
    <w:p w14:paraId="23C9F260"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Seizure Duration and Electroconvulsive Therapy in Major Depressive Disorder - PMC - NIH,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49">
        <w:r w:rsidR="000215AE" w:rsidRPr="00AC57D5">
          <w:rPr>
            <w:rFonts w:ascii="Google Sans" w:eastAsia="Google Sans" w:hAnsi="Google Sans" w:cs="Google Sans"/>
            <w:color w:val="0000EE"/>
            <w:sz w:val="21"/>
            <w:szCs w:val="21"/>
            <w:u w:val="single"/>
          </w:rPr>
          <w:t>https://pmc.ncbi.nlm.nih.gov/articles/PMC11273235/</w:t>
        </w:r>
      </w:hyperlink>
    </w:p>
    <w:p w14:paraId="15640932"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Combined use of lamotrigine and electroconvulsive therapy in bipolar depression: a case series - PubMed,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50">
        <w:r w:rsidR="000215AE" w:rsidRPr="00AC57D5">
          <w:rPr>
            <w:rFonts w:ascii="Google Sans" w:eastAsia="Google Sans" w:hAnsi="Google Sans" w:cs="Google Sans"/>
            <w:color w:val="0000EE"/>
            <w:sz w:val="21"/>
            <w:szCs w:val="21"/>
            <w:u w:val="single"/>
          </w:rPr>
          <w:t>https://pubmed.ncbi.nlm.nih.gov/16801832/</w:t>
        </w:r>
      </w:hyperlink>
    </w:p>
    <w:p w14:paraId="39C17F1B"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Concurrent use of lamotrigine and electroconvulsive therapy - PubMed,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lastRenderedPageBreak/>
        <w:t>액세스</w:t>
      </w:r>
      <w:r w:rsidRPr="00AC57D5">
        <w:rPr>
          <w:rFonts w:ascii="Google Sans" w:eastAsia="Google Sans" w:hAnsi="Google Sans" w:cs="Google Sans"/>
          <w:sz w:val="21"/>
          <w:szCs w:val="21"/>
        </w:rPr>
        <w:t xml:space="preserve">, </w:t>
      </w:r>
      <w:hyperlink r:id="rId51">
        <w:r w:rsidR="000215AE" w:rsidRPr="00AC57D5">
          <w:rPr>
            <w:rFonts w:ascii="Google Sans" w:eastAsia="Google Sans" w:hAnsi="Google Sans" w:cs="Google Sans"/>
            <w:color w:val="0000EE"/>
            <w:sz w:val="21"/>
            <w:szCs w:val="21"/>
            <w:u w:val="single"/>
          </w:rPr>
          <w:t>https://pubmed.ncbi.nlm.nih.gov/20562637/</w:t>
        </w:r>
      </w:hyperlink>
    </w:p>
    <w:p w14:paraId="4F3614A3"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Electroconvulsive Therapy Augmentation in Clozapine-Resistant Schizophrenia: A Prospective, Randomized Study | Focus - Psychiatry Online,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52">
        <w:r w:rsidR="000215AE" w:rsidRPr="00AC57D5">
          <w:rPr>
            <w:rFonts w:ascii="Google Sans" w:eastAsia="Google Sans" w:hAnsi="Google Sans" w:cs="Google Sans"/>
            <w:color w:val="0000EE"/>
            <w:sz w:val="21"/>
            <w:szCs w:val="21"/>
            <w:u w:val="single"/>
          </w:rPr>
          <w:t>https://psychiatryonline.org/doi/10.1176/appi.focus.17106</w:t>
        </w:r>
      </w:hyperlink>
    </w:p>
    <w:p w14:paraId="68C28548"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Combined use of clozapine and ECT: a review - PubMed,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53">
        <w:r w:rsidR="000215AE" w:rsidRPr="00AC57D5">
          <w:rPr>
            <w:rFonts w:ascii="Google Sans" w:eastAsia="Google Sans" w:hAnsi="Google Sans" w:cs="Google Sans"/>
            <w:color w:val="0000EE"/>
            <w:sz w:val="21"/>
            <w:szCs w:val="21"/>
            <w:u w:val="single"/>
          </w:rPr>
          <w:t>https://pubmed.ncbi.nlm.nih.gov/25697225/</w:t>
        </w:r>
      </w:hyperlink>
    </w:p>
    <w:p w14:paraId="098013B8"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Combined use of clozapine and ECT: a review | Acta Neuropsychiatrica | Cambridge Core,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54">
        <w:r w:rsidR="000215AE" w:rsidRPr="00AC57D5">
          <w:rPr>
            <w:rFonts w:ascii="Google Sans" w:eastAsia="Google Sans" w:hAnsi="Google Sans" w:cs="Google Sans"/>
            <w:color w:val="0000EE"/>
            <w:sz w:val="21"/>
            <w:szCs w:val="21"/>
            <w:u w:val="single"/>
          </w:rPr>
          <w:t>https://www.cambridge.org/core/journals/acta-neuropsychiatrica/article/combined-use-of-clozapine-and-ect-a-review/EBB9C15646B59C69B19869F69E4D8422</w:t>
        </w:r>
      </w:hyperlink>
    </w:p>
    <w:p w14:paraId="1181374A"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Efficacy and safety of intravenously applied caffeine augmentation in electroconvulsive therapy - PMC - PubMed Central,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55">
        <w:r w:rsidR="000215AE" w:rsidRPr="00AC57D5">
          <w:rPr>
            <w:rFonts w:ascii="Google Sans" w:eastAsia="Google Sans" w:hAnsi="Google Sans" w:cs="Google Sans"/>
            <w:color w:val="0000EE"/>
            <w:sz w:val="21"/>
            <w:szCs w:val="21"/>
            <w:u w:val="single"/>
          </w:rPr>
          <w:t>https://pmc.ncbi.nlm.nih.gov/articles/PMC12605645/</w:t>
        </w:r>
      </w:hyperlink>
    </w:p>
    <w:p w14:paraId="2532C343"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Safety and efficacy of caffeine-augmented ECT in elderly depressives: a retrospective study,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56">
        <w:r w:rsidR="000215AE" w:rsidRPr="00AC57D5">
          <w:rPr>
            <w:rFonts w:ascii="Google Sans" w:eastAsia="Google Sans" w:hAnsi="Google Sans" w:cs="Google Sans"/>
            <w:color w:val="0000EE"/>
            <w:sz w:val="21"/>
            <w:szCs w:val="21"/>
            <w:u w:val="single"/>
          </w:rPr>
          <w:t>https://pubmed.ncbi.nlm.nih.gov/7576041/</w:t>
        </w:r>
      </w:hyperlink>
    </w:p>
    <w:p w14:paraId="2779AFB7"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Augmentation of Electroconvulsive Therapy with Oral Caffeine: A Retrospective Analysis of 40 Patients with Major Depression,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57">
        <w:r w:rsidR="000215AE" w:rsidRPr="00AC57D5">
          <w:rPr>
            <w:rFonts w:ascii="Google Sans" w:eastAsia="Google Sans" w:hAnsi="Google Sans" w:cs="Google Sans"/>
            <w:color w:val="0000EE"/>
            <w:sz w:val="21"/>
            <w:szCs w:val="21"/>
            <w:u w:val="single"/>
          </w:rPr>
          <w:t>https://www.thieme-connect.com/products/ejournals/pdf/10.1055/a-2197-9635.pdf</w:t>
        </w:r>
      </w:hyperlink>
    </w:p>
    <w:p w14:paraId="0256D92C"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Effectiveness of methylphenidate as augmentation therapy after failure of adjunctive neuromodulation for patients with treatment-refractory bipolar depression: a case report - PubMed,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58">
        <w:r w:rsidR="000215AE" w:rsidRPr="00AC57D5">
          <w:rPr>
            <w:rFonts w:ascii="Google Sans" w:eastAsia="Google Sans" w:hAnsi="Google Sans" w:cs="Google Sans"/>
            <w:color w:val="0000EE"/>
            <w:sz w:val="21"/>
            <w:szCs w:val="21"/>
            <w:u w:val="single"/>
          </w:rPr>
          <w:t>https://pubmed.ncbi.nlm.nih.gov/24729710/</w:t>
        </w:r>
      </w:hyperlink>
    </w:p>
    <w:p w14:paraId="58D630B8"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A Review of Psychostimulants for Adults With Depression - PMC - NIH,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59">
        <w:r w:rsidR="000215AE" w:rsidRPr="00AC57D5">
          <w:rPr>
            <w:rFonts w:ascii="Google Sans" w:eastAsia="Google Sans" w:hAnsi="Google Sans" w:cs="Google Sans"/>
            <w:color w:val="0000EE"/>
            <w:sz w:val="21"/>
            <w:szCs w:val="21"/>
            <w:u w:val="single"/>
          </w:rPr>
          <w:t>https://pmc.ncbi.nlm.nih.gov/articles/PMC6375494/</w:t>
        </w:r>
      </w:hyperlink>
    </w:p>
    <w:p w14:paraId="2C17E47B"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Are Serious Anesthesia Risks of Semaglutide and Other GLP-1 Agonists Under-Recognized? Case Reports of Retained Solid Gastric Contents in Patients Undergoing Anesthesia,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60">
        <w:r w:rsidR="000215AE" w:rsidRPr="00AC57D5">
          <w:rPr>
            <w:rFonts w:ascii="Google Sans" w:eastAsia="Google Sans" w:hAnsi="Google Sans" w:cs="Google Sans"/>
            <w:color w:val="0000EE"/>
            <w:sz w:val="21"/>
            <w:szCs w:val="21"/>
            <w:u w:val="single"/>
          </w:rPr>
          <w:t>https://www.apsf.org/article/are-serious-anesthesia-risks-of-semaglutide-and-other-glp-1-agonists-under-recognized/</w:t>
        </w:r>
      </w:hyperlink>
    </w:p>
    <w:p w14:paraId="2BA500CD"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Emerging Anesthesia Risks with Semaglutide - PMC - NIH,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61">
        <w:r w:rsidR="000215AE" w:rsidRPr="00AC57D5">
          <w:rPr>
            <w:rFonts w:ascii="Google Sans" w:eastAsia="Google Sans" w:hAnsi="Google Sans" w:cs="Google Sans"/>
            <w:color w:val="0000EE"/>
            <w:sz w:val="21"/>
            <w:szCs w:val="21"/>
            <w:u w:val="single"/>
          </w:rPr>
          <w:t>https://pmc.ncbi.nlm.nih.gov/articles/PMC10662908/</w:t>
        </w:r>
      </w:hyperlink>
    </w:p>
    <w:p w14:paraId="741C8233"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Patients Taking Popular Medications for Diabetes and Weight Loss Should Stop Before Elective Surgery, ASA Suggests,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62">
        <w:r w:rsidR="000215AE" w:rsidRPr="00AC57D5">
          <w:rPr>
            <w:rFonts w:ascii="Google Sans" w:eastAsia="Google Sans" w:hAnsi="Google Sans" w:cs="Google Sans"/>
            <w:color w:val="0000EE"/>
            <w:sz w:val="21"/>
            <w:szCs w:val="21"/>
            <w:u w:val="single"/>
          </w:rPr>
          <w:t>https://www.asahq.org/about-asa/newsroom/news-releases/2023/06/patients-taking-popular-medications-for-diabetes-and-weight-loss-should-stop-before-elective-surgery</w:t>
        </w:r>
      </w:hyperlink>
    </w:p>
    <w:p w14:paraId="04BBD48B"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2025 ADS/ANZCA/GESA/NACOS clinical practice recommendations on the peri-procedural use of GLP-1/GIP receptor agonists - NIH,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63">
        <w:r w:rsidR="000215AE" w:rsidRPr="00AC57D5">
          <w:rPr>
            <w:rFonts w:ascii="Google Sans" w:eastAsia="Google Sans" w:hAnsi="Google Sans" w:cs="Google Sans"/>
            <w:color w:val="0000EE"/>
            <w:sz w:val="21"/>
            <w:szCs w:val="21"/>
            <w:u w:val="single"/>
          </w:rPr>
          <w:t>https://pmc.ncbi.nlm.nih.gov/articles/PMC12420935/</w:t>
        </w:r>
      </w:hyperlink>
    </w:p>
    <w:p w14:paraId="34D58F45"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Neuronal network mechanisms associated with depressive symptom improvement following electroconvulsive therapy - PMC - PubMed Central,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64">
        <w:r w:rsidR="000215AE" w:rsidRPr="00AC57D5">
          <w:rPr>
            <w:rFonts w:ascii="Google Sans" w:eastAsia="Google Sans" w:hAnsi="Google Sans" w:cs="Google Sans"/>
            <w:color w:val="0000EE"/>
            <w:sz w:val="21"/>
            <w:szCs w:val="21"/>
            <w:u w:val="single"/>
          </w:rPr>
          <w:t>https://pmc.ncbi.nlm.nih.gov/articles/PMC8640363/</w:t>
        </w:r>
      </w:hyperlink>
    </w:p>
    <w:p w14:paraId="7FE61B6F"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Geometry of neural dynamics along the cortical attractor landscape reflects changes in attention | bioRxiv,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65">
        <w:r w:rsidR="000215AE" w:rsidRPr="00AC57D5">
          <w:rPr>
            <w:rFonts w:ascii="Google Sans" w:eastAsia="Google Sans" w:hAnsi="Google Sans" w:cs="Google Sans"/>
            <w:color w:val="0000EE"/>
            <w:sz w:val="21"/>
            <w:szCs w:val="21"/>
            <w:u w:val="single"/>
          </w:rPr>
          <w:t>https://www.biorxiv.org/content/10.1101/2025.08.08.669432v1.full-text</w:t>
        </w:r>
      </w:hyperlink>
    </w:p>
    <w:p w14:paraId="39B77B91"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Circuit to Construct Mapping: A Mathematical Tool for Assisting the Diagnosis and Treatment in Major Depressive Disorder - Frontiers,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66">
        <w:r w:rsidR="000215AE" w:rsidRPr="00AC57D5">
          <w:rPr>
            <w:rFonts w:ascii="Google Sans" w:eastAsia="Google Sans" w:hAnsi="Google Sans" w:cs="Google Sans"/>
            <w:color w:val="0000EE"/>
            <w:sz w:val="21"/>
            <w:szCs w:val="21"/>
            <w:u w:val="single"/>
          </w:rPr>
          <w:t>https://www.frontiersin.org/journals/psychiatry/articles/10.3389/fpsyt.2015.00029/full</w:t>
        </w:r>
      </w:hyperlink>
    </w:p>
    <w:p w14:paraId="4F0C4876"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Neural Geometrodynamics, Complexity, and Plasticity: A Psychedelics Perspective - PMC,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67">
        <w:r w:rsidR="000215AE" w:rsidRPr="00AC57D5">
          <w:rPr>
            <w:rFonts w:ascii="Google Sans" w:eastAsia="Google Sans" w:hAnsi="Google Sans" w:cs="Google Sans"/>
            <w:color w:val="0000EE"/>
            <w:sz w:val="21"/>
            <w:szCs w:val="21"/>
            <w:u w:val="single"/>
          </w:rPr>
          <w:t>https://pmc.ncbi.nlm.nih.gov/articles/PMC11154528/</w:t>
        </w:r>
      </w:hyperlink>
    </w:p>
    <w:p w14:paraId="2544A817"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 xml:space="preserve">Towards a Network Control Theory of Electroconvulsive Therapy Response - ResearchGate, </w:t>
      </w:r>
      <w:r w:rsidRPr="00AC57D5">
        <w:rPr>
          <w:rFonts w:ascii="Google Sans" w:eastAsia="Google Sans" w:hAnsi="Google Sans" w:cs="Google Sans"/>
          <w:sz w:val="21"/>
          <w:szCs w:val="21"/>
        </w:rPr>
        <w:lastRenderedPageBreak/>
        <w:t>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68">
        <w:r w:rsidR="000215AE" w:rsidRPr="00AC57D5">
          <w:rPr>
            <w:rFonts w:ascii="Google Sans" w:eastAsia="Google Sans" w:hAnsi="Google Sans" w:cs="Google Sans"/>
            <w:color w:val="0000EE"/>
            <w:sz w:val="21"/>
            <w:szCs w:val="21"/>
            <w:u w:val="single"/>
          </w:rPr>
          <w:t>https://www.researchgate.net/publication/367977878_Towards_a_Network_Control_Theory_of_Electroconvulsive_Therapy_Response</w:t>
        </w:r>
      </w:hyperlink>
    </w:p>
    <w:p w14:paraId="55F1504C"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Towards a network control theory of electroconvulsive therapy response - Oxford Academic,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69">
        <w:r w:rsidR="000215AE" w:rsidRPr="00AC57D5">
          <w:rPr>
            <w:rFonts w:ascii="Google Sans" w:eastAsia="Google Sans" w:hAnsi="Google Sans" w:cs="Google Sans"/>
            <w:color w:val="0000EE"/>
            <w:sz w:val="21"/>
            <w:szCs w:val="21"/>
            <w:u w:val="single"/>
          </w:rPr>
          <w:t>https://academic.oup.com/pnasnexus/article/2/2/pgad032/7019688</w:t>
        </w:r>
      </w:hyperlink>
    </w:p>
    <w:p w14:paraId="25A25A90"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New CMS Guidance: Prevent Unnecessary Psychotropic Medications | GuideStar Eldercare,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70">
        <w:r w:rsidR="000215AE" w:rsidRPr="00AC57D5">
          <w:rPr>
            <w:rFonts w:ascii="Google Sans" w:eastAsia="Google Sans" w:hAnsi="Google Sans" w:cs="Google Sans"/>
            <w:color w:val="0000EE"/>
            <w:sz w:val="21"/>
            <w:szCs w:val="21"/>
            <w:u w:val="single"/>
          </w:rPr>
          <w:t>https://guidestareldercare.com/blog/new-cms-guidance-prevent-unnecessary-psychotropic-medications</w:t>
        </w:r>
      </w:hyperlink>
    </w:p>
    <w:p w14:paraId="60790FD1"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Continuation Electroconvulsive Therapy vs Pharmacotherapy for Relapse Prevention in Major Depression - PubMed Central,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71">
        <w:r w:rsidR="000215AE" w:rsidRPr="00AC57D5">
          <w:rPr>
            <w:rFonts w:ascii="Google Sans" w:eastAsia="Google Sans" w:hAnsi="Google Sans" w:cs="Google Sans"/>
            <w:color w:val="0000EE"/>
            <w:sz w:val="21"/>
            <w:szCs w:val="21"/>
            <w:u w:val="single"/>
          </w:rPr>
          <w:t>https://pmc.ncbi.nlm.nih.gov/articles/PMC3708140/</w:t>
        </w:r>
      </w:hyperlink>
    </w:p>
    <w:p w14:paraId="1F60A609"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Dynamical models reveal anatomically reliable attractor landscapes embedded in resting-state brain networks - ResearchGate,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72">
        <w:r w:rsidR="000215AE" w:rsidRPr="00AC57D5">
          <w:rPr>
            <w:rFonts w:ascii="Google Sans" w:eastAsia="Google Sans" w:hAnsi="Google Sans" w:cs="Google Sans"/>
            <w:color w:val="0000EE"/>
            <w:sz w:val="21"/>
            <w:szCs w:val="21"/>
            <w:u w:val="single"/>
          </w:rPr>
          <w:t>https://www.researchgate.net/publication/387764336_Dynamical_models_reveal_anatomically_reliable_attractor_landscapes_embedded_in_resting-state_brain_networks</w:t>
        </w:r>
      </w:hyperlink>
    </w:p>
    <w:p w14:paraId="59CE6A54"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(PDF) Continuation electroconvulsive therapy combined with pharmacotherapy for depression relapse prevention: A systematic review and meta-analysis - ResearchGate,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73">
        <w:r w:rsidR="000215AE" w:rsidRPr="00AC57D5">
          <w:rPr>
            <w:rFonts w:ascii="Google Sans" w:eastAsia="Google Sans" w:hAnsi="Google Sans" w:cs="Google Sans"/>
            <w:color w:val="0000EE"/>
            <w:sz w:val="21"/>
            <w:szCs w:val="21"/>
            <w:u w:val="single"/>
          </w:rPr>
          <w:t>https://www.researchgate.net/publication/395037697_Continuation_electroconvulsive_therapy_combined_with_pharmacotherapy_for_depression_relapse_prevention_A_systematic_review_and_meta-analysis</w:t>
        </w:r>
      </w:hyperlink>
    </w:p>
    <w:p w14:paraId="5ED20828"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Treatment-Resistant Depression: Complete Guide to Evidence-Based Treatments in 2025,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74">
        <w:r w:rsidR="000215AE" w:rsidRPr="00AC57D5">
          <w:rPr>
            <w:rFonts w:ascii="Google Sans" w:eastAsia="Google Sans" w:hAnsi="Google Sans" w:cs="Google Sans"/>
            <w:color w:val="0000EE"/>
            <w:sz w:val="21"/>
            <w:szCs w:val="21"/>
            <w:u w:val="single"/>
          </w:rPr>
          <w:t>https://www.cognitivefxusa.com/blog/treatment-resistant-depression-complete-guide-to-evidence-based-treatments-in-2025</w:t>
        </w:r>
      </w:hyperlink>
    </w:p>
    <w:p w14:paraId="3A8FD919"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Ketamine Anesthesia for Electroconvulsive Therapy - Psychiatric Times,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75">
        <w:r w:rsidR="000215AE" w:rsidRPr="00AC57D5">
          <w:rPr>
            <w:rFonts w:ascii="Google Sans" w:eastAsia="Google Sans" w:hAnsi="Google Sans" w:cs="Google Sans"/>
            <w:color w:val="0000EE"/>
            <w:sz w:val="21"/>
            <w:szCs w:val="21"/>
            <w:u w:val="single"/>
          </w:rPr>
          <w:t>https://www.psychiatrictimes.com/view/ketamine-anesthesia-electroconvulsive-therapy</w:t>
        </w:r>
      </w:hyperlink>
    </w:p>
    <w:p w14:paraId="3B886382"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Ketamine found effective in treatment-resistant depression - Harvard Gazette,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76">
        <w:r w:rsidR="000215AE" w:rsidRPr="00AC57D5">
          <w:rPr>
            <w:rFonts w:ascii="Google Sans" w:eastAsia="Google Sans" w:hAnsi="Google Sans" w:cs="Google Sans"/>
            <w:color w:val="0000EE"/>
            <w:sz w:val="21"/>
            <w:szCs w:val="21"/>
            <w:u w:val="single"/>
          </w:rPr>
          <w:t>https://news.harvard.edu/gazette/story/2023/05/ketamine-found-effective-in-treatment-resistant-depression/</w:t>
        </w:r>
      </w:hyperlink>
    </w:p>
    <w:p w14:paraId="7A5E3A61"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GLP-1 and dual GIP/GLP-1 receptor agonists: potential risk of pulmonary aspiration during general anaesthesia and deep sedation | The Royal College of Anaesthetists,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77">
        <w:r w:rsidR="000215AE" w:rsidRPr="00AC57D5">
          <w:rPr>
            <w:rFonts w:ascii="Google Sans" w:eastAsia="Google Sans" w:hAnsi="Google Sans" w:cs="Google Sans"/>
            <w:color w:val="0000EE"/>
            <w:sz w:val="21"/>
            <w:szCs w:val="21"/>
            <w:u w:val="single"/>
          </w:rPr>
          <w:t>https://rcoa.ac.uk/news/glp-1-dual-gipglp-1-receptor-agonists-potential-risk-pulmonary-aspiration-during-general</w:t>
        </w:r>
      </w:hyperlink>
    </w:p>
    <w:p w14:paraId="0BF2985F"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Pharmacological interventions to diminish cognitive side effects of electroconvulsive therapy: A systematic review and meta‐analysis - NIH,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78">
        <w:r w:rsidR="000215AE" w:rsidRPr="00AC57D5">
          <w:rPr>
            <w:rFonts w:ascii="Google Sans" w:eastAsia="Google Sans" w:hAnsi="Google Sans" w:cs="Google Sans"/>
            <w:color w:val="0000EE"/>
            <w:sz w:val="21"/>
            <w:szCs w:val="21"/>
            <w:u w:val="single"/>
          </w:rPr>
          <w:t>https://pmc.ncbi.nlm.nih.gov/articles/PMC9305858/</w:t>
        </w:r>
      </w:hyperlink>
    </w:p>
    <w:p w14:paraId="74CC3506"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Pharmacological interventions to diminish cognitive side effects of electroconvulsive therapy: A systematic review and meta-analysis - PubMed,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79">
        <w:r w:rsidR="000215AE" w:rsidRPr="00AC57D5">
          <w:rPr>
            <w:rFonts w:ascii="Google Sans" w:eastAsia="Google Sans" w:hAnsi="Google Sans" w:cs="Google Sans"/>
            <w:color w:val="0000EE"/>
            <w:sz w:val="21"/>
            <w:szCs w:val="21"/>
            <w:u w:val="single"/>
          </w:rPr>
          <w:t>https://pubmed.ncbi.nlm.nih.gov/35075641/</w:t>
        </w:r>
      </w:hyperlink>
    </w:p>
    <w:p w14:paraId="591B1014"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Use of Cholinesterase Inhibitors for Treatment and Prevention of Cognitive Adverse Effects of Electroconvulsive Therapy: A Systematic Review - PubMed,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80">
        <w:r w:rsidR="000215AE" w:rsidRPr="00AC57D5">
          <w:rPr>
            <w:rFonts w:ascii="Google Sans" w:eastAsia="Google Sans" w:hAnsi="Google Sans" w:cs="Google Sans"/>
            <w:color w:val="0000EE"/>
            <w:sz w:val="21"/>
            <w:szCs w:val="21"/>
            <w:u w:val="single"/>
          </w:rPr>
          <w:t>https://pubmed.ncbi.nlm.nih.gov/39715268/</w:t>
        </w:r>
      </w:hyperlink>
    </w:p>
    <w:p w14:paraId="7E44B47E"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Efficacy of Acetylcholinesterase Inhibitors on Cognitive Function in Alzheimer's Disease. Review of Reviews - MDPI,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81">
        <w:r w:rsidR="000215AE" w:rsidRPr="00AC57D5">
          <w:rPr>
            <w:rFonts w:ascii="Google Sans" w:eastAsia="Google Sans" w:hAnsi="Google Sans" w:cs="Google Sans"/>
            <w:color w:val="0000EE"/>
            <w:sz w:val="21"/>
            <w:szCs w:val="21"/>
            <w:u w:val="single"/>
          </w:rPr>
          <w:t>https://www.mdpi.com/2227-9059/9/11/1689</w:t>
        </w:r>
      </w:hyperlink>
    </w:p>
    <w:p w14:paraId="2CCD2ED3"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 xml:space="preserve">Relapse prevention after index electroconvulsive therapy in treatment-resistant depression - </w:t>
      </w:r>
      <w:r w:rsidRPr="00AC57D5">
        <w:rPr>
          <w:rFonts w:ascii="Google Sans" w:eastAsia="Google Sans" w:hAnsi="Google Sans" w:cs="Google Sans"/>
          <w:sz w:val="21"/>
          <w:szCs w:val="21"/>
        </w:rPr>
        <w:lastRenderedPageBreak/>
        <w:t>PMC - PubMed Central,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82">
        <w:r w:rsidR="000215AE" w:rsidRPr="00AC57D5">
          <w:rPr>
            <w:rFonts w:ascii="Google Sans" w:eastAsia="Google Sans" w:hAnsi="Google Sans" w:cs="Google Sans"/>
            <w:color w:val="0000EE"/>
            <w:sz w:val="21"/>
            <w:szCs w:val="21"/>
            <w:u w:val="single"/>
          </w:rPr>
          <w:t>https://pmc.ncbi.nlm.nih.gov/articles/PMC4420179/</w:t>
        </w:r>
      </w:hyperlink>
    </w:p>
    <w:p w14:paraId="568A2174"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Continuation and Maintenance ECT Linked to Lower Readmission Rates After Acute ECT | McGovern Medical School - UTHealth Houston,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83">
        <w:r w:rsidR="000215AE" w:rsidRPr="00AC57D5">
          <w:rPr>
            <w:rFonts w:ascii="Google Sans" w:eastAsia="Google Sans" w:hAnsi="Google Sans" w:cs="Google Sans"/>
            <w:color w:val="0000EE"/>
            <w:sz w:val="21"/>
            <w:szCs w:val="21"/>
            <w:u w:val="single"/>
          </w:rPr>
          <w:t>https://med.uth.edu/psychiatry/2024/09/23/continuation-and-maintenance-ect-linked-to-lower-readmission-rates-after-acute-ect/</w:t>
        </w:r>
      </w:hyperlink>
    </w:p>
    <w:p w14:paraId="0C323FF4" w14:textId="77777777" w:rsidR="000215AE" w:rsidRPr="00AC57D5" w:rsidRDefault="00167558">
      <w:pPr>
        <w:numPr>
          <w:ilvl w:val="0"/>
          <w:numId w:val="13"/>
        </w:numPr>
        <w:pBdr>
          <w:top w:val="nil"/>
          <w:left w:val="nil"/>
          <w:bottom w:val="nil"/>
          <w:right w:val="nil"/>
          <w:between w:val="nil"/>
        </w:pBdr>
        <w:rPr>
          <w:sz w:val="20"/>
          <w:szCs w:val="20"/>
        </w:rPr>
      </w:pPr>
      <w:r w:rsidRPr="00AC57D5">
        <w:rPr>
          <w:rFonts w:ascii="Google Sans" w:eastAsia="Google Sans" w:hAnsi="Google Sans" w:cs="Google Sans"/>
          <w:sz w:val="21"/>
          <w:szCs w:val="21"/>
        </w:rPr>
        <w:t>The safety of electroconvulsive therapy and lithium in combination: a case series and review of the literature - PubMed, 1</w:t>
      </w:r>
      <w:r w:rsidRPr="00AC57D5">
        <w:rPr>
          <w:rFonts w:ascii="Google Sans" w:eastAsia="Google Sans" w:hAnsi="Google Sans" w:cs="Google Sans"/>
          <w:sz w:val="21"/>
          <w:szCs w:val="21"/>
        </w:rPr>
        <w:t>월</w:t>
      </w:r>
      <w:r w:rsidRPr="00AC57D5">
        <w:rPr>
          <w:rFonts w:ascii="Google Sans" w:eastAsia="Google Sans" w:hAnsi="Google Sans" w:cs="Google Sans"/>
          <w:sz w:val="21"/>
          <w:szCs w:val="21"/>
        </w:rPr>
        <w:t xml:space="preserve"> 27, 2026</w:t>
      </w:r>
      <w:r w:rsidRPr="00AC57D5">
        <w:rPr>
          <w:rFonts w:ascii="Google Sans" w:eastAsia="Google Sans" w:hAnsi="Google Sans" w:cs="Google Sans"/>
          <w:sz w:val="21"/>
          <w:szCs w:val="21"/>
        </w:rPr>
        <w:t>에</w:t>
      </w:r>
      <w:r w:rsidRPr="00AC57D5">
        <w:rPr>
          <w:rFonts w:ascii="Google Sans" w:eastAsia="Google Sans" w:hAnsi="Google Sans" w:cs="Google Sans"/>
          <w:sz w:val="21"/>
          <w:szCs w:val="21"/>
        </w:rPr>
        <w:t xml:space="preserve"> </w:t>
      </w:r>
      <w:r w:rsidRPr="00AC57D5">
        <w:rPr>
          <w:rFonts w:ascii="Google Sans" w:eastAsia="Google Sans" w:hAnsi="Google Sans" w:cs="Google Sans"/>
          <w:sz w:val="21"/>
          <w:szCs w:val="21"/>
        </w:rPr>
        <w:t>액세스</w:t>
      </w:r>
      <w:r w:rsidRPr="00AC57D5">
        <w:rPr>
          <w:rFonts w:ascii="Google Sans" w:eastAsia="Google Sans" w:hAnsi="Google Sans" w:cs="Google Sans"/>
          <w:sz w:val="21"/>
          <w:szCs w:val="21"/>
        </w:rPr>
        <w:t xml:space="preserve">, </w:t>
      </w:r>
      <w:hyperlink r:id="rId84">
        <w:r w:rsidR="000215AE" w:rsidRPr="00AC57D5">
          <w:rPr>
            <w:rFonts w:ascii="Google Sans" w:eastAsia="Google Sans" w:hAnsi="Google Sans" w:cs="Google Sans"/>
            <w:color w:val="0000EE"/>
            <w:sz w:val="21"/>
            <w:szCs w:val="21"/>
            <w:u w:val="single"/>
          </w:rPr>
          <w:t>https://pubmed.ncbi.nlm.nih.gov/16127306/</w:t>
        </w:r>
      </w:hyperlink>
    </w:p>
    <w:sectPr w:rsidR="000215AE" w:rsidRPr="00AC57D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8BAEF131-F2BB-AC4F-8D2D-EAE67917B06C}"/>
    <w:embedBold r:id="rId2" w:fontKey="{B9946075-0827-3D4A-9993-189A6F257D0D}"/>
  </w:font>
  <w:font w:name="Times New Roman">
    <w:panose1 w:val="02020603050405020304"/>
    <w:charset w:val="00"/>
    <w:family w:val="roman"/>
    <w:pitch w:val="variable"/>
    <w:sig w:usb0="E0002EFF" w:usb1="C000785B" w:usb2="00000009" w:usb3="00000000" w:csb0="000001FF" w:csb1="00000000"/>
    <w:embedRegular r:id="rId3" w:fontKey="{737F86DB-D2F7-A24C-A47D-B7A4DD4012B1}"/>
  </w:font>
  <w:font w:name="Georgia">
    <w:panose1 w:val="02040502050405020303"/>
    <w:charset w:val="00"/>
    <w:family w:val="roman"/>
    <w:pitch w:val="variable"/>
    <w:sig w:usb0="00000287" w:usb1="00000000" w:usb2="00000000" w:usb3="00000000" w:csb0="0000009F" w:csb1="00000000"/>
    <w:embedItalic r:id="rId4" w:fontKey="{F2316585-2C5C-3A45-AD09-577E7B083DB3}"/>
  </w:font>
  <w:font w:name="Google Sans">
    <w:charset w:val="00"/>
    <w:family w:val="auto"/>
    <w:pitch w:val="default"/>
    <w:embedRegular r:id="rId5" w:fontKey="{5906B03F-0511-2241-92B3-941FC5E89AF9}"/>
    <w:embedBold r:id="rId6" w:fontKey="{44D63F95-3457-6B48-8E21-915170BAC497}"/>
  </w:font>
  <w:font w:name="Google Sans Text">
    <w:charset w:val="00"/>
    <w:family w:val="auto"/>
    <w:pitch w:val="default"/>
    <w:embedRegular r:id="rId7" w:fontKey="{FFBADB61-1669-C542-9EC6-C1BFA3163A30}"/>
    <w:embedBold r:id="rId8" w:fontKey="{49FC1DDF-2A79-A64F-A706-07ACB9CE8F16}"/>
    <w:embedItalic r:id="rId9" w:fontKey="{F1B1F9D0-92E2-1141-A1CB-57D8527C66BD}"/>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0" w:fontKey="{BE355485-CBA4-BC4A-8E5C-01C95F14B16B}"/>
  </w:font>
  <w:font w:name="Cambria">
    <w:panose1 w:val="02040503050406030204"/>
    <w:charset w:val="00"/>
    <w:family w:val="roman"/>
    <w:pitch w:val="variable"/>
    <w:sig w:usb0="E00002FF" w:usb1="400004FF" w:usb2="00000000" w:usb3="00000000" w:csb0="0000019F" w:csb1="00000000"/>
    <w:embedRegular r:id="rId11" w:fontKey="{C3B633CD-27B1-D64A-B409-B9D3CC9778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55A"/>
    <w:multiLevelType w:val="multilevel"/>
    <w:tmpl w:val="3476131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9727AB"/>
    <w:multiLevelType w:val="multilevel"/>
    <w:tmpl w:val="05329B8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B601C93"/>
    <w:multiLevelType w:val="multilevel"/>
    <w:tmpl w:val="CD76D1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D1F08E4"/>
    <w:multiLevelType w:val="multilevel"/>
    <w:tmpl w:val="816C852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FA84583"/>
    <w:multiLevelType w:val="multilevel"/>
    <w:tmpl w:val="EE94533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3AC5489"/>
    <w:multiLevelType w:val="multilevel"/>
    <w:tmpl w:val="B95ED25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3D75E35"/>
    <w:multiLevelType w:val="multilevel"/>
    <w:tmpl w:val="D96C9C1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79154ED"/>
    <w:multiLevelType w:val="multilevel"/>
    <w:tmpl w:val="A436212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97B4517"/>
    <w:multiLevelType w:val="multilevel"/>
    <w:tmpl w:val="817A96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6717166"/>
    <w:multiLevelType w:val="multilevel"/>
    <w:tmpl w:val="28F009C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BC6116F"/>
    <w:multiLevelType w:val="multilevel"/>
    <w:tmpl w:val="1CDEB1C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2A1172F"/>
    <w:multiLevelType w:val="multilevel"/>
    <w:tmpl w:val="12CA574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9327789"/>
    <w:multiLevelType w:val="multilevel"/>
    <w:tmpl w:val="0CDE036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D9C5D47"/>
    <w:multiLevelType w:val="multilevel"/>
    <w:tmpl w:val="576899D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EF465AB"/>
    <w:multiLevelType w:val="multilevel"/>
    <w:tmpl w:val="1B62E5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3C23776"/>
    <w:multiLevelType w:val="multilevel"/>
    <w:tmpl w:val="DA94DC5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BC624A6"/>
    <w:multiLevelType w:val="multilevel"/>
    <w:tmpl w:val="5B1471A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D4812E5"/>
    <w:multiLevelType w:val="multilevel"/>
    <w:tmpl w:val="216A4B1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4F035A5E"/>
    <w:multiLevelType w:val="multilevel"/>
    <w:tmpl w:val="292CEF8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4F56576C"/>
    <w:multiLevelType w:val="multilevel"/>
    <w:tmpl w:val="27E4AE5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5ADC62BC"/>
    <w:multiLevelType w:val="multilevel"/>
    <w:tmpl w:val="1132E9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F6F5D4B"/>
    <w:multiLevelType w:val="multilevel"/>
    <w:tmpl w:val="96443FE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4CF3331"/>
    <w:multiLevelType w:val="multilevel"/>
    <w:tmpl w:val="135E719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6BDE03C9"/>
    <w:multiLevelType w:val="multilevel"/>
    <w:tmpl w:val="EBB2BEC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6F8D5141"/>
    <w:multiLevelType w:val="multilevel"/>
    <w:tmpl w:val="F912BC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73BF47F8"/>
    <w:multiLevelType w:val="multilevel"/>
    <w:tmpl w:val="6338F41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76BB2741"/>
    <w:multiLevelType w:val="multilevel"/>
    <w:tmpl w:val="2D961A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22083136">
    <w:abstractNumId w:val="17"/>
  </w:num>
  <w:num w:numId="2" w16cid:durableId="1697192866">
    <w:abstractNumId w:val="0"/>
  </w:num>
  <w:num w:numId="3" w16cid:durableId="1394623134">
    <w:abstractNumId w:val="26"/>
  </w:num>
  <w:num w:numId="4" w16cid:durableId="2018922256">
    <w:abstractNumId w:val="15"/>
  </w:num>
  <w:num w:numId="5" w16cid:durableId="1927954190">
    <w:abstractNumId w:val="11"/>
  </w:num>
  <w:num w:numId="6" w16cid:durableId="801461273">
    <w:abstractNumId w:val="10"/>
  </w:num>
  <w:num w:numId="7" w16cid:durableId="353308055">
    <w:abstractNumId w:val="3"/>
  </w:num>
  <w:num w:numId="8" w16cid:durableId="639919371">
    <w:abstractNumId w:val="9"/>
  </w:num>
  <w:num w:numId="9" w16cid:durableId="88822056">
    <w:abstractNumId w:val="16"/>
  </w:num>
  <w:num w:numId="10" w16cid:durableId="2088989017">
    <w:abstractNumId w:val="19"/>
  </w:num>
  <w:num w:numId="11" w16cid:durableId="98840690">
    <w:abstractNumId w:val="14"/>
  </w:num>
  <w:num w:numId="12" w16cid:durableId="226653840">
    <w:abstractNumId w:val="1"/>
  </w:num>
  <w:num w:numId="13" w16cid:durableId="1255867180">
    <w:abstractNumId w:val="23"/>
  </w:num>
  <w:num w:numId="14" w16cid:durableId="143816288">
    <w:abstractNumId w:val="24"/>
  </w:num>
  <w:num w:numId="15" w16cid:durableId="168570569">
    <w:abstractNumId w:val="21"/>
  </w:num>
  <w:num w:numId="16" w16cid:durableId="633564357">
    <w:abstractNumId w:val="4"/>
  </w:num>
  <w:num w:numId="17" w16cid:durableId="356396394">
    <w:abstractNumId w:val="18"/>
  </w:num>
  <w:num w:numId="18" w16cid:durableId="1845976880">
    <w:abstractNumId w:val="2"/>
  </w:num>
  <w:num w:numId="19" w16cid:durableId="1948266392">
    <w:abstractNumId w:val="13"/>
  </w:num>
  <w:num w:numId="20" w16cid:durableId="1465661622">
    <w:abstractNumId w:val="22"/>
  </w:num>
  <w:num w:numId="21" w16cid:durableId="262687969">
    <w:abstractNumId w:val="7"/>
  </w:num>
  <w:num w:numId="22" w16cid:durableId="1664894573">
    <w:abstractNumId w:val="12"/>
  </w:num>
  <w:num w:numId="23" w16cid:durableId="806359270">
    <w:abstractNumId w:val="20"/>
  </w:num>
  <w:num w:numId="24" w16cid:durableId="811368406">
    <w:abstractNumId w:val="25"/>
  </w:num>
  <w:num w:numId="25" w16cid:durableId="1172448129">
    <w:abstractNumId w:val="8"/>
  </w:num>
  <w:num w:numId="26" w16cid:durableId="1471627982">
    <w:abstractNumId w:val="6"/>
  </w:num>
  <w:num w:numId="27" w16cid:durableId="3866859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5AE"/>
    <w:rsid w:val="000215AE"/>
    <w:rsid w:val="00167558"/>
    <w:rsid w:val="00364572"/>
    <w:rsid w:val="00A34D7C"/>
    <w:rsid w:val="00AC57D5"/>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431A5D7"/>
  <w15:docId w15:val="{E612F3D1-607B-714F-AE9A-2FFDE4A14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R"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pubmed.ncbi.nlm.nih.gov/40565369/" TargetMode="External"/><Relationship Id="rId21" Type="http://schemas.openxmlformats.org/officeDocument/2006/relationships/hyperlink" Target="https://www.mdpi.com/1422-0067/26/12/5905" TargetMode="External"/><Relationship Id="rId42" Type="http://schemas.openxmlformats.org/officeDocument/2006/relationships/hyperlink" Target="https://www.researchgate.net/publication/396247974_Dose-Dependent_Effects_of_Benzodiazepines_and_Other_Psychotropic_Drugs_on_Seizure_Duration_in_Electroconvulsive_Therapy" TargetMode="External"/><Relationship Id="rId47" Type="http://schemas.openxmlformats.org/officeDocument/2006/relationships/hyperlink" Target="https://nact.se/wp-content/uploads/2017/09/Rasmussen-Lithium-and-ECT-1.pdf" TargetMode="External"/><Relationship Id="rId63" Type="http://schemas.openxmlformats.org/officeDocument/2006/relationships/hyperlink" Target="https://pmc.ncbi.nlm.nih.gov/articles/PMC12420935/" TargetMode="External"/><Relationship Id="rId68" Type="http://schemas.openxmlformats.org/officeDocument/2006/relationships/hyperlink" Target="https://www.researchgate.net/publication/367977878_Towards_a_Network_Control_Theory_of_Electroconvulsive_Therapy_Response" TargetMode="External"/><Relationship Id="rId84" Type="http://schemas.openxmlformats.org/officeDocument/2006/relationships/hyperlink" Target="https://pubmed.ncbi.nlm.nih.gov/16127306/" TargetMode="External"/><Relationship Id="rId16" Type="http://schemas.openxmlformats.org/officeDocument/2006/relationships/hyperlink" Target="https://www.researchgate.net/publication/26651374_Effect_of_Concomitant_Pharmacotherapy_on_Electroconvulsive_Therapy_Outcomes" TargetMode="External"/><Relationship Id="rId11" Type="http://schemas.openxmlformats.org/officeDocument/2006/relationships/hyperlink" Target="https://augusta.elsevierpure.com/en/publications/effect-of-concomitant-pharmacotherapy-on-electroconvulsive-therap/" TargetMode="External"/><Relationship Id="rId32" Type="http://schemas.openxmlformats.org/officeDocument/2006/relationships/hyperlink" Target="https://pubmed.ncbi.nlm.nih.gov/40302036/" TargetMode="External"/><Relationship Id="rId37" Type="http://schemas.openxmlformats.org/officeDocument/2006/relationships/hyperlink" Target="https://pmc.ncbi.nlm.nih.gov/articles/PMC11190359/" TargetMode="External"/><Relationship Id="rId53" Type="http://schemas.openxmlformats.org/officeDocument/2006/relationships/hyperlink" Target="https://pubmed.ncbi.nlm.nih.gov/25697225/" TargetMode="External"/><Relationship Id="rId58" Type="http://schemas.openxmlformats.org/officeDocument/2006/relationships/hyperlink" Target="https://pubmed.ncbi.nlm.nih.gov/24729710/" TargetMode="External"/><Relationship Id="rId74" Type="http://schemas.openxmlformats.org/officeDocument/2006/relationships/hyperlink" Target="https://www.cognitivefxusa.com/blog/treatment-resistant-depression-complete-guide-to-evidence-based-treatments-in-2025" TargetMode="External"/><Relationship Id="rId79" Type="http://schemas.openxmlformats.org/officeDocument/2006/relationships/hyperlink" Target="https://pubmed.ncbi.nlm.nih.gov/35075641/" TargetMode="External"/><Relationship Id="rId5" Type="http://schemas.openxmlformats.org/officeDocument/2006/relationships/image" Target="media/image1.png"/><Relationship Id="rId19" Type="http://schemas.openxmlformats.org/officeDocument/2006/relationships/hyperlink" Target="https://www.asahq.org/about-asa/newsroom/news-releases/2024/10/new-multi-society-glp-1-guidance" TargetMode="External"/><Relationship Id="rId14" Type="http://schemas.openxmlformats.org/officeDocument/2006/relationships/hyperlink" Target="https://pmc.ncbi.nlm.nih.gov/articles/PMC12512634/" TargetMode="External"/><Relationship Id="rId22" Type="http://schemas.openxmlformats.org/officeDocument/2006/relationships/hyperlink" Target="https://www.tandfonline.com/doi/full/10.1080/17437199.2022.2146598" TargetMode="External"/><Relationship Id="rId27" Type="http://schemas.openxmlformats.org/officeDocument/2006/relationships/hyperlink" Target="https://www.tandfonline.com/doi/full/10.2147/NDT.S304075" TargetMode="External"/><Relationship Id="rId30" Type="http://schemas.openxmlformats.org/officeDocument/2006/relationships/hyperlink" Target="https://pmc.ncbi.nlm.nih.gov/articles/PMC6111217/" TargetMode="External"/><Relationship Id="rId35" Type="http://schemas.openxmlformats.org/officeDocument/2006/relationships/hyperlink" Target="https://www.researchgate.net/publication/396317019_Synaptic_priming_A_framework_for_pharmacotherapy_in_depression" TargetMode="External"/><Relationship Id="rId43" Type="http://schemas.openxmlformats.org/officeDocument/2006/relationships/hyperlink" Target="https://psychiatryonline.org/doi/full/10.1176/jnp.10.2.178" TargetMode="External"/><Relationship Id="rId48" Type="http://schemas.openxmlformats.org/officeDocument/2006/relationships/hyperlink" Target="https://pubmed.ncbi.nlm.nih.gov/40846279/" TargetMode="External"/><Relationship Id="rId56" Type="http://schemas.openxmlformats.org/officeDocument/2006/relationships/hyperlink" Target="https://pubmed.ncbi.nlm.nih.gov/7576041/" TargetMode="External"/><Relationship Id="rId64" Type="http://schemas.openxmlformats.org/officeDocument/2006/relationships/hyperlink" Target="https://pmc.ncbi.nlm.nih.gov/articles/PMC8640363/" TargetMode="External"/><Relationship Id="rId69" Type="http://schemas.openxmlformats.org/officeDocument/2006/relationships/hyperlink" Target="https://academic.oup.com/pnasnexus/article/2/2/pgad032/7019688" TargetMode="External"/><Relationship Id="rId77" Type="http://schemas.openxmlformats.org/officeDocument/2006/relationships/hyperlink" Target="https://rcoa.ac.uk/news/glp-1-dual-gipglp-1-receptor-agonists-potential-risk-pulmonary-aspiration-during-general" TargetMode="External"/><Relationship Id="rId8" Type="http://schemas.openxmlformats.org/officeDocument/2006/relationships/hyperlink" Target="https://aapp.org/guideline/essentials/ect" TargetMode="External"/><Relationship Id="rId51" Type="http://schemas.openxmlformats.org/officeDocument/2006/relationships/hyperlink" Target="https://pubmed.ncbi.nlm.nih.gov/20562637/" TargetMode="External"/><Relationship Id="rId72" Type="http://schemas.openxmlformats.org/officeDocument/2006/relationships/hyperlink" Target="https://www.researchgate.net/publication/387764336_Dynamical_models_reveal_anatomically_reliable_attractor_landscapes_embedded_in_resting-state_brain_networks" TargetMode="External"/><Relationship Id="rId80" Type="http://schemas.openxmlformats.org/officeDocument/2006/relationships/hyperlink" Target="https://pubmed.ncbi.nlm.nih.gov/39715268/"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tandfonline.com/doi/full/10.2147/NDT.S100908" TargetMode="External"/><Relationship Id="rId17" Type="http://schemas.openxmlformats.org/officeDocument/2006/relationships/hyperlink" Target="https://www.cambridge.org/core/books/ect-handbook/interactions-between-ect-and-prescribed-medication/51095AFF21C0758E3AA17B8A82E3CF16" TargetMode="External"/><Relationship Id="rId25" Type="http://schemas.openxmlformats.org/officeDocument/2006/relationships/hyperlink" Target="https://pubmed.ncbi.nlm.nih.gov/35120710/" TargetMode="External"/><Relationship Id="rId33" Type="http://schemas.openxmlformats.org/officeDocument/2006/relationships/hyperlink" Target="https://pmc.ncbi.nlm.nih.gov/articles/PMC11176041/" TargetMode="External"/><Relationship Id="rId38" Type="http://schemas.openxmlformats.org/officeDocument/2006/relationships/hyperlink" Target="https://www.frontiersin.org/journals/human-neuroscience/articles/10.3389/fnhum.2022.852657/xml/nlm?isPublishedV2=False" TargetMode="External"/><Relationship Id="rId46" Type="http://schemas.openxmlformats.org/officeDocument/2006/relationships/hyperlink" Target="https://cdn.mdedge.com/files/s3fs-public/Document/September-2017/e1_0814CP_PRLS_Hategan_FINAL-R_03.pdf" TargetMode="External"/><Relationship Id="rId59" Type="http://schemas.openxmlformats.org/officeDocument/2006/relationships/hyperlink" Target="https://pmc.ncbi.nlm.nih.gov/articles/PMC6375494/" TargetMode="External"/><Relationship Id="rId67" Type="http://schemas.openxmlformats.org/officeDocument/2006/relationships/hyperlink" Target="https://pmc.ncbi.nlm.nih.gov/articles/PMC11154528/" TargetMode="External"/><Relationship Id="rId20" Type="http://schemas.openxmlformats.org/officeDocument/2006/relationships/hyperlink" Target="https://pmc.ncbi.nlm.nih.gov/articles/PMC4931600/" TargetMode="External"/><Relationship Id="rId41" Type="http://schemas.openxmlformats.org/officeDocument/2006/relationships/hyperlink" Target="https://pubmed.ncbi.nlm.nih.gov/28767528/" TargetMode="External"/><Relationship Id="rId54" Type="http://schemas.openxmlformats.org/officeDocument/2006/relationships/hyperlink" Target="https://www.cambridge.org/core/journals/acta-neuropsychiatrica/article/combined-use-of-clozapine-and-ect-a-review/EBB9C15646B59C69B19869F69E4D8422" TargetMode="External"/><Relationship Id="rId62" Type="http://schemas.openxmlformats.org/officeDocument/2006/relationships/hyperlink" Target="https://www.asahq.org/about-asa/newsroom/news-releases/2023/06/patients-taking-popular-medications-for-diabetes-and-weight-loss-should-stop-before-elective-surgery" TargetMode="External"/><Relationship Id="rId70" Type="http://schemas.openxmlformats.org/officeDocument/2006/relationships/hyperlink" Target="https://guidestareldercare.com/blog/new-cms-guidance-prevent-unnecessary-psychotropic-medications" TargetMode="External"/><Relationship Id="rId75" Type="http://schemas.openxmlformats.org/officeDocument/2006/relationships/hyperlink" Target="https://www.psychiatrictimes.com/view/ketamine-anesthesia-electroconvulsive-therapy" TargetMode="External"/><Relationship Id="rId83" Type="http://schemas.openxmlformats.org/officeDocument/2006/relationships/hyperlink" Target="https://med.uth.edu/psychiatry/2024/09/23/continuation-and-maintenance-ect-linked-to-lower-readmission-rates-after-acute-ect/"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frontiersin.org/journals/psychiatry/articles/10.3389/fpsyt.2024.1341508/full" TargetMode="External"/><Relationship Id="rId23" Type="http://schemas.openxmlformats.org/officeDocument/2006/relationships/hyperlink" Target="https://pmc.ncbi.nlm.nih.gov/articles/PMC9976648/" TargetMode="External"/><Relationship Id="rId28" Type="http://schemas.openxmlformats.org/officeDocument/2006/relationships/hyperlink" Target="https://clinicaltrials.gov/study/NCT04399070" TargetMode="External"/><Relationship Id="rId36" Type="http://schemas.openxmlformats.org/officeDocument/2006/relationships/hyperlink" Target="https://www.researchgate.net/publication/6982505_Combined_Use_of_Lamotrigine_and_Electroconvulsive_Therapy_in_Bipolar_Depression" TargetMode="External"/><Relationship Id="rId49" Type="http://schemas.openxmlformats.org/officeDocument/2006/relationships/hyperlink" Target="https://pmc.ncbi.nlm.nih.gov/articles/PMC11273235/" TargetMode="External"/><Relationship Id="rId57" Type="http://schemas.openxmlformats.org/officeDocument/2006/relationships/hyperlink" Target="https://www.thieme-connect.com/products/ejournals/pdf/10.1055/a-2197-9635.pdf" TargetMode="External"/><Relationship Id="rId10" Type="http://schemas.openxmlformats.org/officeDocument/2006/relationships/hyperlink" Target="https://pmc.ncbi.nlm.nih.gov/articles/PMC3162076/" TargetMode="External"/><Relationship Id="rId31" Type="http://schemas.openxmlformats.org/officeDocument/2006/relationships/hyperlink" Target="https://pmc.ncbi.nlm.nih.gov/articles/PMC8020309/" TargetMode="External"/><Relationship Id="rId44" Type="http://schemas.openxmlformats.org/officeDocument/2006/relationships/hyperlink" Target="https://pmc.ncbi.nlm.nih.gov/articles/PMC10188255/" TargetMode="External"/><Relationship Id="rId52" Type="http://schemas.openxmlformats.org/officeDocument/2006/relationships/hyperlink" Target="https://psychiatryonline.org/doi/10.1176/appi.focus.17106" TargetMode="External"/><Relationship Id="rId60" Type="http://schemas.openxmlformats.org/officeDocument/2006/relationships/hyperlink" Target="https://www.apsf.org/article/are-serious-anesthesia-risks-of-semaglutide-and-other-glp-1-agonists-under-recognized/" TargetMode="External"/><Relationship Id="rId65" Type="http://schemas.openxmlformats.org/officeDocument/2006/relationships/hyperlink" Target="https://www.biorxiv.org/content/10.1101/2025.08.08.669432v1.full-text" TargetMode="External"/><Relationship Id="rId73" Type="http://schemas.openxmlformats.org/officeDocument/2006/relationships/hyperlink" Target="https://www.researchgate.net/publication/395037697_Continuation_electroconvulsive_therapy_combined_with_pharmacotherapy_for_depression_relapse_prevention_A_systematic_review_and_meta-analysis" TargetMode="External"/><Relationship Id="rId78" Type="http://schemas.openxmlformats.org/officeDocument/2006/relationships/hyperlink" Target="https://pmc.ncbi.nlm.nih.gov/articles/PMC9305858/" TargetMode="External"/><Relationship Id="rId81" Type="http://schemas.openxmlformats.org/officeDocument/2006/relationships/hyperlink" Target="https://www.mdpi.com/2227-9059/9/11/1689"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mc.ncbi.nlm.nih.gov/articles/PMC8461517/" TargetMode="External"/><Relationship Id="rId13" Type="http://schemas.openxmlformats.org/officeDocument/2006/relationships/hyperlink" Target="https://www.eput.nhs.uk/wp-content/uploads/2025/04/section-24-electroconvulsive-therapy-new-jun-2024.pdf" TargetMode="External"/><Relationship Id="rId18" Type="http://schemas.openxmlformats.org/officeDocument/2006/relationships/hyperlink" Target="https://academic.oup.com/jes/article/9/9/bvaf088/8196040" TargetMode="External"/><Relationship Id="rId39" Type="http://schemas.openxmlformats.org/officeDocument/2006/relationships/hyperlink" Target="https://www.health.qld.gov.au/__data/assets/pdf_file/0028/444763/guideline-administration-electroconvulsive-therapy.pdf" TargetMode="External"/><Relationship Id="rId34" Type="http://schemas.openxmlformats.org/officeDocument/2006/relationships/hyperlink" Target="https://www.frontiersin.org/journals/human-neuroscience/articles/10.3389/fnhum.2023.1143332/full" TargetMode="External"/><Relationship Id="rId50" Type="http://schemas.openxmlformats.org/officeDocument/2006/relationships/hyperlink" Target="https://pubmed.ncbi.nlm.nih.gov/16801832/" TargetMode="External"/><Relationship Id="rId55" Type="http://schemas.openxmlformats.org/officeDocument/2006/relationships/hyperlink" Target="https://pmc.ncbi.nlm.nih.gov/articles/PMC12605645/" TargetMode="External"/><Relationship Id="rId76" Type="http://schemas.openxmlformats.org/officeDocument/2006/relationships/hyperlink" Target="https://news.harvard.edu/gazette/story/2023/05/ketamine-found-effective-in-treatment-resistant-depression/" TargetMode="External"/><Relationship Id="rId7" Type="http://schemas.openxmlformats.org/officeDocument/2006/relationships/image" Target="media/image3.png"/><Relationship Id="rId71" Type="http://schemas.openxmlformats.org/officeDocument/2006/relationships/hyperlink" Target="https://pmc.ncbi.nlm.nih.gov/articles/PMC3708140/" TargetMode="External"/><Relationship Id="rId2" Type="http://schemas.openxmlformats.org/officeDocument/2006/relationships/styles" Target="styles.xml"/><Relationship Id="rId29" Type="http://schemas.openxmlformats.org/officeDocument/2006/relationships/hyperlink" Target="https://pubmed.ncbi.nlm.nih.gov/26536019/" TargetMode="External"/><Relationship Id="rId24" Type="http://schemas.openxmlformats.org/officeDocument/2006/relationships/hyperlink" Target="https://pmc.ncbi.nlm.nih.gov/articles/PMC9196257/" TargetMode="External"/><Relationship Id="rId40" Type="http://schemas.openxmlformats.org/officeDocument/2006/relationships/hyperlink" Target="https://pubmed.ncbi.nlm.nih.gov/30720551/" TargetMode="External"/><Relationship Id="rId45" Type="http://schemas.openxmlformats.org/officeDocument/2006/relationships/hyperlink" Target="https://pubmed.ncbi.nlm.nih.gov/31492631/" TargetMode="External"/><Relationship Id="rId66" Type="http://schemas.openxmlformats.org/officeDocument/2006/relationships/hyperlink" Target="https://www.frontiersin.org/journals/psychiatry/articles/10.3389/fpsyt.2015.00029/full" TargetMode="External"/><Relationship Id="rId61" Type="http://schemas.openxmlformats.org/officeDocument/2006/relationships/hyperlink" Target="https://pmc.ncbi.nlm.nih.gov/articles/PMC10662908/" TargetMode="External"/><Relationship Id="rId82" Type="http://schemas.openxmlformats.org/officeDocument/2006/relationships/hyperlink" Target="https://pmc.ncbi.nlm.nih.gov/articles/PMC4420179/"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5036</Words>
  <Characters>36438</Characters>
  <Application>Microsoft Office Word</Application>
  <DocSecurity>0</DocSecurity>
  <Lines>623</Lines>
  <Paragraphs>220</Paragraphs>
  <ScaleCrop>false</ScaleCrop>
  <Company/>
  <LinksUpToDate>false</LinksUpToDate>
  <CharactersWithSpaces>41242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정성훈</cp:lastModifiedBy>
  <cp:revision>3</cp:revision>
  <dcterms:created xsi:type="dcterms:W3CDTF">2026-01-27T08:14:00Z</dcterms:created>
  <dcterms:modified xsi:type="dcterms:W3CDTF">2026-01-27T08:41:00Z</dcterms:modified>
</cp:coreProperties>
</file>