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A86E" w14:textId="77777777" w:rsidR="003B3FC7" w:rsidRPr="00EA0E8B" w:rsidRDefault="00000000" w:rsidP="00EA0E8B">
      <w:pPr>
        <w:pStyle w:val="Heading2"/>
        <w:spacing w:line="480" w:lineRule="auto"/>
        <w:rPr>
          <w:rFonts w:asciiTheme="minorEastAsia" w:eastAsiaTheme="minorEastAsia" w:hAnsiTheme="minorEastAsia"/>
          <w:lang w:eastAsia="ko-KR"/>
        </w:rPr>
      </w:pPr>
      <w:bookmarkStart w:id="0" w:name="Xdf8aa9fadeb2b1b66a26b7e9212687fbe244ea8"/>
      <w:r w:rsidRPr="00EA0E8B">
        <w:rPr>
          <w:rFonts w:asciiTheme="minorEastAsia" w:eastAsiaTheme="minorEastAsia" w:hAnsiTheme="minorEastAsia"/>
          <w:lang w:eastAsia="ko-KR"/>
        </w:rPr>
        <w:t>화학적 강박을 둘러싼 윤리적 논란: 화학적 강박의 정당화 조건과 정신건강 사전의향서의 역할</w:t>
      </w:r>
    </w:p>
    <w:p w14:paraId="1F762FDF" w14:textId="77777777" w:rsidR="003B3FC7" w:rsidRPr="00EA0E8B" w:rsidRDefault="00000000" w:rsidP="00EA0E8B">
      <w:pPr>
        <w:pStyle w:val="Heading3"/>
        <w:spacing w:line="480" w:lineRule="auto"/>
        <w:rPr>
          <w:rFonts w:asciiTheme="minorEastAsia" w:eastAsiaTheme="minorEastAsia" w:hAnsiTheme="minorEastAsia"/>
        </w:rPr>
      </w:pPr>
      <w:bookmarkStart w:id="1" w:name="X0c0d9647ab9925d281bd88b1a528ee3363a8776"/>
      <w:r w:rsidRPr="00EA0E8B">
        <w:rPr>
          <w:rFonts w:asciiTheme="minorEastAsia" w:eastAsiaTheme="minorEastAsia" w:hAnsiTheme="minorEastAsia"/>
        </w:rPr>
        <w:t>Ethical Debates on Chemical Restraint: Conditions for Justification and the Role of Psychiatric Advance Directives</w:t>
      </w:r>
    </w:p>
    <w:p w14:paraId="345A0754" w14:textId="77777777" w:rsidR="00EA0E8B" w:rsidRDefault="00EA0E8B" w:rsidP="00EA0E8B">
      <w:pPr>
        <w:pStyle w:val="Title"/>
        <w:spacing w:line="480" w:lineRule="auto"/>
        <w:jc w:val="both"/>
        <w:rPr>
          <w:rFonts w:asciiTheme="minorEastAsia" w:eastAsiaTheme="minorEastAsia" w:hAnsiTheme="minorEastAsia"/>
          <w:color w:val="000000" w:themeColor="text1"/>
          <w:sz w:val="24"/>
          <w:szCs w:val="24"/>
          <w:lang w:eastAsia="ko-KR"/>
        </w:rPr>
      </w:pPr>
      <w:bookmarkStart w:id="2" w:name="서론"/>
      <w:bookmarkEnd w:id="0"/>
      <w:bookmarkEnd w:id="1"/>
    </w:p>
    <w:p w14:paraId="06AFA2C5" w14:textId="0E6ADAD6" w:rsidR="00EA0E8B" w:rsidRPr="00EA0E8B" w:rsidRDefault="00EA0E8B" w:rsidP="00EA0E8B">
      <w:pPr>
        <w:pStyle w:val="Title"/>
        <w:spacing w:line="480" w:lineRule="auto"/>
        <w:jc w:val="both"/>
        <w:rPr>
          <w:rFonts w:asciiTheme="minorEastAsia" w:eastAsiaTheme="minorEastAsia" w:hAnsiTheme="minorEastAsia"/>
          <w:color w:val="000000" w:themeColor="text1"/>
          <w:sz w:val="24"/>
          <w:szCs w:val="24"/>
          <w:vertAlign w:val="superscript"/>
          <w:lang w:eastAsia="ko-KR"/>
        </w:rPr>
      </w:pPr>
      <w:r w:rsidRPr="00EA0E8B">
        <w:rPr>
          <w:rFonts w:asciiTheme="minorEastAsia" w:eastAsiaTheme="minorEastAsia" w:hAnsiTheme="minorEastAsia" w:hint="eastAsia"/>
          <w:color w:val="000000" w:themeColor="text1"/>
          <w:sz w:val="24"/>
          <w:szCs w:val="24"/>
          <w:lang w:eastAsia="ko-KR"/>
        </w:rPr>
        <w:t>정성훈</w:t>
      </w:r>
      <w:r w:rsidRPr="00EA0E8B">
        <w:rPr>
          <w:rFonts w:asciiTheme="minorEastAsia" w:eastAsiaTheme="minorEastAsia" w:hAnsiTheme="minorEastAsia"/>
          <w:color w:val="000000" w:themeColor="text1"/>
          <w:sz w:val="24"/>
          <w:szCs w:val="24"/>
          <w:lang w:eastAsia="ko-KR"/>
        </w:rPr>
        <w:t xml:space="preserve"> M.D., Ph.D.</w:t>
      </w:r>
      <w:r w:rsidRPr="00EA0E8B">
        <w:rPr>
          <w:rFonts w:asciiTheme="minorEastAsia" w:eastAsiaTheme="minorEastAsia" w:hAnsiTheme="minorEastAsia"/>
          <w:color w:val="000000" w:themeColor="text1"/>
          <w:sz w:val="24"/>
          <w:szCs w:val="24"/>
          <w:vertAlign w:val="superscript"/>
          <w:lang w:eastAsia="ko-KR"/>
        </w:rPr>
        <w:t>1</w:t>
      </w:r>
      <w:r w:rsidRPr="00EA0E8B">
        <w:rPr>
          <w:rFonts w:asciiTheme="minorEastAsia" w:eastAsiaTheme="minorEastAsia" w:hAnsiTheme="minorEastAsia"/>
          <w:color w:val="000000" w:themeColor="text1"/>
          <w:sz w:val="24"/>
          <w:szCs w:val="24"/>
          <w:lang w:eastAsia="ko-KR"/>
        </w:rPr>
        <w:t xml:space="preserve">, </w:t>
      </w:r>
      <w:r w:rsidRPr="00EA0E8B">
        <w:rPr>
          <w:rFonts w:asciiTheme="minorEastAsia" w:eastAsiaTheme="minorEastAsia" w:hAnsiTheme="minorEastAsia" w:hint="eastAsia"/>
          <w:color w:val="000000" w:themeColor="text1"/>
          <w:sz w:val="24"/>
          <w:szCs w:val="24"/>
          <w:lang w:eastAsia="ko-KR"/>
        </w:rPr>
        <w:t>김용식</w:t>
      </w:r>
      <w:r w:rsidRPr="00EA0E8B">
        <w:rPr>
          <w:rFonts w:asciiTheme="minorEastAsia" w:eastAsiaTheme="minorEastAsia" w:hAnsiTheme="minorEastAsia"/>
          <w:color w:val="000000" w:themeColor="text1"/>
          <w:sz w:val="24"/>
          <w:szCs w:val="24"/>
          <w:lang w:eastAsia="ko-KR"/>
        </w:rPr>
        <w:t xml:space="preserve"> M.D., Ph.D.</w:t>
      </w:r>
      <w:r w:rsidRPr="00EA0E8B">
        <w:rPr>
          <w:rFonts w:asciiTheme="minorEastAsia" w:eastAsiaTheme="minorEastAsia" w:hAnsiTheme="minorEastAsia"/>
          <w:color w:val="000000" w:themeColor="text1"/>
          <w:sz w:val="24"/>
          <w:szCs w:val="24"/>
          <w:vertAlign w:val="superscript"/>
          <w:lang w:eastAsia="ko-KR"/>
        </w:rPr>
        <w:t>2</w:t>
      </w:r>
    </w:p>
    <w:p w14:paraId="1B040AA7" w14:textId="77777777" w:rsidR="00EA0E8B" w:rsidRDefault="00EA0E8B" w:rsidP="00EA0E8B">
      <w:pPr>
        <w:pStyle w:val="BodyText"/>
        <w:spacing w:line="480" w:lineRule="auto"/>
        <w:rPr>
          <w:rFonts w:asciiTheme="minorEastAsia" w:hAnsiTheme="minorEastAsia"/>
          <w:vertAlign w:val="superscript"/>
          <w:lang w:eastAsia="ko-KR"/>
        </w:rPr>
      </w:pPr>
      <w:r w:rsidRPr="00EA0E8B">
        <w:rPr>
          <w:rFonts w:asciiTheme="minorEastAsia" w:hAnsiTheme="minorEastAsia"/>
          <w:lang w:eastAsia="ko-KR"/>
        </w:rPr>
        <w:t>Seong Hoon Jeong M.D.</w:t>
      </w:r>
      <w:r w:rsidRPr="00EA0E8B">
        <w:rPr>
          <w:rFonts w:asciiTheme="minorEastAsia" w:hAnsiTheme="minorEastAsia"/>
          <w:vertAlign w:val="superscript"/>
          <w:lang w:eastAsia="ko-KR"/>
        </w:rPr>
        <w:t>1</w:t>
      </w:r>
      <w:r w:rsidRPr="00EA0E8B">
        <w:rPr>
          <w:rFonts w:asciiTheme="minorEastAsia" w:hAnsiTheme="minorEastAsia"/>
          <w:lang w:eastAsia="ko-KR"/>
        </w:rPr>
        <w:t>, Ph.D., Yong Sik Kim M.D., Ph.D.</w:t>
      </w:r>
      <w:r w:rsidRPr="00EA0E8B">
        <w:rPr>
          <w:rFonts w:asciiTheme="minorEastAsia" w:hAnsiTheme="minorEastAsia"/>
          <w:vertAlign w:val="superscript"/>
          <w:lang w:eastAsia="ko-KR"/>
        </w:rPr>
        <w:t>2</w:t>
      </w:r>
    </w:p>
    <w:p w14:paraId="444A631D" w14:textId="77777777" w:rsidR="00EA0E8B" w:rsidRPr="00EA0E8B" w:rsidRDefault="00EA0E8B" w:rsidP="00EA0E8B">
      <w:pPr>
        <w:pStyle w:val="BodyText"/>
        <w:spacing w:line="480" w:lineRule="auto"/>
        <w:rPr>
          <w:rFonts w:asciiTheme="minorEastAsia" w:hAnsiTheme="minorEastAsia"/>
          <w:lang w:eastAsia="ko-KR"/>
        </w:rPr>
      </w:pPr>
    </w:p>
    <w:p w14:paraId="05196D28" w14:textId="77777777" w:rsidR="00EA0E8B" w:rsidRPr="00EA0E8B" w:rsidRDefault="00EA0E8B" w:rsidP="00EA0E8B">
      <w:pPr>
        <w:pStyle w:val="FirstParagraph"/>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t xml:space="preserve">1: </w:t>
      </w:r>
      <w:r w:rsidRPr="00EA0E8B">
        <w:rPr>
          <w:rFonts w:asciiTheme="minorEastAsia" w:hAnsiTheme="minorEastAsia" w:hint="eastAsia"/>
          <w:color w:val="000000" w:themeColor="text1"/>
          <w:lang w:eastAsia="ko-KR"/>
        </w:rPr>
        <w:t>대전 을지대학교 병원 정신건강의학과, 을지대학교 의과대학</w:t>
      </w:r>
    </w:p>
    <w:p w14:paraId="3B7D4BC2"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2: 의정부 을지대학교 병원 정신건강의학과, 노원 을지대학교 병원 정신건강의학과</w:t>
      </w:r>
    </w:p>
    <w:p w14:paraId="50D01C1B"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t>1: Department of Psychiatry, Daejeon Eulji Medical Center, Eulji University</w:t>
      </w:r>
    </w:p>
    <w:p w14:paraId="5AD30E59"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lastRenderedPageBreak/>
        <w:t xml:space="preserve">2: Department of Psychiatry, </w:t>
      </w:r>
      <w:proofErr w:type="spellStart"/>
      <w:r w:rsidRPr="00EA0E8B">
        <w:rPr>
          <w:rFonts w:asciiTheme="minorEastAsia" w:hAnsiTheme="minorEastAsia"/>
          <w:color w:val="000000" w:themeColor="text1"/>
          <w:lang w:eastAsia="ko-KR"/>
        </w:rPr>
        <w:t>Uijeongbu</w:t>
      </w:r>
      <w:proofErr w:type="spellEnd"/>
      <w:r w:rsidRPr="00EA0E8B">
        <w:rPr>
          <w:rFonts w:asciiTheme="minorEastAsia" w:hAnsiTheme="minorEastAsia"/>
          <w:color w:val="000000" w:themeColor="text1"/>
          <w:lang w:eastAsia="ko-KR"/>
        </w:rPr>
        <w:t xml:space="preserve"> Eulji Medical Center</w:t>
      </w:r>
      <w:r w:rsidRPr="00EA0E8B">
        <w:rPr>
          <w:rFonts w:asciiTheme="minorEastAsia" w:hAnsiTheme="minorEastAsia" w:hint="eastAsia"/>
          <w:color w:val="000000" w:themeColor="text1"/>
          <w:lang w:eastAsia="ko-KR"/>
        </w:rPr>
        <w:t xml:space="preserve">, </w:t>
      </w:r>
      <w:proofErr w:type="spellStart"/>
      <w:r w:rsidRPr="00EA0E8B">
        <w:rPr>
          <w:rFonts w:asciiTheme="minorEastAsia" w:hAnsiTheme="minorEastAsia"/>
          <w:color w:val="000000" w:themeColor="text1"/>
          <w:lang w:eastAsia="ko-KR"/>
        </w:rPr>
        <w:t>Nowon</w:t>
      </w:r>
      <w:proofErr w:type="spellEnd"/>
      <w:r w:rsidRPr="00EA0E8B">
        <w:rPr>
          <w:rFonts w:asciiTheme="minorEastAsia" w:hAnsiTheme="minorEastAsia"/>
          <w:color w:val="000000" w:themeColor="text1"/>
          <w:lang w:eastAsia="ko-KR"/>
        </w:rPr>
        <w:t xml:space="preserve"> Eulji Medical Center</w:t>
      </w:r>
    </w:p>
    <w:p w14:paraId="6DDA64AA" w14:textId="77777777" w:rsidR="00EA0E8B" w:rsidRPr="00EA0E8B" w:rsidRDefault="00EA0E8B" w:rsidP="00EA0E8B">
      <w:pPr>
        <w:pStyle w:val="BodyText"/>
        <w:spacing w:line="480" w:lineRule="auto"/>
        <w:rPr>
          <w:rFonts w:asciiTheme="minorEastAsia" w:hAnsiTheme="minorEastAsia"/>
          <w:color w:val="000000" w:themeColor="text1"/>
          <w:lang w:eastAsia="ko-KR"/>
        </w:rPr>
      </w:pPr>
    </w:p>
    <w:p w14:paraId="6E54C305"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hint="eastAsia"/>
          <w:b/>
          <w:bCs/>
          <w:color w:val="000000" w:themeColor="text1"/>
          <w:lang w:eastAsia="ko-KR"/>
        </w:rPr>
        <w:t>교신저자</w:t>
      </w:r>
    </w:p>
    <w:p w14:paraId="44CA7AFF"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김용식</w:t>
      </w:r>
    </w:p>
    <w:p w14:paraId="26DD5CEF"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 xml:space="preserve">01830 서울특별시 노원구 한글 </w:t>
      </w:r>
      <w:proofErr w:type="spellStart"/>
      <w:r w:rsidRPr="00EA0E8B">
        <w:rPr>
          <w:rFonts w:asciiTheme="minorEastAsia" w:hAnsiTheme="minorEastAsia" w:hint="eastAsia"/>
          <w:color w:val="000000" w:themeColor="text1"/>
          <w:lang w:eastAsia="ko-KR"/>
        </w:rPr>
        <w:t>비석로</w:t>
      </w:r>
      <w:proofErr w:type="spellEnd"/>
      <w:r w:rsidRPr="00EA0E8B">
        <w:rPr>
          <w:rFonts w:asciiTheme="minorEastAsia" w:hAnsiTheme="minorEastAsia" w:hint="eastAsia"/>
          <w:color w:val="000000" w:themeColor="text1"/>
          <w:lang w:eastAsia="ko-KR"/>
        </w:rPr>
        <w:t xml:space="preserve"> 68</w:t>
      </w:r>
    </w:p>
    <w:p w14:paraId="1542FD91"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노원 을지대학교 병원, 정신건강의학과</w:t>
      </w:r>
    </w:p>
    <w:p w14:paraId="460654C1"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전화번호: 02-970-8878</w:t>
      </w:r>
    </w:p>
    <w:p w14:paraId="7BEE48FA"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 xml:space="preserve">전자메일: </w:t>
      </w:r>
      <w:hyperlink r:id="rId5" w:history="1">
        <w:r w:rsidRPr="00EA0E8B">
          <w:rPr>
            <w:rStyle w:val="Hyperlink"/>
            <w:rFonts w:asciiTheme="minorEastAsia" w:hAnsiTheme="minorEastAsia"/>
            <w:color w:val="000000" w:themeColor="text1"/>
            <w:lang w:eastAsia="ko-KR"/>
          </w:rPr>
          <w:t>kys@snu.ac.kr</w:t>
        </w:r>
      </w:hyperlink>
    </w:p>
    <w:p w14:paraId="7F7288FD"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p>
    <w:p w14:paraId="67FE60F2"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Running Title</w:t>
      </w:r>
    </w:p>
    <w:p w14:paraId="24DA1AAD" w14:textId="77777777" w:rsid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화학적 강박의 정당화 조건</w:t>
      </w:r>
    </w:p>
    <w:p w14:paraId="3FF44024" w14:textId="77777777" w:rsidR="005E0378" w:rsidRPr="00E14BE6" w:rsidRDefault="005E0378" w:rsidP="005E0378">
      <w:pPr>
        <w:pStyle w:val="BodyText"/>
        <w:spacing w:line="480" w:lineRule="auto"/>
        <w:rPr>
          <w:b/>
          <w:bCs/>
          <w:color w:val="000000" w:themeColor="text1"/>
          <w:lang w:eastAsia="ko-KR"/>
        </w:rPr>
      </w:pPr>
      <w:r w:rsidRPr="00E14BE6">
        <w:rPr>
          <w:b/>
          <w:bCs/>
          <w:color w:val="000000" w:themeColor="text1"/>
          <w:lang w:eastAsia="ko-KR"/>
        </w:rPr>
        <w:t>ORCID</w:t>
      </w:r>
    </w:p>
    <w:p w14:paraId="184D787A" w14:textId="77777777" w:rsidR="005E0378" w:rsidRPr="00E14BE6" w:rsidRDefault="005E0378" w:rsidP="005E0378">
      <w:pPr>
        <w:pStyle w:val="BodyText"/>
        <w:spacing w:line="480" w:lineRule="auto"/>
        <w:rPr>
          <w:color w:val="000000" w:themeColor="text1"/>
          <w:lang w:eastAsia="ko-KR"/>
        </w:rPr>
      </w:pPr>
    </w:p>
    <w:p w14:paraId="6F139A2A"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정성훈</w:t>
      </w:r>
      <w:r w:rsidRPr="00E14BE6">
        <w:rPr>
          <w:rFonts w:hint="eastAsia"/>
          <w:color w:val="000000" w:themeColor="text1"/>
          <w:lang w:eastAsia="ko-KR"/>
        </w:rPr>
        <w:t xml:space="preserve">: </w:t>
      </w:r>
      <w:r w:rsidRPr="00E14BE6">
        <w:rPr>
          <w:color w:val="000000" w:themeColor="text1"/>
          <w:lang w:eastAsia="ko-KR"/>
        </w:rPr>
        <w:t>0000-0002-7404-9056</w:t>
      </w:r>
    </w:p>
    <w:p w14:paraId="5E0E1FC9"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김용식</w:t>
      </w:r>
      <w:r w:rsidRPr="00E14BE6">
        <w:rPr>
          <w:color w:val="000000" w:themeColor="text1"/>
          <w:lang w:eastAsia="ko-KR"/>
        </w:rPr>
        <w:t>: 0000-0002-8845-5186</w:t>
      </w:r>
    </w:p>
    <w:p w14:paraId="5EE65CD3" w14:textId="77777777" w:rsidR="005E0378" w:rsidRPr="00E14BE6" w:rsidRDefault="005E0378" w:rsidP="005E0378">
      <w:pPr>
        <w:pStyle w:val="BodyText"/>
        <w:spacing w:line="480" w:lineRule="auto"/>
        <w:rPr>
          <w:color w:val="000000" w:themeColor="text1"/>
          <w:lang w:eastAsia="ko-KR"/>
        </w:rPr>
      </w:pPr>
    </w:p>
    <w:p w14:paraId="4683FFB1" w14:textId="77777777" w:rsidR="005E0378" w:rsidRPr="00E14BE6" w:rsidRDefault="005E0378" w:rsidP="005E0378">
      <w:pPr>
        <w:pStyle w:val="BodyText"/>
        <w:spacing w:line="480" w:lineRule="auto"/>
        <w:rPr>
          <w:b/>
          <w:bCs/>
          <w:color w:val="000000" w:themeColor="text1"/>
          <w:lang w:eastAsia="ko-KR"/>
        </w:rPr>
      </w:pPr>
      <w:r w:rsidRPr="00E14BE6">
        <w:rPr>
          <w:rFonts w:hint="eastAsia"/>
          <w:b/>
          <w:bCs/>
          <w:color w:val="000000" w:themeColor="text1"/>
          <w:lang w:eastAsia="ko-KR"/>
        </w:rPr>
        <w:t>저자역할</w:t>
      </w:r>
    </w:p>
    <w:p w14:paraId="50F4F880"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문헌</w:t>
      </w:r>
      <w:r w:rsidRPr="00E14BE6">
        <w:rPr>
          <w:rFonts w:hint="eastAsia"/>
          <w:color w:val="000000" w:themeColor="text1"/>
          <w:lang w:eastAsia="ko-KR"/>
        </w:rPr>
        <w:t xml:space="preserve"> </w:t>
      </w:r>
      <w:r w:rsidRPr="00E14BE6">
        <w:rPr>
          <w:rFonts w:hint="eastAsia"/>
          <w:color w:val="000000" w:themeColor="text1"/>
          <w:lang w:eastAsia="ko-KR"/>
        </w:rPr>
        <w:t>및</w:t>
      </w:r>
      <w:r w:rsidRPr="00E14BE6">
        <w:rPr>
          <w:rFonts w:hint="eastAsia"/>
          <w:color w:val="000000" w:themeColor="text1"/>
          <w:lang w:eastAsia="ko-KR"/>
        </w:rPr>
        <w:t xml:space="preserve"> </w:t>
      </w:r>
      <w:r w:rsidRPr="00E14BE6">
        <w:rPr>
          <w:rFonts w:hint="eastAsia"/>
          <w:color w:val="000000" w:themeColor="text1"/>
          <w:lang w:eastAsia="ko-KR"/>
        </w:rPr>
        <w:t>자료</w:t>
      </w:r>
      <w:r w:rsidRPr="00E14BE6">
        <w:rPr>
          <w:rFonts w:hint="eastAsia"/>
          <w:color w:val="000000" w:themeColor="text1"/>
          <w:lang w:eastAsia="ko-KR"/>
        </w:rPr>
        <w:t xml:space="preserve"> </w:t>
      </w:r>
      <w:r w:rsidRPr="00E14BE6">
        <w:rPr>
          <w:rFonts w:hint="eastAsia"/>
          <w:color w:val="000000" w:themeColor="text1"/>
          <w:lang w:eastAsia="ko-KR"/>
        </w:rPr>
        <w:t>검색</w:t>
      </w:r>
      <w:r w:rsidRPr="00E14BE6">
        <w:rPr>
          <w:rFonts w:hint="eastAsia"/>
          <w:color w:val="000000" w:themeColor="text1"/>
          <w:lang w:eastAsia="ko-KR"/>
        </w:rPr>
        <w:t xml:space="preserve">, </w:t>
      </w:r>
      <w:r w:rsidRPr="00E14BE6">
        <w:rPr>
          <w:rFonts w:hint="eastAsia"/>
          <w:color w:val="000000" w:themeColor="text1"/>
          <w:lang w:eastAsia="ko-KR"/>
        </w:rPr>
        <w:t>원고작성</w:t>
      </w:r>
      <w:r w:rsidRPr="00E14BE6">
        <w:rPr>
          <w:rFonts w:hint="eastAsia"/>
          <w:color w:val="000000" w:themeColor="text1"/>
          <w:lang w:eastAsia="ko-KR"/>
        </w:rPr>
        <w:t xml:space="preserve">: </w:t>
      </w:r>
      <w:r w:rsidRPr="00E14BE6">
        <w:rPr>
          <w:rFonts w:hint="eastAsia"/>
          <w:color w:val="000000" w:themeColor="text1"/>
          <w:lang w:eastAsia="ko-KR"/>
        </w:rPr>
        <w:t>정성훈</w:t>
      </w:r>
    </w:p>
    <w:p w14:paraId="60EE201D"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주제선정</w:t>
      </w:r>
      <w:r w:rsidRPr="00E14BE6">
        <w:rPr>
          <w:rFonts w:hint="eastAsia"/>
          <w:color w:val="000000" w:themeColor="text1"/>
          <w:lang w:eastAsia="ko-KR"/>
        </w:rPr>
        <w:t xml:space="preserve">, </w:t>
      </w:r>
      <w:r w:rsidRPr="00E14BE6">
        <w:rPr>
          <w:rFonts w:hint="eastAsia"/>
          <w:color w:val="000000" w:themeColor="text1"/>
          <w:lang w:eastAsia="ko-KR"/>
        </w:rPr>
        <w:t>문헌</w:t>
      </w:r>
      <w:r w:rsidRPr="00E14BE6">
        <w:rPr>
          <w:rFonts w:hint="eastAsia"/>
          <w:color w:val="000000" w:themeColor="text1"/>
          <w:lang w:eastAsia="ko-KR"/>
        </w:rPr>
        <w:t xml:space="preserve"> </w:t>
      </w:r>
      <w:r w:rsidRPr="00E14BE6">
        <w:rPr>
          <w:rFonts w:hint="eastAsia"/>
          <w:color w:val="000000" w:themeColor="text1"/>
          <w:lang w:eastAsia="ko-KR"/>
        </w:rPr>
        <w:t>및</w:t>
      </w:r>
      <w:r w:rsidRPr="00E14BE6">
        <w:rPr>
          <w:rFonts w:hint="eastAsia"/>
          <w:color w:val="000000" w:themeColor="text1"/>
          <w:lang w:eastAsia="ko-KR"/>
        </w:rPr>
        <w:t xml:space="preserve"> </w:t>
      </w:r>
      <w:r w:rsidRPr="00E14BE6">
        <w:rPr>
          <w:rFonts w:hint="eastAsia"/>
          <w:color w:val="000000" w:themeColor="text1"/>
          <w:lang w:eastAsia="ko-KR"/>
        </w:rPr>
        <w:t>자료</w:t>
      </w:r>
      <w:r w:rsidRPr="00E14BE6">
        <w:rPr>
          <w:rFonts w:hint="eastAsia"/>
          <w:color w:val="000000" w:themeColor="text1"/>
          <w:lang w:eastAsia="ko-KR"/>
        </w:rPr>
        <w:t xml:space="preserve"> </w:t>
      </w:r>
      <w:r w:rsidRPr="00E14BE6">
        <w:rPr>
          <w:rFonts w:hint="eastAsia"/>
          <w:color w:val="000000" w:themeColor="text1"/>
          <w:lang w:eastAsia="ko-KR"/>
        </w:rPr>
        <w:t>검색</w:t>
      </w:r>
      <w:r w:rsidRPr="00E14BE6">
        <w:rPr>
          <w:rFonts w:hint="eastAsia"/>
          <w:color w:val="000000" w:themeColor="text1"/>
          <w:lang w:eastAsia="ko-KR"/>
        </w:rPr>
        <w:t xml:space="preserve">, </w:t>
      </w:r>
      <w:r w:rsidRPr="00E14BE6">
        <w:rPr>
          <w:rFonts w:hint="eastAsia"/>
          <w:color w:val="000000" w:themeColor="text1"/>
          <w:lang w:eastAsia="ko-KR"/>
        </w:rPr>
        <w:t>원고감수</w:t>
      </w:r>
      <w:r w:rsidRPr="00E14BE6">
        <w:rPr>
          <w:rFonts w:hint="eastAsia"/>
          <w:color w:val="000000" w:themeColor="text1"/>
          <w:lang w:eastAsia="ko-KR"/>
        </w:rPr>
        <w:t xml:space="preserve">: </w:t>
      </w:r>
      <w:r w:rsidRPr="00E14BE6">
        <w:rPr>
          <w:rFonts w:hint="eastAsia"/>
          <w:color w:val="000000" w:themeColor="text1"/>
          <w:lang w:eastAsia="ko-KR"/>
        </w:rPr>
        <w:t>김용식</w:t>
      </w:r>
    </w:p>
    <w:p w14:paraId="1E37062A" w14:textId="77777777" w:rsidR="005E0378" w:rsidRPr="00EA0E8B" w:rsidRDefault="005E0378" w:rsidP="00EA0E8B">
      <w:pPr>
        <w:pStyle w:val="BodyText"/>
        <w:spacing w:line="480" w:lineRule="auto"/>
        <w:rPr>
          <w:rFonts w:asciiTheme="minorEastAsia" w:hAnsiTheme="minorEastAsia"/>
          <w:color w:val="000000" w:themeColor="text1"/>
          <w:lang w:eastAsia="ko-KR"/>
        </w:rPr>
      </w:pPr>
    </w:p>
    <w:p w14:paraId="5E3E34DD" w14:textId="77777777" w:rsidR="00EA0E8B" w:rsidRPr="00EA0E8B" w:rsidRDefault="00EA0E8B" w:rsidP="00EA0E8B">
      <w:pPr>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br w:type="page"/>
      </w:r>
    </w:p>
    <w:p w14:paraId="137EF035"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lastRenderedPageBreak/>
        <w:t>Abstract</w:t>
      </w:r>
    </w:p>
    <w:p w14:paraId="07D1E6A4" w14:textId="77777777" w:rsidR="00EA0E8B" w:rsidRPr="00EA0E8B" w:rsidRDefault="00EA0E8B" w:rsidP="00EA0E8B">
      <w:pPr>
        <w:spacing w:before="100" w:beforeAutospacing="1" w:after="100" w:afterAutospacing="1" w:line="480" w:lineRule="auto"/>
        <w:rPr>
          <w:rFonts w:asciiTheme="minorEastAsia" w:hAnsiTheme="minorEastAsia" w:cs="Times New Roman"/>
          <w:lang w:val="en-KR" w:eastAsia="ko-KR"/>
        </w:rPr>
      </w:pPr>
      <w:r w:rsidRPr="00EA0E8B">
        <w:rPr>
          <w:rFonts w:asciiTheme="minorEastAsia" w:hAnsiTheme="minorEastAsia" w:cs="Times New Roman"/>
          <w:lang w:val="en-KR" w:eastAsia="ko-KR"/>
        </w:rPr>
        <w:t xml:space="preserve">Chemical restraint in psychiatric emergencies occupies a contested space between clinical necessity and human rights imperatives. This narrative review examines the ethical and legal tensions surrounding chemical restraint and coercive treatment, drawing on biomedical literature, legal scholarship, medical ethics, and international human rights instruments. We trace the historical development of chemical restraint, analyze divergent interpretations of the UN Convention on the Rights of Persons with Disabilities — contrasting its absolutist reading with proportionality-based frameworks such as the European Convention on Human Rights — and apply the four principles of biomedical ethics to identify conditions under which limited use may be justifiable. We argue that justification requires a cumulative structure of conditions, including impaired decision-making capacity, imminent physical harm, and failure of less restrictive alternatives. We further propose that psychiatric advance directives can serve as a procedural mechanism bridging patients' stable-state </w:t>
      </w:r>
      <w:r w:rsidRPr="00EA0E8B">
        <w:rPr>
          <w:rFonts w:asciiTheme="minorEastAsia" w:hAnsiTheme="minorEastAsia" w:cs="Times New Roman"/>
          <w:lang w:val="en-KR" w:eastAsia="ko-KR"/>
        </w:rPr>
        <w:lastRenderedPageBreak/>
        <w:t>preferences with crisis-point clinical judgment, partially redistributing decisional authority from clinicians to patients themselves.</w:t>
      </w:r>
    </w:p>
    <w:p w14:paraId="1A89DCB3"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p>
    <w:p w14:paraId="35E47E91"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Keywords</w:t>
      </w:r>
    </w:p>
    <w:p w14:paraId="19D85BB7" w14:textId="77777777" w:rsidR="00EA0E8B" w:rsidRPr="00EA0E8B" w:rsidRDefault="00EA0E8B" w:rsidP="00EA0E8B">
      <w:pPr>
        <w:pStyle w:val="BodyText"/>
        <w:spacing w:line="480" w:lineRule="auto"/>
        <w:rPr>
          <w:rFonts w:asciiTheme="minorEastAsia" w:hAnsiTheme="minorEastAsia" w:hint="eastAsia"/>
          <w:b/>
          <w:bCs/>
          <w:color w:val="000000" w:themeColor="text1"/>
          <w:lang w:eastAsia="ko-KR"/>
        </w:rPr>
      </w:pPr>
      <w:r w:rsidRPr="00EA0E8B">
        <w:rPr>
          <w:rFonts w:asciiTheme="minorEastAsia" w:hAnsiTheme="minorEastAsia"/>
        </w:rPr>
        <w:t>Restraint, Physical; Coercion; Human Rights; Bioethical Issues; Psychiatric advance directives</w:t>
      </w:r>
    </w:p>
    <w:p w14:paraId="1C43498F" w14:textId="07BF5505" w:rsidR="00EA0E8B" w:rsidRDefault="00EA0E8B">
      <w:pPr>
        <w:rPr>
          <w:rFonts w:asciiTheme="minorEastAsia" w:hAnsiTheme="minorEastAsia" w:cstheme="majorBidi"/>
          <w:color w:val="0F4761" w:themeColor="accent1" w:themeShade="BF"/>
          <w:sz w:val="32"/>
          <w:szCs w:val="32"/>
          <w:lang w:eastAsia="ko-KR"/>
        </w:rPr>
      </w:pPr>
      <w:r>
        <w:rPr>
          <w:rFonts w:asciiTheme="minorEastAsia" w:hAnsiTheme="minorEastAsia" w:cstheme="majorBidi"/>
          <w:color w:val="0F4761" w:themeColor="accent1" w:themeShade="BF"/>
          <w:sz w:val="32"/>
          <w:szCs w:val="32"/>
          <w:lang w:eastAsia="ko-KR"/>
        </w:rPr>
        <w:br w:type="page"/>
      </w:r>
    </w:p>
    <w:p w14:paraId="1417426D" w14:textId="0AE3BC23"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서론</w:t>
      </w:r>
    </w:p>
    <w:p w14:paraId="5B5BFC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치료 환경에서 발생하는 급성 초조 및 폭력(agitation and violence)은 환자와 의료진의 안전을 위협하는 응급 상황이다.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이러한 상황은 빠르게 악화될 수 있으며, 의료진이 충분히 숙고하여 결정을 내릴만한 여유를 허락하지 않는다.</w:t>
      </w:r>
      <w:r w:rsidRPr="00EA0E8B">
        <w:rPr>
          <w:rFonts w:asciiTheme="minorEastAsia" w:hAnsiTheme="minorEastAsia"/>
          <w:vertAlign w:val="superscript"/>
          <w:lang w:eastAsia="ko-KR"/>
        </w:rPr>
        <w:t>3)</w:t>
      </w:r>
      <w:r w:rsidRPr="00EA0E8B">
        <w:rPr>
          <w:rFonts w:asciiTheme="minorEastAsia" w:hAnsiTheme="minorEastAsia"/>
          <w:lang w:eastAsia="ko-KR"/>
        </w:rPr>
        <w:t xml:space="preserve"> 게다가 환자의 자율성 보장이라는 윤리적 요구와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예방해야 할 임상적 의무가 충돌하는 상항에서 의료진에게 가해지는 부담은 </w:t>
      </w:r>
      <w:proofErr w:type="spellStart"/>
      <w:r w:rsidRPr="00EA0E8B">
        <w:rPr>
          <w:rFonts w:asciiTheme="minorEastAsia" w:hAnsiTheme="minorEastAsia"/>
          <w:lang w:eastAsia="ko-KR"/>
        </w:rPr>
        <w:t>커져가기만</w:t>
      </w:r>
      <w:proofErr w:type="spellEnd"/>
      <w:r w:rsidRPr="00EA0E8B">
        <w:rPr>
          <w:rFonts w:asciiTheme="minorEastAsia" w:hAnsiTheme="minorEastAsia"/>
          <w:lang w:eastAsia="ko-KR"/>
        </w:rPr>
        <w:t xml:space="preserve"> 한다.</w:t>
      </w:r>
      <w:r w:rsidRPr="00EA0E8B">
        <w:rPr>
          <w:rFonts w:asciiTheme="minorEastAsia" w:hAnsiTheme="minorEastAsia"/>
          <w:vertAlign w:val="superscript"/>
          <w:lang w:eastAsia="ko-KR"/>
        </w:rPr>
        <w:t>4,5)</w:t>
      </w:r>
    </w:p>
    <w:p w14:paraId="73002C4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이와 같은 위기 상황을 해결하기 흔히 약물을 </w:t>
      </w:r>
      <w:proofErr w:type="spellStart"/>
      <w:r w:rsidRPr="00EA0E8B">
        <w:rPr>
          <w:rFonts w:asciiTheme="minorEastAsia" w:hAnsiTheme="minorEastAsia"/>
          <w:lang w:eastAsia="ko-KR"/>
        </w:rPr>
        <w:t>비경구적으로</w:t>
      </w:r>
      <w:proofErr w:type="spellEnd"/>
      <w:r w:rsidRPr="00EA0E8B">
        <w:rPr>
          <w:rFonts w:asciiTheme="minorEastAsia" w:hAnsiTheme="minorEastAsia"/>
          <w:lang w:eastAsia="ko-KR"/>
        </w:rPr>
        <w:t xml:space="preserve"> 투여하는데 이를 “화학적 강박(chemical restraint)”이라고 부른다.</w:t>
      </w:r>
      <w:r w:rsidRPr="00EA0E8B">
        <w:rPr>
          <w:rFonts w:asciiTheme="minorEastAsia" w:hAnsiTheme="minorEastAsia"/>
          <w:vertAlign w:val="superscript"/>
          <w:lang w:eastAsia="ko-KR"/>
        </w:rPr>
        <w:t>6)</w:t>
      </w:r>
      <w:r w:rsidRPr="00EA0E8B">
        <w:rPr>
          <w:rFonts w:asciiTheme="minorEastAsia" w:hAnsiTheme="minorEastAsia"/>
          <w:lang w:eastAsia="ko-KR"/>
        </w:rPr>
        <w:t xml:space="preserve"> 이 절차에 대해 비판가들은 덜 침습적인 방법으로도 충분히 환자를 안정시킬 수 있는 상황에서, 의료진이 편의나 권위 유지를 위해 남용할 수 있다고 우려한다.</w:t>
      </w:r>
      <w:r w:rsidRPr="00EA0E8B">
        <w:rPr>
          <w:rFonts w:asciiTheme="minorEastAsia" w:hAnsiTheme="minorEastAsia"/>
          <w:vertAlign w:val="superscript"/>
          <w:lang w:eastAsia="ko-KR"/>
        </w:rPr>
        <w:t>7,8)</w:t>
      </w:r>
      <w:r w:rsidRPr="00EA0E8B">
        <w:rPr>
          <w:rFonts w:asciiTheme="minorEastAsia" w:hAnsiTheme="minorEastAsia"/>
          <w:lang w:eastAsia="ko-KR"/>
        </w:rPr>
        <w:t xml:space="preserve"> 반대로 임상 현장에서는 덜 침습적인 개입이 성공할 여지가 보이지 않거나, 아예 시도할 시간조차 없는 </w:t>
      </w:r>
      <w:proofErr w:type="spellStart"/>
      <w:r w:rsidRPr="00EA0E8B">
        <w:rPr>
          <w:rFonts w:asciiTheme="minorEastAsia" w:hAnsiTheme="minorEastAsia"/>
          <w:lang w:eastAsia="ko-KR"/>
        </w:rPr>
        <w:t>상황에서조차</w:t>
      </w:r>
      <w:proofErr w:type="spellEnd"/>
      <w:r w:rsidRPr="00EA0E8B">
        <w:rPr>
          <w:rFonts w:asciiTheme="minorEastAsia" w:hAnsiTheme="minorEastAsia"/>
          <w:lang w:eastAsia="ko-KR"/>
        </w:rPr>
        <w:t xml:space="preserve"> 화학적 강박을 금지하는 것은, 환자와 제3자의 안전을 방치하는 무책임한 조치라고 본다.</w:t>
      </w:r>
      <w:r w:rsidRPr="00EA0E8B">
        <w:rPr>
          <w:rFonts w:asciiTheme="minorEastAsia" w:hAnsiTheme="minorEastAsia"/>
          <w:vertAlign w:val="superscript"/>
          <w:lang w:eastAsia="ko-KR"/>
        </w:rPr>
        <w:t>9,10)</w:t>
      </w:r>
    </w:p>
    <w:p w14:paraId="68B0A8D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강박의 전면적 금지를 요구하는 인권 담론과, 예외적 허용을 주장하는 의료진의 입장을 법적, 의료윤리적 관점에서 검토하고자 한다. 특히 두 입장 중 어느 </w:t>
      </w:r>
      <w:r w:rsidRPr="00EA0E8B">
        <w:rPr>
          <w:rFonts w:asciiTheme="minorEastAsia" w:hAnsiTheme="minorEastAsia"/>
          <w:lang w:eastAsia="ko-KR"/>
        </w:rPr>
        <w:lastRenderedPageBreak/>
        <w:t>한쪽에 치우치지 않으면서, 제한적 허용의 정당화 조건과 정신건강 사전의향서(psychiatric advance directives,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통해 타협 가능성을 모색하고자 한다.</w:t>
      </w:r>
      <w:r w:rsidRPr="00EA0E8B">
        <w:rPr>
          <w:rFonts w:asciiTheme="minorEastAsia" w:hAnsiTheme="minorEastAsia"/>
          <w:vertAlign w:val="superscript"/>
          <w:lang w:eastAsia="ko-KR"/>
        </w:rPr>
        <w:t>11)</w:t>
      </w:r>
      <w:r w:rsidRPr="00EA0E8B">
        <w:rPr>
          <w:rFonts w:asciiTheme="minorEastAsia" w:hAnsiTheme="minorEastAsia"/>
          <w:lang w:eastAsia="ko-KR"/>
        </w:rPr>
        <w:t xml:space="preserve"> 이를 위해 먼저 화학적 강박의 역사와 이에 가해진 비판을 살펴보고, 국제 인권법의 절대주의적 해석과 법조계 및 의료계의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 기반한 해석의 차이를 검토한다. 이어 의료윤리학에서 널리 사용되는 규범적 틀의 하나인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 관점에서 응급상황에서 충돌하는 윤리 원칙들을 분석한 뒤, PAD가 유용한 해결책이 될 수 있는지를 논의한다.</w:t>
      </w:r>
    </w:p>
    <w:p w14:paraId="6363CC94" w14:textId="77777777" w:rsidR="008A69B1" w:rsidRDefault="008A69B1">
      <w:pPr>
        <w:rPr>
          <w:rFonts w:asciiTheme="minorEastAsia" w:hAnsiTheme="minorEastAsia" w:cstheme="majorBidi"/>
          <w:b/>
          <w:bCs/>
          <w:color w:val="0F4761" w:themeColor="accent1" w:themeShade="BF"/>
          <w:sz w:val="32"/>
          <w:szCs w:val="32"/>
          <w:lang w:eastAsia="ko-KR"/>
        </w:rPr>
      </w:pPr>
      <w:bookmarkStart w:id="3" w:name="방법"/>
      <w:bookmarkEnd w:id="2"/>
      <w:r>
        <w:rPr>
          <w:rFonts w:asciiTheme="minorEastAsia" w:hAnsiTheme="minorEastAsia"/>
          <w:b/>
          <w:bCs/>
          <w:lang w:eastAsia="ko-KR"/>
        </w:rPr>
        <w:br w:type="page"/>
      </w:r>
    </w:p>
    <w:p w14:paraId="5C4B2224" w14:textId="40ED1C4F" w:rsidR="003B3FC7" w:rsidRPr="00EA0E8B" w:rsidRDefault="00000000" w:rsidP="00EA0E8B">
      <w:pPr>
        <w:pStyle w:val="Heading2"/>
        <w:spacing w:line="480" w:lineRule="auto"/>
        <w:rPr>
          <w:rFonts w:asciiTheme="minorEastAsia" w:eastAsiaTheme="minorEastAsia" w:hAnsiTheme="minorEastAsia"/>
          <w:b/>
          <w:bCs/>
        </w:rPr>
      </w:pPr>
      <w:proofErr w:type="spellStart"/>
      <w:r w:rsidRPr="00EA0E8B">
        <w:rPr>
          <w:rFonts w:asciiTheme="minorEastAsia" w:eastAsiaTheme="minorEastAsia" w:hAnsiTheme="minorEastAsia"/>
          <w:b/>
          <w:bCs/>
        </w:rPr>
        <w:lastRenderedPageBreak/>
        <w:t>방법</w:t>
      </w:r>
      <w:proofErr w:type="spellEnd"/>
    </w:p>
    <w:p w14:paraId="4969A295" w14:textId="77777777" w:rsidR="003B3FC7" w:rsidRPr="00EA0E8B" w:rsidRDefault="00000000" w:rsidP="00EA0E8B">
      <w:pPr>
        <w:pStyle w:val="FirstParagraph"/>
        <w:spacing w:line="480" w:lineRule="auto"/>
        <w:rPr>
          <w:rFonts w:asciiTheme="minorEastAsia" w:hAnsiTheme="minorEastAsia"/>
        </w:rPr>
      </w:pPr>
      <w:r w:rsidRPr="00EA0E8B">
        <w:rPr>
          <w:rFonts w:asciiTheme="minorEastAsia" w:hAnsiTheme="minorEastAsia"/>
        </w:rPr>
        <w:t xml:space="preserve">본 연구는 서술적 </w:t>
      </w:r>
      <w:proofErr w:type="gramStart"/>
      <w:r w:rsidRPr="00EA0E8B">
        <w:rPr>
          <w:rFonts w:asciiTheme="minorEastAsia" w:hAnsiTheme="minorEastAsia"/>
        </w:rPr>
        <w:t>문헌고찰(</w:t>
      </w:r>
      <w:proofErr w:type="gramEnd"/>
      <w:r w:rsidRPr="00EA0E8B">
        <w:rPr>
          <w:rFonts w:asciiTheme="minorEastAsia" w:hAnsiTheme="minorEastAsia"/>
        </w:rPr>
        <w:t xml:space="preserve">narrative </w:t>
      </w:r>
      <w:proofErr w:type="gramStart"/>
      <w:r w:rsidRPr="00EA0E8B">
        <w:rPr>
          <w:rFonts w:asciiTheme="minorEastAsia" w:hAnsiTheme="minorEastAsia"/>
        </w:rPr>
        <w:t>review)로</w:t>
      </w:r>
      <w:proofErr w:type="gramEnd"/>
      <w:r w:rsidRPr="00EA0E8B">
        <w:rPr>
          <w:rFonts w:asciiTheme="minorEastAsia" w:hAnsiTheme="minorEastAsia"/>
        </w:rPr>
        <w:t>, 의학문헌 뿐만 아니라, 법학, 윤리학, 국제인권법, 정책문서를 포괄하는 다학제적 문헌을 검토하였다. 의학 문헌의 경우 PubMed을 이용하여, “chemical restraint”, “coercive treatment”, “psychiatric coercion”, “rapid tranquilization”, “psychiatric advance directive”, “involuntary treatment”를 핵심 검색어로 검색하였다. 다학제적 문헌은 Google Web Search와 Google Scholar를 통해 검색하였으며, 핵심 문헌의 참고문헌 추적(reference tracking)을 통해 추가 자료를 확보하였다. 다만 본 연구는 체계적 문헌고찰이 아니므로, PRISMA 가이드라인을 적용하지는 않았다.</w:t>
      </w:r>
    </w:p>
    <w:p w14:paraId="748F105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원칙적으로 2000년 이후의 문헌을 우선으로 하였으나, 화학적 강박의 역사적 맥락과 반정신의학 운동의 지적 배경을 다루기 위해 관련 고전 문헌을 포함하였다. 언어는 영어로 발표된 문헌을 주로 검색하였으나, 국내 관련 제도 및 한국 정신보건 현황에 관한 논의를 위해 한국어 자료도 포함하였다. 국제법 및 정책 자료를 포괄하기 위해, 유엔(UN) 공식 문서 데이터베이스(UN Digital Library)</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별도로 검색하였다. 국내외 </w:t>
      </w:r>
      <w:r w:rsidRPr="00EA0E8B">
        <w:rPr>
          <w:rFonts w:asciiTheme="minorEastAsia" w:hAnsiTheme="minorEastAsia"/>
          <w:lang w:eastAsia="ko-KR"/>
        </w:rPr>
        <w:lastRenderedPageBreak/>
        <w:t xml:space="preserve">법원 판례와 각국의 </w:t>
      </w:r>
      <w:proofErr w:type="spellStart"/>
      <w:r w:rsidRPr="00EA0E8B">
        <w:rPr>
          <w:rFonts w:asciiTheme="minorEastAsia" w:hAnsiTheme="minorEastAsia"/>
          <w:lang w:eastAsia="ko-KR"/>
        </w:rPr>
        <w:t>입법례는</w:t>
      </w:r>
      <w:proofErr w:type="spellEnd"/>
      <w:r w:rsidRPr="00EA0E8B">
        <w:rPr>
          <w:rFonts w:asciiTheme="minorEastAsia" w:hAnsiTheme="minorEastAsia"/>
          <w:lang w:eastAsia="ko-KR"/>
        </w:rPr>
        <w:t xml:space="preserve"> 공식 법령 텍스트 또는 법학 문헌의 2차 해설을 통해 검토하였다. 실무 지침서의 경우 미국 보건복지부 산하 약물남용 및 정신건강 서비스국(SAMHSA)의 공식 간행물 등 정부 기관 발행 문서를 포함하였다.</w:t>
      </w:r>
    </w:p>
    <w:p w14:paraId="2F7378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문헌 분석은 주제 종합(thematic synthesis) 방식으로 수행하였다. 검색된 문헌들을 주제별로 분류하고, 각 주제 내에서 논쟁 구조와 갈등 영역을 확인하였으며, 이를 바탕으로 화학적 강박의 제한적 허용 조건과 PAD의 역할을 논증하는 분석 틀을 구성하였다.</w:t>
      </w:r>
    </w:p>
    <w:p w14:paraId="156E7C84" w14:textId="77777777" w:rsidR="008A69B1" w:rsidRDefault="008A69B1">
      <w:pPr>
        <w:rPr>
          <w:rFonts w:asciiTheme="minorEastAsia" w:hAnsiTheme="minorEastAsia" w:cstheme="majorBidi"/>
          <w:b/>
          <w:bCs/>
          <w:color w:val="0F4761" w:themeColor="accent1" w:themeShade="BF"/>
          <w:sz w:val="32"/>
          <w:szCs w:val="32"/>
          <w:lang w:eastAsia="ko-KR"/>
        </w:rPr>
      </w:pPr>
      <w:bookmarkStart w:id="4" w:name="화학적-강박"/>
      <w:bookmarkEnd w:id="3"/>
      <w:r>
        <w:rPr>
          <w:rFonts w:asciiTheme="minorEastAsia" w:hAnsiTheme="minorEastAsia"/>
          <w:b/>
          <w:bCs/>
          <w:lang w:eastAsia="ko-KR"/>
        </w:rPr>
        <w:br w:type="page"/>
      </w:r>
    </w:p>
    <w:p w14:paraId="7BDA3A58" w14:textId="06AC275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w:t>
      </w:r>
    </w:p>
    <w:p w14:paraId="7DFD3A2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미국의 메디케어 및 메디케이드 서비스 지침에 따르면, 화학적 강박은 “환자 상태에 맞는 표준적인 치료나 용량이 아니면서, 환자의 행동을 관리하거나 이동의 자유를 제한하기 위해 사용되는 약물 또는 투약”</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정의된다.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 정의는 세 가지 축을 포함한다. 첫째, 약물의 종류나 용량이 환자 상태에 적합한 표준 치료인지 여부, 둘째, 투여 방식이 의학적으로 정당화되는지 여부, 셋째, 투약의 주된 목적이 치료인지 행동 통제 또는 자유 제한인지 여부이다.</w:t>
      </w:r>
    </w:p>
    <w:p w14:paraId="76ACD17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이러한 정의는 화학적 강박의 남용을 예방하는 데는 유용할 수 있지만, 정신과 응급상황에 적용하기에는 모호한 면이 있다. 화학적 강박은 증상 완화, 위험 해소, 치료 환경 안정화라는 목적을 동시에 달성할 수 있다.</w:t>
      </w:r>
      <w:r w:rsidRPr="00EA0E8B">
        <w:rPr>
          <w:rFonts w:asciiTheme="minorEastAsia" w:hAnsiTheme="minorEastAsia"/>
          <w:vertAlign w:val="superscript"/>
          <w:lang w:eastAsia="ko-KR"/>
        </w:rPr>
        <w:t>13)</w:t>
      </w:r>
      <w:r w:rsidRPr="00EA0E8B">
        <w:rPr>
          <w:rFonts w:asciiTheme="minorEastAsia" w:hAnsiTheme="minorEastAsia"/>
          <w:lang w:eastAsia="ko-KR"/>
        </w:rPr>
        <w:t xml:space="preserve"> </w:t>
      </w:r>
      <w:proofErr w:type="spellStart"/>
      <w:r w:rsidRPr="00EA0E8B">
        <w:rPr>
          <w:rFonts w:asciiTheme="minorEastAsia" w:hAnsiTheme="minorEastAsia"/>
          <w:lang w:eastAsia="ko-KR"/>
        </w:rPr>
        <w:t>Hupé</w:t>
      </w:r>
      <w:proofErr w:type="spellEnd"/>
      <w:r w:rsidRPr="00EA0E8B">
        <w:rPr>
          <w:rFonts w:asciiTheme="minorEastAsia" w:hAnsiTheme="minorEastAsia"/>
          <w:lang w:eastAsia="ko-KR"/>
        </w:rPr>
        <w:t xml:space="preserve"> 등(</w:t>
      </w:r>
      <w:r w:rsidRPr="00EA0E8B">
        <w:rPr>
          <w:rFonts w:asciiTheme="minorEastAsia" w:hAnsiTheme="minorEastAsia"/>
          <w:vertAlign w:val="superscript"/>
          <w:lang w:eastAsia="ko-KR"/>
        </w:rPr>
        <w:t>6)</w:t>
      </w:r>
      <w:r w:rsidRPr="00EA0E8B">
        <w:rPr>
          <w:rFonts w:asciiTheme="minorEastAsia" w:hAnsiTheme="minorEastAsia"/>
          <w:lang w:eastAsia="ko-KR"/>
        </w:rPr>
        <w:t>)은 화학적 강박에 대한 공통된 정의가 없는 현상황이, 유병률 추정, 질 평가, 규제 정책 수립을 근본적으로 저해한다고 지적하였다. Muluneh 등(</w:t>
      </w:r>
      <w:r w:rsidRPr="00EA0E8B">
        <w:rPr>
          <w:rFonts w:asciiTheme="minorEastAsia" w:hAnsiTheme="minorEastAsia"/>
          <w:vertAlign w:val="superscript"/>
          <w:lang w:eastAsia="ko-KR"/>
        </w:rPr>
        <w:t>13)</w:t>
      </w:r>
      <w:r w:rsidRPr="00EA0E8B">
        <w:rPr>
          <w:rFonts w:asciiTheme="minorEastAsia" w:hAnsiTheme="minorEastAsia"/>
          <w:lang w:eastAsia="ko-KR"/>
        </w:rPr>
        <w:t>) 역시 화학적 강박을 정의하고자 하였던 문헌들을 검토한 뒤, 제시된 정의들 사이에 상당한 개념적 이질성이 발견된다고 하였다.</w:t>
      </w:r>
    </w:p>
    <w:p w14:paraId="5EEDBB3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5" w:name="초기-역사"/>
      <w:r w:rsidRPr="00EA0E8B">
        <w:rPr>
          <w:rFonts w:asciiTheme="minorEastAsia" w:eastAsiaTheme="minorEastAsia" w:hAnsiTheme="minorEastAsia"/>
          <w:lang w:eastAsia="ko-KR"/>
        </w:rPr>
        <w:lastRenderedPageBreak/>
        <w:t>초기 역사</w:t>
      </w:r>
    </w:p>
    <w:p w14:paraId="613340B5" w14:textId="4D63C63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항정신병 약물이 등장하기 전에는 아편이나 모르핀 같은 중독성 물질뿐 아니라 장뇌(camphor), 브롬화물(bromide), </w:t>
      </w:r>
      <w:proofErr w:type="spellStart"/>
      <w:r w:rsidRPr="00EA0E8B">
        <w:rPr>
          <w:rFonts w:asciiTheme="minorEastAsia" w:hAnsiTheme="minorEastAsia"/>
          <w:lang w:eastAsia="ko-KR"/>
        </w:rPr>
        <w:t>하이오신</w:t>
      </w:r>
      <w:proofErr w:type="spellEnd"/>
      <w:r w:rsidRPr="00EA0E8B">
        <w:rPr>
          <w:rFonts w:asciiTheme="minorEastAsia" w:hAnsiTheme="minorEastAsia"/>
          <w:lang w:eastAsia="ko-KR"/>
        </w:rPr>
        <w:t xml:space="preserve">(hyoscine), </w:t>
      </w:r>
      <w:proofErr w:type="spellStart"/>
      <w:r w:rsidRPr="00EA0E8B">
        <w:rPr>
          <w:rFonts w:asciiTheme="minorEastAsia" w:hAnsiTheme="minorEastAsia"/>
          <w:lang w:eastAsia="ko-KR"/>
        </w:rPr>
        <w:t>파랄데히드</w:t>
      </w:r>
      <w:proofErr w:type="spellEnd"/>
      <w:r w:rsidRPr="00EA0E8B">
        <w:rPr>
          <w:rFonts w:asciiTheme="minorEastAsia" w:hAnsiTheme="minorEastAsia"/>
          <w:lang w:eastAsia="ko-KR"/>
        </w:rPr>
        <w:t xml:space="preserve">(paraldehyde) 등이 진정과 행동 통제를 위해 사용되었다. 19세기 중반 </w:t>
      </w:r>
      <w:proofErr w:type="spellStart"/>
      <w:r w:rsidRPr="00EA0E8B">
        <w:rPr>
          <w:rFonts w:asciiTheme="minorEastAsia" w:hAnsiTheme="minorEastAsia"/>
          <w:lang w:eastAsia="ko-KR"/>
        </w:rPr>
        <w:t>클로랄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하이드레이트</w:t>
      </w:r>
      <w:proofErr w:type="spellEnd"/>
      <w:r w:rsidRPr="00EA0E8B">
        <w:rPr>
          <w:rFonts w:asciiTheme="minorEastAsia" w:hAnsiTheme="minorEastAsia"/>
          <w:lang w:eastAsia="ko-KR"/>
        </w:rPr>
        <w:t xml:space="preserve">(chloral hydrate), 20세기 초 </w:t>
      </w:r>
      <w:proofErr w:type="spellStart"/>
      <w:r w:rsidRPr="00EA0E8B">
        <w:rPr>
          <w:rFonts w:asciiTheme="minorEastAsia" w:hAnsiTheme="minorEastAsia"/>
          <w:lang w:eastAsia="ko-KR"/>
        </w:rPr>
        <w:t>바르비투르염</w:t>
      </w:r>
      <w:proofErr w:type="spellEnd"/>
      <w:r w:rsidRPr="00EA0E8B">
        <w:rPr>
          <w:rFonts w:asciiTheme="minorEastAsia" w:hAnsiTheme="minorEastAsia"/>
          <w:lang w:eastAsia="ko-KR"/>
        </w:rPr>
        <w:t xml:space="preserve">(barbiturates)과 </w:t>
      </w:r>
      <w:proofErr w:type="spellStart"/>
      <w:r w:rsidRPr="00EA0E8B">
        <w:rPr>
          <w:rFonts w:asciiTheme="minorEastAsia" w:hAnsiTheme="minorEastAsia"/>
          <w:lang w:eastAsia="ko-KR"/>
        </w:rPr>
        <w:t>페노바르비탈</w:t>
      </w:r>
      <w:proofErr w:type="spellEnd"/>
      <w:r w:rsidRPr="00EA0E8B">
        <w:rPr>
          <w:rFonts w:asciiTheme="minorEastAsia" w:hAnsiTheme="minorEastAsia"/>
          <w:lang w:eastAsia="ko-KR"/>
        </w:rPr>
        <w:t>(phenobarbital)이 개발된 이후에는 이들 진정제가 동일한 목적으로 널리 사용되었다.</w:t>
      </w:r>
      <w:r w:rsidRPr="00EA0E8B">
        <w:rPr>
          <w:rFonts w:asciiTheme="minorEastAsia" w:hAnsiTheme="minorEastAsia"/>
          <w:vertAlign w:val="superscript"/>
          <w:lang w:eastAsia="ko-KR"/>
        </w:rPr>
        <w:t>14)</w:t>
      </w:r>
      <w:r w:rsidRPr="00EA0E8B">
        <w:rPr>
          <w:rFonts w:asciiTheme="minorEastAsia" w:hAnsiTheme="minorEastAsia"/>
          <w:lang w:eastAsia="ko-KR"/>
        </w:rPr>
        <w:t xml:space="preserve"> 그러나 이들 약물은 치료 지수(therapeutic index)가 낮아 심각한 부작용과 생명 위협을 초래할 수 있었다.</w:t>
      </w:r>
      <w:r w:rsidRPr="00EA0E8B">
        <w:rPr>
          <w:rFonts w:asciiTheme="minorEastAsia" w:hAnsiTheme="minorEastAsia"/>
          <w:vertAlign w:val="superscript"/>
          <w:lang w:eastAsia="ko-KR"/>
        </w:rPr>
        <w:t>15)</w:t>
      </w:r>
    </w:p>
    <w:p w14:paraId="06464DE7" w14:textId="5EEEAEE4"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1950년대 항정신병 약물이 도입되면서 약물 사용이 상대적으로 </w:t>
      </w:r>
      <w:proofErr w:type="spellStart"/>
      <w:r w:rsidRPr="00EA0E8B">
        <w:rPr>
          <w:rFonts w:asciiTheme="minorEastAsia" w:hAnsiTheme="minorEastAsia"/>
          <w:lang w:eastAsia="ko-KR"/>
        </w:rPr>
        <w:t>안전해졌고</w:t>
      </w:r>
      <w:proofErr w:type="spellEnd"/>
      <w:r w:rsidRPr="00EA0E8B">
        <w:rPr>
          <w:rFonts w:asciiTheme="minorEastAsia" w:hAnsiTheme="minorEastAsia"/>
          <w:lang w:eastAsia="ko-KR"/>
        </w:rPr>
        <w:t>, 정신과 치료에 상존하던 물리적 구속을 일부 대체할 수 있게 되었다. 그러나 더 안전한 약물이 도입되었다고 해서 윤리적 논란이 사라진 것은 아니었다. 1960–70년대에 들어 반정신의학 및 환자권리운동의 영향으로 정신장애인의 인권에 대한 사회적 인식이 커졌고, 이는 비자의적 입원과 강압적 치료를 법적으로 제한하려는 흐름으로 이어졌다.</w:t>
      </w:r>
      <w:r w:rsidRPr="00EA0E8B">
        <w:rPr>
          <w:rFonts w:asciiTheme="minorEastAsia" w:hAnsiTheme="minorEastAsia"/>
          <w:vertAlign w:val="superscript"/>
          <w:lang w:eastAsia="ko-KR"/>
        </w:rPr>
        <w:t>16)</w:t>
      </w:r>
    </w:p>
    <w:p w14:paraId="52274AD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6" w:name="급속-진정과-화학적-강박"/>
      <w:bookmarkEnd w:id="5"/>
      <w:r w:rsidRPr="00EA0E8B">
        <w:rPr>
          <w:rFonts w:asciiTheme="minorEastAsia" w:eastAsiaTheme="minorEastAsia" w:hAnsiTheme="minorEastAsia"/>
          <w:lang w:eastAsia="ko-KR"/>
        </w:rPr>
        <w:lastRenderedPageBreak/>
        <w:t>급속 진정과 화학적 강박</w:t>
      </w:r>
    </w:p>
    <w:p w14:paraId="486F1596" w14:textId="0A1C67D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“급속 진정(rapid tranquilization)”은 실질적으로 화학적 강박과 동일한 절차를 가리키지만, 용어가 주는 어감은 큰 차이가 있다.</w:t>
      </w:r>
      <w:r w:rsidRPr="00EA0E8B">
        <w:rPr>
          <w:rFonts w:asciiTheme="minorEastAsia" w:hAnsiTheme="minorEastAsia"/>
          <w:vertAlign w:val="superscript"/>
          <w:lang w:eastAsia="ko-KR"/>
        </w:rPr>
        <w:t>17)</w:t>
      </w:r>
      <w:r w:rsidRPr="00EA0E8B">
        <w:rPr>
          <w:rFonts w:asciiTheme="minorEastAsia" w:hAnsiTheme="minorEastAsia"/>
          <w:lang w:eastAsia="ko-KR"/>
        </w:rPr>
        <w:t xml:space="preserve"> 전자는 의료적 목적과 선의를 강조하지만, 후자는 의도와는 다르게 기본권 제한과 자율성 침해 측면을 부각시킨다. “급속 진정”이라는 용어는 1971년 Polak과 </w:t>
      </w:r>
      <w:proofErr w:type="spellStart"/>
      <w:r w:rsidRPr="00EA0E8B">
        <w:rPr>
          <w:rFonts w:asciiTheme="minorEastAsia" w:hAnsiTheme="minorEastAsia"/>
          <w:lang w:eastAsia="ko-KR"/>
        </w:rPr>
        <w:t>Laycob</w:t>
      </w:r>
      <w:proofErr w:type="spellEnd"/>
      <w:r w:rsidRPr="00EA0E8B">
        <w:rPr>
          <w:rFonts w:asciiTheme="minorEastAsia" w:hAnsiTheme="minorEastAsia"/>
          <w:lang w:eastAsia="ko-KR"/>
        </w:rPr>
        <w:t xml:space="preserve">이 급성 조현병 환자에게 </w:t>
      </w:r>
      <w:proofErr w:type="spellStart"/>
      <w:r w:rsidRPr="00EA0E8B">
        <w:rPr>
          <w:rFonts w:asciiTheme="minorEastAsia" w:hAnsiTheme="minorEastAsia"/>
          <w:lang w:eastAsia="ko-KR"/>
        </w:rPr>
        <w:t>클로르프로마진을</w:t>
      </w:r>
      <w:proofErr w:type="spellEnd"/>
      <w:r w:rsidRPr="00EA0E8B">
        <w:rPr>
          <w:rFonts w:asciiTheme="minorEastAsia" w:hAnsiTheme="minorEastAsia"/>
          <w:lang w:eastAsia="ko-KR"/>
        </w:rPr>
        <w:t xml:space="preserve"> 고용량으로 투여하여 6시간 만에 진정시킨 사례를 보고한 데서 비롯되었다.</w:t>
      </w:r>
      <w:r w:rsidRPr="00EA0E8B">
        <w:rPr>
          <w:rFonts w:asciiTheme="minorEastAsia" w:hAnsiTheme="minorEastAsia"/>
          <w:vertAlign w:val="superscript"/>
          <w:lang w:eastAsia="ko-KR"/>
        </w:rPr>
        <w:t>18)</w:t>
      </w:r>
      <w:r w:rsidRPr="00EA0E8B">
        <w:rPr>
          <w:rFonts w:asciiTheme="minorEastAsia" w:hAnsiTheme="minorEastAsia"/>
          <w:lang w:eastAsia="ko-KR"/>
        </w:rPr>
        <w:t xml:space="preserve"> 이후 이 진정 효과가 </w:t>
      </w:r>
      <w:proofErr w:type="spellStart"/>
      <w:r w:rsidRPr="00EA0E8B">
        <w:rPr>
          <w:rFonts w:asciiTheme="minorEastAsia" w:hAnsiTheme="minorEastAsia"/>
          <w:lang w:eastAsia="ko-KR"/>
        </w:rPr>
        <w:t>항도파민</w:t>
      </w:r>
      <w:proofErr w:type="spellEnd"/>
      <w:r w:rsidRPr="00EA0E8B">
        <w:rPr>
          <w:rFonts w:asciiTheme="minorEastAsia" w:hAnsiTheme="minorEastAsia"/>
          <w:lang w:eastAsia="ko-KR"/>
        </w:rPr>
        <w:t xml:space="preserve"> 효과를 통해 발휘된 것인지, 그저 약물의 </w:t>
      </w:r>
      <w:proofErr w:type="spellStart"/>
      <w:r w:rsidRPr="00EA0E8B">
        <w:rPr>
          <w:rFonts w:asciiTheme="minorEastAsia" w:hAnsiTheme="minorEastAsia"/>
          <w:lang w:eastAsia="ko-KR"/>
        </w:rPr>
        <w:t>비특이적</w:t>
      </w:r>
      <w:proofErr w:type="spellEnd"/>
      <w:r w:rsidRPr="00EA0E8B">
        <w:rPr>
          <w:rFonts w:asciiTheme="minorEastAsia" w:hAnsiTheme="minorEastAsia"/>
          <w:lang w:eastAsia="ko-KR"/>
        </w:rPr>
        <w:t xml:space="preserve"> 진정 작용에 불과한지에 대한 논쟁이 지속되었다.</w:t>
      </w:r>
      <w:r w:rsidRPr="00EA0E8B">
        <w:rPr>
          <w:rFonts w:asciiTheme="minorEastAsia" w:hAnsiTheme="minorEastAsia"/>
          <w:vertAlign w:val="superscript"/>
          <w:lang w:eastAsia="ko-KR"/>
        </w:rPr>
        <w:t>7)</w:t>
      </w:r>
      <w:r w:rsidRPr="00EA0E8B">
        <w:rPr>
          <w:rFonts w:asciiTheme="minorEastAsia" w:hAnsiTheme="minorEastAsia"/>
          <w:lang w:eastAsia="ko-KR"/>
        </w:rPr>
        <w:t xml:space="preserve"> 일부 학자들은 그저 “화학적인 </w:t>
      </w:r>
      <w:proofErr w:type="spellStart"/>
      <w:r w:rsidRPr="00EA0E8B">
        <w:rPr>
          <w:rFonts w:asciiTheme="minorEastAsia" w:hAnsiTheme="minorEastAsia"/>
          <w:lang w:eastAsia="ko-KR"/>
        </w:rPr>
        <w:t>구속복</w:t>
      </w:r>
      <w:proofErr w:type="spellEnd"/>
      <w:r w:rsidRPr="00EA0E8B">
        <w:rPr>
          <w:rFonts w:asciiTheme="minorEastAsia" w:hAnsiTheme="minorEastAsia"/>
          <w:lang w:eastAsia="ko-KR"/>
        </w:rPr>
        <w:t>(chemical straightjackets)”</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묘사하면서 윤리적으로 민감한 부분을 건드렸다.</w:t>
      </w:r>
      <w:r w:rsidRPr="00EA0E8B">
        <w:rPr>
          <w:rFonts w:asciiTheme="minorEastAsia" w:hAnsiTheme="minorEastAsia"/>
          <w:vertAlign w:val="superscript"/>
          <w:lang w:eastAsia="ko-KR"/>
        </w:rPr>
        <w:t>19)</w:t>
      </w:r>
      <w:r w:rsidRPr="00EA0E8B">
        <w:rPr>
          <w:rFonts w:asciiTheme="minorEastAsia" w:hAnsiTheme="minorEastAsia"/>
          <w:lang w:eastAsia="ko-KR"/>
        </w:rPr>
        <w:t xml:space="preserve"> 급속 진정과 화학적 강박이라는 용어는 현재도 임상 문헌에서 공존하지만, 각각의 용어 선택은 화자가 이 개입을 치료적 진정으로 보는지, 아니면 자유 제한과 행동 통제로 보는지를 드러낸다.</w:t>
      </w:r>
      <w:r w:rsidRPr="00EA0E8B">
        <w:rPr>
          <w:rFonts w:asciiTheme="minorEastAsia" w:hAnsiTheme="minorEastAsia"/>
          <w:vertAlign w:val="superscript"/>
          <w:lang w:eastAsia="ko-KR"/>
        </w:rPr>
        <w:t>17)</w:t>
      </w:r>
    </w:p>
    <w:p w14:paraId="689C028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7" w:name="물리적-강박을-대신하는-수단"/>
      <w:bookmarkEnd w:id="6"/>
      <w:r w:rsidRPr="00EA0E8B">
        <w:rPr>
          <w:rFonts w:asciiTheme="minorEastAsia" w:eastAsiaTheme="minorEastAsia" w:hAnsiTheme="minorEastAsia"/>
          <w:lang w:eastAsia="ko-KR"/>
        </w:rPr>
        <w:lastRenderedPageBreak/>
        <w:t>물리적 강박을 대신하는 수단</w:t>
      </w:r>
    </w:p>
    <w:p w14:paraId="441978C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물리적 강박은 오랜 역사를 지녔고 현재도 드물지 않게 사용되는 정신의학적 개입이지만, 인권침해 요소를 지닌다는 것을 부인할 수 없다. 환자에게 심리적 외상을 남길 수 있을 뿐더러</w:t>
      </w:r>
      <w:r w:rsidRPr="00EA0E8B">
        <w:rPr>
          <w:rFonts w:asciiTheme="minorEastAsia" w:hAnsiTheme="minorEastAsia"/>
          <w:vertAlign w:val="superscript"/>
          <w:lang w:eastAsia="ko-KR"/>
        </w:rPr>
        <w:t>20)</w:t>
      </w:r>
      <w:r w:rsidRPr="00EA0E8B">
        <w:rPr>
          <w:rFonts w:asciiTheme="minorEastAsia" w:hAnsiTheme="minorEastAsia"/>
          <w:lang w:eastAsia="ko-KR"/>
        </w:rPr>
        <w:t xml:space="preserve">, 경우에 따라 심부정맥 </w:t>
      </w:r>
      <w:proofErr w:type="spellStart"/>
      <w:r w:rsidRPr="00EA0E8B">
        <w:rPr>
          <w:rFonts w:asciiTheme="minorEastAsia" w:hAnsiTheme="minorEastAsia"/>
          <w:lang w:eastAsia="ko-KR"/>
        </w:rPr>
        <w:t>혈전증</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폐색전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횡문근융해증</w:t>
      </w:r>
      <w:proofErr w:type="spellEnd"/>
      <w:r w:rsidRPr="00EA0E8B">
        <w:rPr>
          <w:rFonts w:asciiTheme="minorEastAsia" w:hAnsiTheme="minorEastAsia"/>
          <w:lang w:eastAsia="ko-KR"/>
        </w:rPr>
        <w:t xml:space="preserve"> 등 심각한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동반할 수 있다.</w:t>
      </w:r>
      <w:r w:rsidRPr="00EA0E8B">
        <w:rPr>
          <w:rFonts w:asciiTheme="minorEastAsia" w:hAnsiTheme="minorEastAsia"/>
          <w:vertAlign w:val="superscript"/>
          <w:lang w:eastAsia="ko-KR"/>
        </w:rPr>
        <w:t>21)</w:t>
      </w:r>
      <w:r w:rsidRPr="00EA0E8B">
        <w:rPr>
          <w:rFonts w:asciiTheme="minorEastAsia" w:hAnsiTheme="minorEastAsia"/>
          <w:lang w:eastAsia="ko-KR"/>
        </w:rPr>
        <w:t xml:space="preserve"> 이러한 이유로 현대의 의료진들은 물리적 강박을 가급적 피하려는 경향을 보인다.</w:t>
      </w:r>
      <w:r w:rsidRPr="00EA0E8B">
        <w:rPr>
          <w:rFonts w:asciiTheme="minorEastAsia" w:hAnsiTheme="minorEastAsia"/>
          <w:vertAlign w:val="superscript"/>
          <w:lang w:eastAsia="ko-KR"/>
        </w:rPr>
        <w:t>22)</w:t>
      </w:r>
    </w:p>
    <w:p w14:paraId="203BBA5F"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이런 시대적 변화에 맞물려 화학적 강박은 물리적 강박보다 덜 침습적이고, 덜 강압적인 대안으로 인식되었다. Georgieva 등</w:t>
      </w:r>
      <w:r w:rsidRPr="00EA0E8B">
        <w:rPr>
          <w:rFonts w:asciiTheme="minorEastAsia" w:hAnsiTheme="minorEastAsia"/>
          <w:vertAlign w:val="superscript"/>
          <w:lang w:eastAsia="ko-KR"/>
        </w:rPr>
        <w:t>23)</w:t>
      </w:r>
      <w:r w:rsidRPr="00EA0E8B">
        <w:rPr>
          <w:rFonts w:asciiTheme="minorEastAsia" w:hAnsiTheme="minorEastAsia"/>
          <w:lang w:eastAsia="ko-KR"/>
        </w:rPr>
        <w:t>의 연구에 따르면 환자들은 격리/강박보다는 비자발적 투약을 덜 부정적으로 평가하였다. 그러나 환자들이 선호했다고 해서 윤리적 문제가 없어지는 것은 아니다. 물리적 강박 대신 화학적 강박을 했으니 더 윤리적이라는 뜻이 아니라, 화학적 강박 자체의 정당화 조건을 만족시켜야 한다.</w:t>
      </w:r>
      <w:r w:rsidRPr="00EA0E8B">
        <w:rPr>
          <w:rFonts w:asciiTheme="minorEastAsia" w:hAnsiTheme="minorEastAsia"/>
          <w:vertAlign w:val="superscript"/>
          <w:lang w:eastAsia="ko-KR"/>
        </w:rPr>
        <w:t>24,25)</w:t>
      </w:r>
    </w:p>
    <w:p w14:paraId="2E6991F3"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8" w:name="인권-담론에서의-비판"/>
      <w:bookmarkEnd w:id="7"/>
      <w:r w:rsidRPr="00EA0E8B">
        <w:rPr>
          <w:rFonts w:asciiTheme="minorEastAsia" w:eastAsiaTheme="minorEastAsia" w:hAnsiTheme="minorEastAsia"/>
          <w:lang w:eastAsia="ko-KR"/>
        </w:rPr>
        <w:t>인권 담론에서의 비판</w:t>
      </w:r>
    </w:p>
    <w:p w14:paraId="2310DD0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1960-70년대에 R.D. Laing과 Thomas Szasz 등의 사상을 바탕으로 등장한 반정신의학(antipsychiatry)은 정신의학이 인간 삶의 고통과 일탈을 과도하게 의학적 </w:t>
      </w:r>
      <w:r w:rsidRPr="00EA0E8B">
        <w:rPr>
          <w:rFonts w:asciiTheme="minorEastAsia" w:hAnsiTheme="minorEastAsia"/>
          <w:lang w:eastAsia="ko-KR"/>
        </w:rPr>
        <w:lastRenderedPageBreak/>
        <w:t>병리로 환원한다고 비판했다.</w:t>
      </w:r>
      <w:r w:rsidRPr="00EA0E8B">
        <w:rPr>
          <w:rFonts w:asciiTheme="minorEastAsia" w:hAnsiTheme="minorEastAsia"/>
          <w:vertAlign w:val="superscript"/>
          <w:lang w:eastAsia="ko-KR"/>
        </w:rPr>
        <w:t>19,26)</w:t>
      </w:r>
      <w:r w:rsidRPr="00EA0E8B">
        <w:rPr>
          <w:rFonts w:asciiTheme="minorEastAsia" w:hAnsiTheme="minorEastAsia"/>
          <w:lang w:eastAsia="ko-KR"/>
        </w:rPr>
        <w:t xml:space="preserve"> 역사적으로 정신질환자 수용소는 치료 기관이면서 동시에 사회적 위험을 관리하는 제도적 공간으로 기능해 왔다. 비판가들은 이러한 어두운 역사를 바탕으로, 정신과적 개입을 치료가 아니라 사회 통제의 한 형태라고 주장하였다.</w:t>
      </w:r>
      <w:r w:rsidRPr="00EA0E8B">
        <w:rPr>
          <w:rFonts w:asciiTheme="minorEastAsia" w:hAnsiTheme="minorEastAsia"/>
          <w:vertAlign w:val="superscript"/>
          <w:lang w:eastAsia="ko-KR"/>
        </w:rPr>
        <w:t>27,28)</w:t>
      </w:r>
      <w:r w:rsidRPr="00EA0E8B">
        <w:rPr>
          <w:rFonts w:asciiTheme="minorEastAsia" w:hAnsiTheme="minorEastAsia"/>
          <w:lang w:eastAsia="ko-KR"/>
        </w:rPr>
        <w:t xml:space="preserve"> 동시에 미국의 시민권 운동은 환자의 권리수호 논의에 영향을 미쳤고, 이론가들은 정신장애인 역시 치료 거부권을 포함하여 다른 시민들과 동등한 권리를 누리고 보호받아야 한다고 강조하였다.</w:t>
      </w:r>
      <w:r w:rsidRPr="00EA0E8B">
        <w:rPr>
          <w:rFonts w:asciiTheme="minorEastAsia" w:hAnsiTheme="minorEastAsia"/>
          <w:vertAlign w:val="superscript"/>
          <w:lang w:eastAsia="ko-KR"/>
        </w:rPr>
        <w:t>29)</w:t>
      </w:r>
      <w:r w:rsidRPr="00EA0E8B">
        <w:rPr>
          <w:rFonts w:asciiTheme="minorEastAsia" w:hAnsiTheme="minorEastAsia"/>
          <w:lang w:eastAsia="ko-KR"/>
        </w:rPr>
        <w:t xml:space="preserve"> 이러한 관점은 의학에서 전통적으로 받아들여지던 온정적 간섭주의에 도전했으며, 환자가 동의하지 않는 모든 정신과적 개입을 윤리적, 법적 검토의 대상으로 만들었다.</w:t>
      </w:r>
      <w:r w:rsidRPr="00EA0E8B">
        <w:rPr>
          <w:rFonts w:asciiTheme="minorEastAsia" w:hAnsiTheme="minorEastAsia"/>
          <w:vertAlign w:val="superscript"/>
          <w:lang w:eastAsia="ko-KR"/>
        </w:rPr>
        <w:t>30)</w:t>
      </w:r>
    </w:p>
    <w:p w14:paraId="58FC803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1970년대와 1980년대의 몇몇 판례들은 정신과 진료 환경에서 치료를 거부할 권리를 확립하는 데 기여했다. 예를 들어, 미국의 Rogers v. Okin 사건은 강제 </w:t>
      </w:r>
      <w:proofErr w:type="spellStart"/>
      <w:r w:rsidRPr="00EA0E8B">
        <w:rPr>
          <w:rFonts w:asciiTheme="minorEastAsia" w:hAnsiTheme="minorEastAsia"/>
          <w:lang w:eastAsia="ko-KR"/>
        </w:rPr>
        <w:t>입원된</w:t>
      </w:r>
      <w:proofErr w:type="spellEnd"/>
      <w:r w:rsidRPr="00EA0E8B">
        <w:rPr>
          <w:rFonts w:asciiTheme="minorEastAsia" w:hAnsiTheme="minorEastAsia"/>
          <w:lang w:eastAsia="ko-KR"/>
        </w:rPr>
        <w:t xml:space="preserve"> 환자라도 치료를 거부할 권리가 있다는 판결이 </w:t>
      </w:r>
      <w:proofErr w:type="spellStart"/>
      <w:r w:rsidRPr="00EA0E8B">
        <w:rPr>
          <w:rFonts w:asciiTheme="minorEastAsia" w:hAnsiTheme="minorEastAsia"/>
          <w:lang w:eastAsia="ko-KR"/>
        </w:rPr>
        <w:t>내려젔다</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31)</w:t>
      </w:r>
      <w:r w:rsidRPr="00EA0E8B">
        <w:rPr>
          <w:rFonts w:asciiTheme="minorEastAsia" w:hAnsiTheme="minorEastAsia"/>
          <w:lang w:eastAsia="ko-KR"/>
        </w:rPr>
        <w:t xml:space="preserve"> 이와는 성격이 좀 다르지만, 1986년 미국 </w:t>
      </w:r>
      <w:proofErr w:type="spellStart"/>
      <w:r w:rsidRPr="00EA0E8B">
        <w:rPr>
          <w:rFonts w:asciiTheme="minorEastAsia" w:hAnsiTheme="minorEastAsia"/>
          <w:lang w:eastAsia="ko-KR"/>
        </w:rPr>
        <w:t>의학한림원</w:t>
      </w:r>
      <w:proofErr w:type="spellEnd"/>
      <w:r w:rsidRPr="00EA0E8B">
        <w:rPr>
          <w:rFonts w:asciiTheme="minorEastAsia" w:hAnsiTheme="minorEastAsia"/>
          <w:lang w:eastAsia="ko-KR"/>
        </w:rPr>
        <w:t>(Institute of Medicine)은 많은 노인 장기요양시설들이 치료 목적이 아닌 “의료진의 편의”</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위해 과도한 진정제와 항정신병 약물을 사용하고 있다고 지적하였다.</w:t>
      </w:r>
      <w:r w:rsidRPr="00EA0E8B">
        <w:rPr>
          <w:rFonts w:asciiTheme="minorEastAsia" w:hAnsiTheme="minorEastAsia"/>
          <w:vertAlign w:val="superscript"/>
          <w:lang w:eastAsia="ko-KR"/>
        </w:rPr>
        <w:t>32)</w:t>
      </w:r>
      <w:r w:rsidRPr="00EA0E8B">
        <w:rPr>
          <w:rFonts w:asciiTheme="minorEastAsia" w:hAnsiTheme="minorEastAsia"/>
          <w:lang w:eastAsia="ko-KR"/>
        </w:rPr>
        <w:t xml:space="preserve"> 이듬해 제정된 요양원 개혁법(Nursing Home Reform Act)은 “환자의 </w:t>
      </w:r>
      <w:r w:rsidRPr="00EA0E8B">
        <w:rPr>
          <w:rFonts w:asciiTheme="minorEastAsia" w:hAnsiTheme="minorEastAsia"/>
          <w:lang w:eastAsia="ko-KR"/>
        </w:rPr>
        <w:lastRenderedPageBreak/>
        <w:t>증상을 치료하기 위해서가 아니라, 징벌이나 직원의 편의를 위해 사용되는 약물”을 화학적 강박으로 정의하고 이를 엄격히 금지하였다.</w:t>
      </w:r>
      <w:r w:rsidRPr="00EA0E8B">
        <w:rPr>
          <w:rFonts w:asciiTheme="minorEastAsia" w:hAnsiTheme="minorEastAsia"/>
          <w:vertAlign w:val="superscript"/>
          <w:lang w:eastAsia="ko-KR"/>
        </w:rPr>
        <w:t>33)</w:t>
      </w:r>
    </w:p>
    <w:p w14:paraId="69D028B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이후 인권 옹호자들은 화학적 강박을 포함한 모든 종류의 강압적 치료가 인권 침해의 위험을 내포하며, 법적 체계의 미비와 정신의료 종사자의 인권 감수성 부족이 문제를 악화시키고 있다고 지적한다.</w:t>
      </w:r>
      <w:r w:rsidRPr="00EA0E8B">
        <w:rPr>
          <w:rFonts w:asciiTheme="minorEastAsia" w:hAnsiTheme="minorEastAsia"/>
          <w:vertAlign w:val="superscript"/>
          <w:lang w:eastAsia="ko-KR"/>
        </w:rPr>
        <w:t>34–36)</w:t>
      </w:r>
      <w:r w:rsidRPr="00EA0E8B">
        <w:rPr>
          <w:rFonts w:asciiTheme="minorEastAsia" w:hAnsiTheme="minorEastAsia"/>
          <w:lang w:eastAsia="ko-KR"/>
        </w:rPr>
        <w:t xml:space="preserve"> 또한 이들은 응급상황에서도 가능한 한 치료 결정에 환자를 참여시키고, 환자에게 다양한 선택지를 주는 것이 장기적으로 신뢰와 치료 순응도를 높일 수 있다고 주장한다.</w:t>
      </w:r>
      <w:r w:rsidRPr="00EA0E8B">
        <w:rPr>
          <w:rFonts w:asciiTheme="minorEastAsia" w:hAnsiTheme="minorEastAsia"/>
          <w:vertAlign w:val="superscript"/>
          <w:lang w:eastAsia="ko-KR"/>
        </w:rPr>
        <w:t>37)</w:t>
      </w:r>
    </w:p>
    <w:p w14:paraId="3503AFC4" w14:textId="77777777" w:rsidR="008A69B1" w:rsidRDefault="008A69B1">
      <w:pPr>
        <w:rPr>
          <w:rFonts w:asciiTheme="minorEastAsia" w:hAnsiTheme="minorEastAsia" w:cstheme="majorBidi"/>
          <w:color w:val="0F4761" w:themeColor="accent1" w:themeShade="BF"/>
          <w:sz w:val="32"/>
          <w:szCs w:val="32"/>
          <w:lang w:eastAsia="ko-KR"/>
        </w:rPr>
      </w:pPr>
      <w:bookmarkStart w:id="9" w:name="국제법-상의-해석"/>
      <w:bookmarkEnd w:id="4"/>
      <w:bookmarkEnd w:id="8"/>
      <w:r>
        <w:rPr>
          <w:rFonts w:asciiTheme="minorEastAsia" w:hAnsiTheme="minorEastAsia"/>
          <w:lang w:eastAsia="ko-KR"/>
        </w:rPr>
        <w:br w:type="page"/>
      </w:r>
    </w:p>
    <w:p w14:paraId="71B76AD8" w14:textId="4AAB9F1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국제법 상의 해석</w:t>
      </w:r>
    </w:p>
    <w:p w14:paraId="248AC34D"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0" w:name="유엔장애인권리협약crpd"/>
      <w:r w:rsidRPr="00EA0E8B">
        <w:rPr>
          <w:rFonts w:asciiTheme="minorEastAsia" w:eastAsiaTheme="minorEastAsia" w:hAnsiTheme="minorEastAsia"/>
          <w:lang w:eastAsia="ko-KR"/>
        </w:rPr>
        <w:t>유엔장애인권리협약(CRPD)</w:t>
      </w:r>
    </w:p>
    <w:p w14:paraId="7A732AE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2017년, 유엔(UN) 특별보고관 Dainius </w:t>
      </w:r>
      <w:proofErr w:type="spellStart"/>
      <w:r w:rsidRPr="00EA0E8B">
        <w:rPr>
          <w:rFonts w:asciiTheme="minorEastAsia" w:hAnsiTheme="minorEastAsia"/>
          <w:lang w:eastAsia="ko-KR"/>
        </w:rPr>
        <w:t>P</w:t>
      </w:r>
      <w:r w:rsidRPr="00EA0E8B">
        <w:rPr>
          <w:rFonts w:ascii="Calibri" w:hAnsi="Calibri" w:cs="Calibri"/>
          <w:lang w:eastAsia="ko-KR"/>
        </w:rPr>
        <w:t>ū</w:t>
      </w:r>
      <w:r w:rsidRPr="00EA0E8B">
        <w:rPr>
          <w:rFonts w:asciiTheme="minorEastAsia" w:hAnsiTheme="minorEastAsia"/>
          <w:lang w:eastAsia="ko-KR"/>
        </w:rPr>
        <w:t>ras</w:t>
      </w:r>
      <w:proofErr w:type="spellEnd"/>
      <w:r w:rsidRPr="00EA0E8B">
        <w:rPr>
          <w:rFonts w:asciiTheme="minorEastAsia" w:hAnsiTheme="minorEastAsia"/>
          <w:lang w:eastAsia="ko-KR"/>
        </w:rPr>
        <w:t>는 “모든 사람의 권리, 의지, 선호를 평등하게 존중하지 않고, 정신건강 환경에서 권력 불균형, 낙인, 차별을 초래하는 모든 관행의 폐지”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촉구하는 성명을 발표했다. 유엔장애인권리협약(United Nations Convention on the Rights of Persons with Disabilities, CRPD)의 이행 원칙을 새삼 강조한 이 보고서(A/HRC/35/21)는 유엔 인권이사회(Human Rights Council)</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공식 제출된 이후 격렬한 논쟁을 촉발하였다.</w:t>
      </w:r>
      <w:r w:rsidRPr="00EA0E8B">
        <w:rPr>
          <w:rFonts w:asciiTheme="minorEastAsia" w:hAnsiTheme="minorEastAsia"/>
          <w:vertAlign w:val="superscript"/>
          <w:lang w:eastAsia="ko-KR"/>
        </w:rPr>
        <w:t>38,39)</w:t>
      </w:r>
    </w:p>
    <w:p w14:paraId="2F42AAA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보고서(A/HRC/35/21)는 “의학적 필요성”, “위험성”, “판단 능력 부족”과 같은 지극히 주관적인 결정이 전적으로 정신과 의사의 재량에 맡겨져 있기 때문에, 환자의 인권을 명백히 침해한다고 주장한다. 또한, “장애의 존재가 어떤 경우에도 자유를 박탈하는 정당한 사유가 될 수 없다”고 단언한다.</w:t>
      </w:r>
      <w:r w:rsidRPr="00EA0E8B">
        <w:rPr>
          <w:rFonts w:asciiTheme="minorEastAsia" w:hAnsiTheme="minorEastAsia"/>
          <w:vertAlign w:val="superscript"/>
          <w:lang w:eastAsia="ko-KR"/>
        </w:rPr>
        <w:t>40)</w:t>
      </w:r>
      <w:r w:rsidRPr="00EA0E8B">
        <w:rPr>
          <w:rFonts w:asciiTheme="minorEastAsia" w:hAnsiTheme="minorEastAsia"/>
          <w:lang w:eastAsia="ko-KR"/>
        </w:rPr>
        <w:t xml:space="preserve"> 보고서는 현실적 어려움을 인정하면서도, 궁극적으로는 정신과에서의 강압적 치료를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종식시켜야 한다는 입장을 굽히지 않는다.</w:t>
      </w:r>
      <w:r w:rsidRPr="00EA0E8B">
        <w:rPr>
          <w:rFonts w:asciiTheme="minorEastAsia" w:hAnsiTheme="minorEastAsia"/>
          <w:vertAlign w:val="superscript"/>
          <w:lang w:eastAsia="ko-KR"/>
        </w:rPr>
        <w:t>41)</w:t>
      </w:r>
      <w:r w:rsidRPr="00EA0E8B">
        <w:rPr>
          <w:rFonts w:asciiTheme="minorEastAsia" w:hAnsiTheme="minorEastAsia"/>
          <w:lang w:eastAsia="ko-KR"/>
        </w:rPr>
        <w:t xml:space="preserve"> 한편 Juan E. Méndez가 작성한 고문특별보고관 보고서(A/HRC/22/53)는 </w:t>
      </w:r>
      <w:r w:rsidRPr="00EA0E8B">
        <w:rPr>
          <w:rFonts w:asciiTheme="minorEastAsia" w:hAnsiTheme="minorEastAsia"/>
          <w:lang w:eastAsia="ko-KR"/>
        </w:rPr>
        <w:lastRenderedPageBreak/>
        <w:t xml:space="preserve">정신, 지적 장애인을 대상으로 한 강압적 조치(격리, 강박 포함)가, 치료라는 </w:t>
      </w:r>
      <w:proofErr w:type="spellStart"/>
      <w:r w:rsidRPr="00EA0E8B">
        <w:rPr>
          <w:rFonts w:asciiTheme="minorEastAsia" w:hAnsiTheme="minorEastAsia"/>
          <w:lang w:eastAsia="ko-KR"/>
        </w:rPr>
        <w:t>명목하에</w:t>
      </w:r>
      <w:proofErr w:type="spellEnd"/>
      <w:r w:rsidRPr="00EA0E8B">
        <w:rPr>
          <w:rFonts w:asciiTheme="minorEastAsia" w:hAnsiTheme="minorEastAsia"/>
          <w:lang w:eastAsia="ko-KR"/>
        </w:rPr>
        <w:t xml:space="preserve"> 행해지는 고문 또는 비인도적 처우로 간주될 수도 있다고 지적한다.</w:t>
      </w:r>
      <w:r w:rsidRPr="00EA0E8B">
        <w:rPr>
          <w:rFonts w:asciiTheme="minorEastAsia" w:hAnsiTheme="minorEastAsia"/>
          <w:vertAlign w:val="superscript"/>
          <w:lang w:eastAsia="ko-KR"/>
        </w:rPr>
        <w:t>42)</w:t>
      </w:r>
    </w:p>
    <w:p w14:paraId="2B99995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그러나 유엔 </w:t>
      </w:r>
      <w:proofErr w:type="spellStart"/>
      <w:r w:rsidRPr="00EA0E8B">
        <w:rPr>
          <w:rFonts w:asciiTheme="minorEastAsia" w:hAnsiTheme="minorEastAsia"/>
          <w:lang w:eastAsia="ko-KR"/>
        </w:rPr>
        <w:t>내부에서조차</w:t>
      </w:r>
      <w:proofErr w:type="spellEnd"/>
      <w:r w:rsidRPr="00EA0E8B">
        <w:rPr>
          <w:rFonts w:asciiTheme="minorEastAsia" w:hAnsiTheme="minorEastAsia"/>
          <w:lang w:eastAsia="ko-KR"/>
        </w:rPr>
        <w:t xml:space="preserve"> 의학적 필요성과 인권 보장 사이의 타협점을 어디서 찾을 것인가를 두고 이견이 존재했다.</w:t>
      </w:r>
      <w:r w:rsidRPr="00EA0E8B">
        <w:rPr>
          <w:rFonts w:asciiTheme="minorEastAsia" w:hAnsiTheme="minorEastAsia"/>
          <w:vertAlign w:val="superscript"/>
          <w:lang w:eastAsia="ko-KR"/>
        </w:rPr>
        <w:t>43)</w:t>
      </w:r>
      <w:r w:rsidRPr="00EA0E8B">
        <w:rPr>
          <w:rFonts w:asciiTheme="minorEastAsia" w:hAnsiTheme="minorEastAsia"/>
          <w:lang w:eastAsia="ko-KR"/>
        </w:rPr>
        <w:t xml:space="preserve"> 2014년에 유엔 자유권리위원회(Human Rights Committee, ICCPR)는 일반논평 35(General comment no.35: Article 9, GC35)</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채택했는데, 그 내용은 다음과 같다</w:t>
      </w:r>
      <w:r w:rsidRPr="00EA0E8B">
        <w:rPr>
          <w:rFonts w:asciiTheme="minorEastAsia" w:hAnsiTheme="minorEastAsia"/>
          <w:vertAlign w:val="superscript"/>
          <w:lang w:eastAsia="ko-KR"/>
        </w:rPr>
        <w:t>44)</w:t>
      </w:r>
      <w:r w:rsidRPr="00EA0E8B">
        <w:rPr>
          <w:rFonts w:asciiTheme="minorEastAsia" w:hAnsiTheme="minorEastAsia"/>
          <w:lang w:eastAsia="ko-KR"/>
        </w:rPr>
        <w:t>:</w:t>
      </w:r>
    </w:p>
    <w:p w14:paraId="3E9D76AD" w14:textId="77777777" w:rsidR="003B3FC7" w:rsidRPr="00EA0E8B" w:rsidRDefault="00000000" w:rsidP="00EA0E8B">
      <w:pPr>
        <w:pStyle w:val="BlockText"/>
        <w:spacing w:line="480" w:lineRule="auto"/>
        <w:rPr>
          <w:rFonts w:asciiTheme="minorEastAsia" w:hAnsiTheme="minorEastAsia"/>
          <w:lang w:eastAsia="ko-KR"/>
        </w:rPr>
      </w:pPr>
      <w:r w:rsidRPr="00EA0E8B">
        <w:rPr>
          <w:rFonts w:asciiTheme="minorEastAsia" w:hAnsiTheme="minorEastAsia"/>
          <w:i/>
          <w:iCs/>
          <w:lang w:eastAsia="ko-KR"/>
        </w:rPr>
        <w:t>장애의 존재만으로는 자유의 박탈이 정당화될 수 없으며, 심각한 위험으로부터 장애인을 보호하고 타인에게 손상을 입히지 않도록 방지할 목적에 따라 필수적이고 적합할 경우에만 자유를 박탈할 수 있다.</w:t>
      </w:r>
    </w:p>
    <w:p w14:paraId="39DEA84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즉 GC35는 강압적 치료가 특정한 예외 상황에서는 사용될 수 있음을 인정하고 있다. 또 다른 유엔 산하 조직인 고문방지위원회(Committee Against Torture, CAT)가 내린 고문의 정의에는 심각한 고통과 고난, 상처를 주려는 고의성, 특정한 목적, 국가의 개입이 포함된다.</w:t>
      </w:r>
      <w:r w:rsidRPr="00EA0E8B">
        <w:rPr>
          <w:rFonts w:asciiTheme="minorEastAsia" w:hAnsiTheme="minorEastAsia"/>
          <w:vertAlign w:val="superscript"/>
          <w:lang w:eastAsia="ko-KR"/>
        </w:rPr>
        <w:t>45)</w:t>
      </w:r>
      <w:r w:rsidRPr="00EA0E8B">
        <w:rPr>
          <w:rFonts w:asciiTheme="minorEastAsia" w:hAnsiTheme="minorEastAsia"/>
          <w:lang w:eastAsia="ko-KR"/>
        </w:rPr>
        <w:t xml:space="preserve"> 이 기준에 따르면 일부러 고통을 주려는 의도가 없는 의학적 처치를 고문으로 치부하는 것은 어폐가 있다. 대신 CAT는 비자의적 정신과 치료는 “예외적인 </w:t>
      </w:r>
      <w:r w:rsidRPr="00EA0E8B">
        <w:rPr>
          <w:rFonts w:asciiTheme="minorEastAsia" w:hAnsiTheme="minorEastAsia"/>
          <w:lang w:eastAsia="ko-KR"/>
        </w:rPr>
        <w:lastRenderedPageBreak/>
        <w:t>경우에만” 그리고 “최후의 수단으로서” 사용되어야 한다고 강조해왔다.</w:t>
      </w:r>
      <w:r w:rsidRPr="00EA0E8B">
        <w:rPr>
          <w:rFonts w:asciiTheme="minorEastAsia" w:hAnsiTheme="minorEastAsia"/>
          <w:vertAlign w:val="superscript"/>
          <w:lang w:eastAsia="ko-KR"/>
        </w:rPr>
        <w:t>46)</w:t>
      </w:r>
      <w:r w:rsidRPr="00EA0E8B">
        <w:rPr>
          <w:rFonts w:asciiTheme="minorEastAsia" w:hAnsiTheme="minorEastAsia"/>
          <w:lang w:eastAsia="ko-KR"/>
        </w:rPr>
        <w:t xml:space="preserve"> 이를 종합하면, 유엔 산하 기구들 사이에서도 의견이 통일된 것은 아니며, 국제 인권법 내부에서 절대주의적 해석과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기반 해석 사이의 근본적인 긴장과 갈등이 존재한다는 것을 보여준다.</w:t>
      </w:r>
    </w:p>
    <w:p w14:paraId="2DEABF6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유럽인권협약(European Convention on Human Rights, ECHR) 역시 “정신이 온전하지 않은 자(persons of unsound mind)”의 구금을 명시적으로 허용하고 있다. 이는 정신과 치료를 위한 강제 입원이나 강압적 조치들이 “치료적 필요성”</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의한 것으로 간주된다면, 비인도적 대우에 해당하지 않는다고 본다는 것을 의미한다.</w:t>
      </w:r>
    </w:p>
    <w:p w14:paraId="21BDA5D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물론 어떤 국제기관도 정신장애인의 권리와 자율성이 침해되어서는 안 된다는 기본 원칙에 대해서는 유엔과 뜻을 같이하며, 다만 현실 상황에의 적용에 차이를 둘 뿐이다. 하지만 예외를 허용할 것인가(GC35, ECHR) </w:t>
      </w:r>
      <w:proofErr w:type="spellStart"/>
      <w:r w:rsidRPr="00EA0E8B">
        <w:rPr>
          <w:rFonts w:asciiTheme="minorEastAsia" w:hAnsiTheme="minorEastAsia"/>
          <w:lang w:eastAsia="ko-KR"/>
        </w:rPr>
        <w:t>말건가</w:t>
      </w:r>
      <w:proofErr w:type="spellEnd"/>
      <w:r w:rsidRPr="00EA0E8B">
        <w:rPr>
          <w:rFonts w:asciiTheme="minorEastAsia" w:hAnsiTheme="minorEastAsia"/>
          <w:lang w:eastAsia="ko-KR"/>
        </w:rPr>
        <w:t xml:space="preserve">(A/HRC/35/21)는 피할 수 없는 갈등을 초래한다. Wayne Martin과 Sándor </w:t>
      </w:r>
      <w:proofErr w:type="spellStart"/>
      <w:r w:rsidRPr="00EA0E8B">
        <w:rPr>
          <w:rFonts w:asciiTheme="minorEastAsia" w:hAnsiTheme="minorEastAsia"/>
          <w:lang w:eastAsia="ko-KR"/>
        </w:rPr>
        <w:t>Gurbai</w:t>
      </w:r>
      <w:proofErr w:type="spellEnd"/>
      <w:r w:rsidRPr="00EA0E8B">
        <w:rPr>
          <w:rFonts w:asciiTheme="minorEastAsia" w:hAnsiTheme="minorEastAsia"/>
          <w:lang w:eastAsia="ko-KR"/>
        </w:rPr>
        <w:t>는 이러한 불일치 상황을 “제네바 교착상태(Geneva Impasse)”</w:t>
      </w:r>
      <w:proofErr w:type="spellStart"/>
      <w:r w:rsidRPr="00EA0E8B">
        <w:rPr>
          <w:rFonts w:asciiTheme="minorEastAsia" w:hAnsiTheme="minorEastAsia"/>
          <w:lang w:eastAsia="ko-KR"/>
        </w:rPr>
        <w:t>라고</w:t>
      </w:r>
      <w:proofErr w:type="spellEnd"/>
      <w:r w:rsidRPr="00EA0E8B">
        <w:rPr>
          <w:rFonts w:asciiTheme="minorEastAsia" w:hAnsiTheme="minorEastAsia"/>
          <w:lang w:eastAsia="ko-KR"/>
        </w:rPr>
        <w:t xml:space="preserve"> 명명하였다.</w:t>
      </w:r>
      <w:r w:rsidRPr="00EA0E8B">
        <w:rPr>
          <w:rFonts w:asciiTheme="minorEastAsia" w:hAnsiTheme="minorEastAsia"/>
          <w:vertAlign w:val="superscript"/>
          <w:lang w:eastAsia="ko-KR"/>
        </w:rPr>
        <w:t>47,48)</w:t>
      </w:r>
      <w:r w:rsidRPr="00EA0E8B">
        <w:rPr>
          <w:rFonts w:asciiTheme="minorEastAsia" w:hAnsiTheme="minorEastAsia"/>
          <w:lang w:eastAsia="ko-KR"/>
        </w:rPr>
        <w:t xml:space="preserve"> 그들은 이 교착 상태가 법을 해석하는 두 가지 접근 방식, 즉 “절대적 해석(absolute interpretation)”과 “비례적 </w:t>
      </w:r>
      <w:r w:rsidRPr="00EA0E8B">
        <w:rPr>
          <w:rFonts w:asciiTheme="minorEastAsia" w:hAnsiTheme="minorEastAsia"/>
          <w:lang w:eastAsia="ko-KR"/>
        </w:rPr>
        <w:lastRenderedPageBreak/>
        <w:t>해석(proportionality interpretation)” 사이의 좁힐 수 없는 간극에서 비롯되었다고 분석하였다.</w:t>
      </w:r>
    </w:p>
    <w:p w14:paraId="038EFCC6" w14:textId="12698FE8" w:rsidR="003B3FC7" w:rsidRPr="00EA0E8B" w:rsidRDefault="00000000" w:rsidP="00EA0E8B">
      <w:pPr>
        <w:pStyle w:val="Heading3"/>
        <w:spacing w:line="480" w:lineRule="auto"/>
        <w:rPr>
          <w:rFonts w:asciiTheme="minorEastAsia" w:eastAsiaTheme="minorEastAsia" w:hAnsiTheme="minorEastAsia"/>
          <w:lang w:eastAsia="ko-KR"/>
        </w:rPr>
      </w:pPr>
      <w:bookmarkStart w:id="11" w:name="절대주의와-비례주의"/>
      <w:bookmarkEnd w:id="10"/>
      <w:r w:rsidRPr="00EA0E8B">
        <w:rPr>
          <w:rFonts w:asciiTheme="minorEastAsia" w:eastAsiaTheme="minorEastAsia" w:hAnsiTheme="minorEastAsia"/>
          <w:lang w:eastAsia="ko-KR"/>
        </w:rPr>
        <w:t>절대주의와 비례주의</w:t>
      </w:r>
    </w:p>
    <w:p w14:paraId="1F83F41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CRPD 제12조(법 앞의 평등한 인정)와 제14조(신체의 자유와 안전)는 예외가 허용되지 않는 절대적 규정으로, 정신장애인이 치료를 거부할 권리는 정신질환이 없는 사람의 치료 거부권과 동일하게 보호되어야 하며, 게다가 강압적 치료는 신체의 자유와 안전을 잠재적으로 침해하므로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금지되어야 한다고 못 박는다. 의료진들은 인력 및 시설 부족, 응급상황에서의 의료적 필요성을 명분으로 예외를 요구하지만, CRPD는 이러한 명분들이 화학적 강박의 남용 가능성만 부추길 소지가 있다고 본다. 강압적 치료를 비판하는 문헌들은 한 목소리로, 강압적 개입이 장기적 회복, 치료 동맹, 서비스 이용 경험 측면에서도 부정적 결과를 낳기 때문에, 의료적 필요성이라는 명분도 무색해진다고 주장한다.</w:t>
      </w:r>
      <w:r w:rsidRPr="00EA0E8B">
        <w:rPr>
          <w:rFonts w:asciiTheme="minorEastAsia" w:hAnsiTheme="minorEastAsia"/>
          <w:vertAlign w:val="superscript"/>
          <w:lang w:eastAsia="ko-KR"/>
        </w:rPr>
        <w:t>49–51)</w:t>
      </w:r>
      <w:r w:rsidRPr="00EA0E8B">
        <w:rPr>
          <w:rFonts w:asciiTheme="minorEastAsia" w:hAnsiTheme="minorEastAsia"/>
          <w:lang w:eastAsia="ko-KR"/>
        </w:rPr>
        <w:t xml:space="preserve"> 물론 화학적 강박이 가져올 이익이 그 폐해를 상회한다고 하더라도, 절대주의 원칙은 여전히 강압적 치료를 금지한다.</w:t>
      </w:r>
    </w:p>
    <w:p w14:paraId="24383774"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또 다른 법 해석 기준인 비례주의 혹은 비례성의 원칙(principle of proportionality)이란 특정 조치의 목표, 수단, 그리고 그 결과 간의 균형을 고려하여 합법성을 결정짓는 원칙이다.</w:t>
      </w:r>
      <w:r w:rsidRPr="00EA0E8B">
        <w:rPr>
          <w:rFonts w:asciiTheme="minorEastAsia" w:hAnsiTheme="minorEastAsia"/>
          <w:vertAlign w:val="superscript"/>
          <w:lang w:eastAsia="ko-KR"/>
        </w:rPr>
        <w:t>52)</w:t>
      </w:r>
      <w:r w:rsidRPr="00EA0E8B">
        <w:rPr>
          <w:rFonts w:asciiTheme="minorEastAsia" w:hAnsiTheme="minorEastAsia"/>
          <w:lang w:eastAsia="ko-KR"/>
        </w:rPr>
        <w:t xml:space="preserve"> 인권은 단일한 권리가 아니며, 시민적, 문화적, 경제적, 정치적, 사회적 권리에 이르기까지 광범위한 요소로 구성되어 있다. 전체적으로는 절대적 불가침의 성격을 띠고 있지만, 각기 다른 인권이 충돌할 때는 그중 어떤 것을 우선시할 수 밖에 없다. 따라서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원칙에서는 이들 중 특정한 권리들을 보호하기 위해서, 다른 권리들을 양보하거나 제한하는 것을 허용한다.</w:t>
      </w:r>
      <w:r w:rsidRPr="00EA0E8B">
        <w:rPr>
          <w:rFonts w:asciiTheme="minorEastAsia" w:hAnsiTheme="minorEastAsia"/>
          <w:vertAlign w:val="superscript"/>
          <w:lang w:eastAsia="ko-KR"/>
        </w:rPr>
        <w:t>53)</w:t>
      </w:r>
    </w:p>
    <w:p w14:paraId="1BB424D9"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실제로 ECHR 판례들은 의학적 필요성에 의한 예외를 인정해왔다. 대표적인 사례는 </w:t>
      </w:r>
      <w:proofErr w:type="spellStart"/>
      <w:r w:rsidRPr="00EA0E8B">
        <w:rPr>
          <w:rFonts w:asciiTheme="minorEastAsia" w:hAnsiTheme="minorEastAsia"/>
          <w:lang w:eastAsia="ko-KR"/>
        </w:rPr>
        <w:t>Herczegfalvy</w:t>
      </w:r>
      <w:proofErr w:type="spellEnd"/>
      <w:r w:rsidRPr="00EA0E8B">
        <w:rPr>
          <w:rFonts w:asciiTheme="minorEastAsia" w:hAnsiTheme="minorEastAsia"/>
          <w:lang w:eastAsia="ko-KR"/>
        </w:rPr>
        <w:t xml:space="preserve"> 대 Austria(1992) 사건으로, ECHR은 강제 투약을 포함한 정신과적 개입이 “의학적으로 필수적”임이 설득력 있게 입증될 경우 협약 위반이 아니라고 판결하였다.</w:t>
      </w:r>
      <w:r w:rsidRPr="00EA0E8B">
        <w:rPr>
          <w:rFonts w:asciiTheme="minorEastAsia" w:hAnsiTheme="minorEastAsia"/>
          <w:vertAlign w:val="superscript"/>
          <w:lang w:eastAsia="ko-KR"/>
        </w:rPr>
        <w:t>54,55)</w:t>
      </w:r>
      <w:r w:rsidRPr="00EA0E8B">
        <w:rPr>
          <w:rFonts w:asciiTheme="minorEastAsia" w:hAnsiTheme="minorEastAsia"/>
          <w:lang w:eastAsia="ko-KR"/>
        </w:rPr>
        <w:t xml:space="preserve"> 유럽정신의학회는 A/HRC/35/21과 같은 인권 보고서들이 정신의학 진료를 지나치게 부정적으로 묘사하고, 응급상황에서 약물치료가 수행하는 위해 예방 기능을 충분히 고려하지 않는다고 비판하였다.</w:t>
      </w:r>
      <w:r w:rsidRPr="00EA0E8B">
        <w:rPr>
          <w:rFonts w:asciiTheme="minorEastAsia" w:hAnsiTheme="minorEastAsia"/>
          <w:vertAlign w:val="superscript"/>
          <w:lang w:eastAsia="ko-KR"/>
        </w:rPr>
        <w:t>56)</w:t>
      </w:r>
      <w:r w:rsidRPr="00EA0E8B">
        <w:rPr>
          <w:rFonts w:asciiTheme="minorEastAsia" w:hAnsiTheme="minorEastAsia"/>
          <w:lang w:eastAsia="ko-KR"/>
        </w:rPr>
        <w:t xml:space="preserve"> 의학회의 입장은 강압적 치료의 전면적 허용이 아니라, 임박하고 중대한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방지하기 위한 좁은 예외를 </w:t>
      </w:r>
      <w:r w:rsidRPr="00EA0E8B">
        <w:rPr>
          <w:rFonts w:asciiTheme="minorEastAsia" w:hAnsiTheme="minorEastAsia"/>
          <w:lang w:eastAsia="ko-KR"/>
        </w:rPr>
        <w:lastRenderedPageBreak/>
        <w:t xml:space="preserve">요구하는 것이며, 대신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 인력, 시설, 감시 체계를 확충하는 노력을 기울이겠다는 것이다.</w:t>
      </w:r>
    </w:p>
    <w:p w14:paraId="134C82F5" w14:textId="77777777" w:rsidR="008A69B1" w:rsidRDefault="008A69B1">
      <w:pPr>
        <w:rPr>
          <w:rFonts w:asciiTheme="minorEastAsia" w:hAnsiTheme="minorEastAsia" w:cstheme="majorBidi"/>
          <w:b/>
          <w:bCs/>
          <w:color w:val="0F4761" w:themeColor="accent1" w:themeShade="BF"/>
          <w:sz w:val="32"/>
          <w:szCs w:val="32"/>
          <w:lang w:eastAsia="ko-KR"/>
        </w:rPr>
      </w:pPr>
      <w:bookmarkStart w:id="12" w:name="화학적-강박을-금지하는-논리적-근거"/>
      <w:bookmarkEnd w:id="9"/>
      <w:bookmarkEnd w:id="11"/>
      <w:r>
        <w:rPr>
          <w:rFonts w:asciiTheme="minorEastAsia" w:hAnsiTheme="minorEastAsia"/>
          <w:b/>
          <w:bCs/>
          <w:lang w:eastAsia="ko-KR"/>
        </w:rPr>
        <w:br w:type="page"/>
      </w:r>
    </w:p>
    <w:p w14:paraId="68F66C26" w14:textId="2437FF5E"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강박을 금지하는 논리적 근거</w:t>
      </w:r>
    </w:p>
    <w:p w14:paraId="509FED6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3" w:name="치료-거부권과-권력-비대칭"/>
      <w:r w:rsidRPr="00EA0E8B">
        <w:rPr>
          <w:rFonts w:asciiTheme="minorEastAsia" w:eastAsiaTheme="minorEastAsia" w:hAnsiTheme="minorEastAsia"/>
          <w:lang w:eastAsia="ko-KR"/>
        </w:rPr>
        <w:t>치료 거부권과 권력 비대칭</w:t>
      </w:r>
    </w:p>
    <w:p w14:paraId="2263956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법학 혹은 의료윤리에서 인권은 무언가를 요구할 권리(적극적 권리)와 거부할 권리(소극적 권리)로 구분할 수 있다.</w:t>
      </w:r>
      <w:r w:rsidRPr="00EA0E8B">
        <w:rPr>
          <w:rFonts w:asciiTheme="minorEastAsia" w:hAnsiTheme="minorEastAsia"/>
          <w:vertAlign w:val="superscript"/>
          <w:lang w:eastAsia="ko-KR"/>
        </w:rPr>
        <w:t>57)</w:t>
      </w:r>
      <w:r w:rsidRPr="00EA0E8B">
        <w:rPr>
          <w:rFonts w:asciiTheme="minorEastAsia" w:hAnsiTheme="minorEastAsia"/>
          <w:lang w:eastAsia="ko-KR"/>
        </w:rPr>
        <w:t xml:space="preserve"> 요구할 권리는 누가 해당 요구를 충족할 책임을 지는가를 묻는 반면, 거부할 권리는 누구의 권위에 저항할 수 있는가를 묻는다. 따라서 치료 거부권은 잠재적으로 의료진이 쥐고 있는 권위에 저항한다는 면에서 권력 역학(power dynamics)의 문제를 드러낸다.</w:t>
      </w:r>
    </w:p>
    <w:p w14:paraId="6168975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치료에서 권력 비대칭 문제는 특히 두드러진다. 의료진은 전문 지식, 진단 권한, 법적 제도의 지원을 가진 반면, 환자는 정보, 표현 능력, 사회적 신뢰에서 취약한 위치에 놓인다. 인권 담론은 전문가 집단이 정신장애인을 스스로의 이익을 결정할 능력이 없는 존재로 규정할 권력을 쥐고 있기 때문에, 인식론적 불의(epistemic injustice)</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조장한다고 비판한다.</w:t>
      </w:r>
      <w:r w:rsidRPr="00EA0E8B">
        <w:rPr>
          <w:rFonts w:asciiTheme="minorEastAsia" w:hAnsiTheme="minorEastAsia"/>
          <w:vertAlign w:val="superscript"/>
          <w:lang w:eastAsia="ko-KR"/>
        </w:rPr>
        <w:t>58,59)</w:t>
      </w:r>
      <w:r w:rsidRPr="00EA0E8B">
        <w:rPr>
          <w:rFonts w:asciiTheme="minorEastAsia" w:hAnsiTheme="minorEastAsia"/>
          <w:lang w:eastAsia="ko-KR"/>
        </w:rPr>
        <w:t xml:space="preserve"> 그러나 이 논거만으로는 급성 위기에서 임박한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어떻게 다룰 것인가라는 질문에 충분히 답하지 못한다. 치료 거부권이 존중되어야 한다는 원칙과, 위기 상황에서 생명과 안전을 지켜야 한다는 의무는 여전히 </w:t>
      </w:r>
      <w:r w:rsidRPr="00EA0E8B">
        <w:rPr>
          <w:rFonts w:asciiTheme="minorEastAsia" w:hAnsiTheme="minorEastAsia"/>
          <w:lang w:eastAsia="ko-KR"/>
        </w:rPr>
        <w:lastRenderedPageBreak/>
        <w:t>충돌하며, 이 긴장을 해소하기 위해서는 단순한 금지론을 넘어서는 추가적 논의가 필요하다.</w:t>
      </w:r>
    </w:p>
    <w:p w14:paraId="0481F00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4" w:name="장애와-질병"/>
      <w:bookmarkEnd w:id="13"/>
      <w:r w:rsidRPr="00EA0E8B">
        <w:rPr>
          <w:rFonts w:asciiTheme="minorEastAsia" w:eastAsiaTheme="minorEastAsia" w:hAnsiTheme="minorEastAsia"/>
          <w:lang w:eastAsia="ko-KR"/>
        </w:rPr>
        <w:t>장애와 질병</w:t>
      </w:r>
    </w:p>
    <w:p w14:paraId="07E1B16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유엔장애인권리협약이라는 명칭에서 드러나듯, 장애인의 권리를 보장하는 것은 사회 정의의 핵심 과제이다. 장애의 사회적 모델은 장애를 개인의 결함이 아니라, 사회가 다양한 몸과 정신을 수용하지 못해 발생하는 장벽의 결과로 이해한다.</w:t>
      </w:r>
      <w:r w:rsidRPr="00EA0E8B">
        <w:rPr>
          <w:rFonts w:asciiTheme="minorEastAsia" w:hAnsiTheme="minorEastAsia"/>
          <w:vertAlign w:val="superscript"/>
          <w:lang w:eastAsia="ko-KR"/>
        </w:rPr>
        <w:t>60)</w:t>
      </w:r>
      <w:r w:rsidRPr="00EA0E8B">
        <w:rPr>
          <w:rFonts w:asciiTheme="minorEastAsia" w:hAnsiTheme="minorEastAsia"/>
          <w:lang w:eastAsia="ko-KR"/>
        </w:rPr>
        <w:t xml:space="preserve"> 이러한 관점은 장애(disability)와 질병(disease)을 구분한다. 정신장애는 사회적 환경과 상호작용하는 과정에서 마주치는 장벽으로 이해될 수 있는 반면, 정신질환은 뇌와 정신의 병리로서 의학적 치료를 통해 호전될 수 있는 개념으로 이해된다.</w:t>
      </w:r>
      <w:r w:rsidRPr="00EA0E8B">
        <w:rPr>
          <w:rFonts w:asciiTheme="minorEastAsia" w:hAnsiTheme="minorEastAsia"/>
          <w:vertAlign w:val="superscript"/>
          <w:lang w:eastAsia="ko-KR"/>
        </w:rPr>
        <w:t>61)</w:t>
      </w:r>
    </w:p>
    <w:p w14:paraId="785EAD9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인권 담론은 정신장애를 생물학적 질병으로 이해하는 의학계의 관점이 당사자의 경험과 사회적 맥락을 축소할 수 있다고 비판한다. 이에 대해 의료진들은, 치료할 수 있는 질병을 방치하여 증상이 악화되면 환자 자신과 타인에게 중대한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초래할 수 있다고 주장한다.</w:t>
      </w:r>
      <w:r w:rsidRPr="00EA0E8B">
        <w:rPr>
          <w:rFonts w:asciiTheme="minorEastAsia" w:hAnsiTheme="minorEastAsia"/>
          <w:vertAlign w:val="superscript"/>
          <w:lang w:eastAsia="ko-KR"/>
        </w:rPr>
        <w:t>62)</w:t>
      </w:r>
      <w:r w:rsidRPr="00EA0E8B">
        <w:rPr>
          <w:rFonts w:asciiTheme="minorEastAsia" w:hAnsiTheme="minorEastAsia"/>
          <w:lang w:eastAsia="ko-KR"/>
        </w:rPr>
        <w:t xml:space="preserve"> 일례로 심각한 섭식장애를 앓고 있는 청소년 환자가 치료를 거부할 때, 부모가 이를 방관한다면 이는 일종의 의료 방임(medical neglect)</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해당할 수 </w:t>
      </w:r>
      <w:r w:rsidRPr="00EA0E8B">
        <w:rPr>
          <w:rFonts w:asciiTheme="minorEastAsia" w:hAnsiTheme="minorEastAsia"/>
          <w:lang w:eastAsia="ko-KR"/>
        </w:rPr>
        <w:lastRenderedPageBreak/>
        <w:t>있다.</w:t>
      </w:r>
      <w:r w:rsidRPr="00EA0E8B">
        <w:rPr>
          <w:rFonts w:asciiTheme="minorEastAsia" w:hAnsiTheme="minorEastAsia"/>
          <w:vertAlign w:val="superscript"/>
          <w:lang w:eastAsia="ko-KR"/>
        </w:rPr>
        <w:t>63)</w:t>
      </w:r>
      <w:r w:rsidRPr="00EA0E8B">
        <w:rPr>
          <w:rFonts w:asciiTheme="minorEastAsia" w:hAnsiTheme="minorEastAsia"/>
          <w:lang w:eastAsia="ko-KR"/>
        </w:rPr>
        <w:t xml:space="preserve"> 의료 방임인지 아닌지를 결정할 때는 </w:t>
      </w:r>
      <w:proofErr w:type="spellStart"/>
      <w:r w:rsidRPr="00EA0E8B">
        <w:rPr>
          <w:rFonts w:asciiTheme="minorEastAsia" w:hAnsiTheme="minorEastAsia"/>
          <w:lang w:eastAsia="ko-KR"/>
        </w:rPr>
        <w:t>의사결정력의</w:t>
      </w:r>
      <w:proofErr w:type="spellEnd"/>
      <w:r w:rsidRPr="00EA0E8B">
        <w:rPr>
          <w:rFonts w:asciiTheme="minorEastAsia" w:hAnsiTheme="minorEastAsia"/>
          <w:lang w:eastAsia="ko-KR"/>
        </w:rPr>
        <w:t xml:space="preserve"> 제한, 임박한 위험의 정도, 치료의 효과 등을 고려하게 되는데, 이는 정신장애인에 대해서도 유사하게 적용할 수 있다.</w:t>
      </w:r>
      <w:r w:rsidRPr="00EA0E8B">
        <w:rPr>
          <w:rFonts w:asciiTheme="minorEastAsia" w:hAnsiTheme="minorEastAsia"/>
          <w:vertAlign w:val="superscript"/>
          <w:lang w:eastAsia="ko-KR"/>
        </w:rPr>
        <w:t>64,65)</w:t>
      </w:r>
      <w:r w:rsidRPr="00EA0E8B">
        <w:rPr>
          <w:rFonts w:asciiTheme="minorEastAsia" w:hAnsiTheme="minorEastAsia"/>
          <w:lang w:eastAsia="ko-KR"/>
        </w:rPr>
        <w:t xml:space="preserve"> 하지만 인권 담론은 정신장애인의 치료 거부를 의료 방임으로 보는 견해에 비판적이다. 일정 수준의 의사결정 능력이 유지되는 경우, 정신장애를 이유로 치료 거부권을 제한하는 것은 정당화될 수 없다는 것이다. 동시에 화학적 강박의 효과와 부작용에 대한 불확실성을 고려할 때, 이를 거부했다고 해서 의료 방임이라고 볼 수는 없다는 입장이다.</w:t>
      </w:r>
    </w:p>
    <w:p w14:paraId="6336E53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5" w:name="의료화에-대한-인문사회학적-비판"/>
      <w:bookmarkEnd w:id="14"/>
      <w:r w:rsidRPr="00EA0E8B">
        <w:rPr>
          <w:rFonts w:asciiTheme="minorEastAsia" w:eastAsiaTheme="minorEastAsia" w:hAnsiTheme="minorEastAsia"/>
          <w:lang w:eastAsia="ko-KR"/>
        </w:rPr>
        <w:t>의료화에 대한 인문사회학적 비판</w:t>
      </w:r>
    </w:p>
    <w:p w14:paraId="4C03EA4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정신의학에 대한 비판은 깊은 역사적 뿌리를 가진다. 정신의학이 걸어온 길에는 부인하기 어려운 어두운 장들이 존재하며, 이에 맞서 철학자, 사회학자, 사회운동가, 현장의 실천가들이 변화를 이끌어온 과정 역시 귀중한 자산이다. 이러한 비판은 정신과적 개입이 개인의 고통을 치료한다는 명분 아래 사회적 일탈을 관리하거나 침묵시키는 도구가 될 수 있다는 문제의식에서 출발한다. Erving Goffman은 정신병원, 감옥, 수도원, 군대 등을 “전체적 기관(total institution)”</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개념화하며, 이러한 공간은 </w:t>
      </w:r>
      <w:r w:rsidRPr="00EA0E8B">
        <w:rPr>
          <w:rFonts w:asciiTheme="minorEastAsia" w:hAnsiTheme="minorEastAsia"/>
          <w:lang w:eastAsia="ko-KR"/>
        </w:rPr>
        <w:lastRenderedPageBreak/>
        <w:t>환자를 치료하기보다 제도에 순응하는 존재로 길들이기 위해 세워졌다고 한다.</w:t>
      </w:r>
      <w:r w:rsidRPr="00EA0E8B">
        <w:rPr>
          <w:rFonts w:asciiTheme="minorEastAsia" w:hAnsiTheme="minorEastAsia"/>
          <w:vertAlign w:val="superscript"/>
          <w:lang w:eastAsia="ko-KR"/>
        </w:rPr>
        <w:t>27)</w:t>
      </w:r>
      <w:r w:rsidRPr="00EA0E8B">
        <w:rPr>
          <w:rFonts w:asciiTheme="minorEastAsia" w:hAnsiTheme="minorEastAsia"/>
          <w:lang w:eastAsia="ko-KR"/>
        </w:rPr>
        <w:t xml:space="preserve"> Michel Foucault는 “광기의 역사(1961)”라는 저서를 통해, 근대 국가가 시민을 관리하고 규율하는 메커니즘으로서 정신의학을 활용해 왔다고 주정한다.</w:t>
      </w:r>
      <w:r w:rsidRPr="00EA0E8B">
        <w:rPr>
          <w:rFonts w:asciiTheme="minorEastAsia" w:hAnsiTheme="minorEastAsia"/>
          <w:vertAlign w:val="superscript"/>
          <w:lang w:eastAsia="ko-KR"/>
        </w:rPr>
        <w:t>66)</w:t>
      </w:r>
    </w:p>
    <w:p w14:paraId="4D3ED52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현재도 이어지고 있는 의료화(medicalization)</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대한 비판은 정신의학이 정상과 비정상의 경계를 설정하는 사회적 권한을 갖는다는 점에 주목한다.</w:t>
      </w:r>
      <w:r w:rsidRPr="00EA0E8B">
        <w:rPr>
          <w:rFonts w:asciiTheme="minorEastAsia" w:hAnsiTheme="minorEastAsia"/>
          <w:vertAlign w:val="superscript"/>
          <w:lang w:eastAsia="ko-KR"/>
        </w:rPr>
        <w:t>67,68)</w:t>
      </w:r>
      <w:r w:rsidRPr="00EA0E8B">
        <w:rPr>
          <w:rFonts w:asciiTheme="minorEastAsia" w:hAnsiTheme="minorEastAsia"/>
          <w:lang w:eastAsia="ko-KR"/>
        </w:rPr>
        <w:t xml:space="preserve"> 이와 함께 주목할 개념이 Miranda Fricker가 제시한 인식론적 불의(epistemic injustice)이다. 그녀는 인식론적 불의를 크게 두 가지로 구분한다. 첫째, 증언 불의(testimonial injustice)는 화자가 지닌 사회적 신분 때문에 그의 증언이 신뢰도를 잃는 경우를 말한다.</w:t>
      </w:r>
      <w:r w:rsidRPr="00EA0E8B">
        <w:rPr>
          <w:rFonts w:asciiTheme="minorEastAsia" w:hAnsiTheme="minorEastAsia"/>
          <w:vertAlign w:val="superscript"/>
          <w:lang w:eastAsia="ko-KR"/>
        </w:rPr>
        <w:t>69)</w:t>
      </w:r>
      <w:r w:rsidRPr="00EA0E8B">
        <w:rPr>
          <w:rFonts w:asciiTheme="minorEastAsia" w:hAnsiTheme="minorEastAsia"/>
          <w:lang w:eastAsia="ko-KR"/>
        </w:rPr>
        <w:t xml:space="preserve"> 정신의학적 맥락에서 이는 정신장애인의 진술 자체가 증상의 하나로 치부되어 진지하게 받아들여지지 않는 상황을 포착한다. 둘째, 해석적 불의(hermeneutical injustice)는 지식의 형성과 분배의 불평등으로 인해 정신장애인들이 그들의 경험을 적절히 개념화하고 표현할 수 없는 구조적 배제를 의미한다. 이는 정신건강과 관련된 지식을 정신의학자들이 독점하고 있는 현상황에 대해, 좀더 환자들의 실제 경험과 자발적 목소리가 지식 생산과 유통에 반영되어야 비판과 맞닿아 있다.</w:t>
      </w:r>
      <w:r w:rsidRPr="00EA0E8B">
        <w:rPr>
          <w:rFonts w:asciiTheme="minorEastAsia" w:hAnsiTheme="minorEastAsia"/>
          <w:vertAlign w:val="superscript"/>
          <w:lang w:eastAsia="ko-KR"/>
        </w:rPr>
        <w:t>70,71)</w:t>
      </w:r>
    </w:p>
    <w:p w14:paraId="7E84C1BC" w14:textId="7F2B2A69" w:rsidR="003B3FC7" w:rsidRPr="008A69B1" w:rsidRDefault="00000000" w:rsidP="00EA0E8B">
      <w:pPr>
        <w:pStyle w:val="Heading2"/>
        <w:spacing w:line="480" w:lineRule="auto"/>
        <w:rPr>
          <w:rFonts w:asciiTheme="minorEastAsia" w:eastAsiaTheme="minorEastAsia" w:hAnsiTheme="minorEastAsia"/>
          <w:b/>
          <w:bCs/>
          <w:lang w:eastAsia="ko-KR"/>
        </w:rPr>
      </w:pPr>
      <w:bookmarkStart w:id="16" w:name="원칙주의와-제한적-허용-모델"/>
      <w:bookmarkEnd w:id="12"/>
      <w:bookmarkEnd w:id="15"/>
      <w:r w:rsidRPr="008A69B1">
        <w:rPr>
          <w:rFonts w:asciiTheme="minorEastAsia" w:eastAsiaTheme="minorEastAsia" w:hAnsiTheme="minorEastAsia"/>
          <w:b/>
          <w:bCs/>
          <w:lang w:eastAsia="ko-KR"/>
        </w:rPr>
        <w:lastRenderedPageBreak/>
        <w:t>원칙주의와 제한적 허용 모델</w:t>
      </w:r>
    </w:p>
    <w:p w14:paraId="460957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7" w:name="원칙주의의-의의와-한계"/>
      <w:r w:rsidRPr="00EA0E8B">
        <w:rPr>
          <w:rFonts w:asciiTheme="minorEastAsia" w:eastAsiaTheme="minorEastAsia" w:hAnsiTheme="minorEastAsia"/>
          <w:lang w:eastAsia="ko-KR"/>
        </w:rPr>
        <w:t>원칙주의의 의의와 한계</w:t>
      </w:r>
    </w:p>
    <w:p w14:paraId="6F7A8C7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Beauchamp와 Childress가 제안한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)는 자율성 존중, 악행 금지, 선행, 정의라는 네 가지 원칙을 통해 의료윤리 현장에서 발생하는 갈등을 분석한다.</w:t>
      </w:r>
      <w:r w:rsidRPr="00EA0E8B">
        <w:rPr>
          <w:rFonts w:asciiTheme="minorEastAsia" w:hAnsiTheme="minorEastAsia"/>
          <w:vertAlign w:val="superscript"/>
          <w:lang w:eastAsia="ko-KR"/>
        </w:rPr>
        <w:t>72)</w:t>
      </w:r>
      <w:r w:rsidRPr="00EA0E8B">
        <w:rPr>
          <w:rFonts w:asciiTheme="minorEastAsia" w:hAnsiTheme="minorEastAsia"/>
          <w:lang w:eastAsia="ko-KR"/>
        </w:rPr>
        <w:t xml:space="preserve"> 이 틀은 화학적 강박 논의에도 유용하다. 자율성 존중은 환자의 치료 거부권을 보호하도록 요구하며, 악행 금지는 강압적 개입으로 인한 신체적·심리적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피하도록 요구한다. 하지만 선행 원칙은 환자의 증상 완화와 안전 회복을 촉구하며, 정의는 환자뿐 아니라 다른 환자, 의료진, 가족 등 제3자의 권리와 안전도 고려하도록 요구한다.</w:t>
      </w:r>
    </w:p>
    <w:p w14:paraId="4B6BC37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원칙주의는 이 네 가지 원칙을 </w:t>
      </w:r>
      <w:r w:rsidRPr="00EA0E8B">
        <w:rPr>
          <w:rFonts w:asciiTheme="minorEastAsia" w:hAnsiTheme="minorEastAsia"/>
          <w:i/>
          <w:iCs/>
          <w:lang w:eastAsia="ko-KR"/>
        </w:rPr>
        <w:t>prima facie</w:t>
      </w:r>
      <w:r w:rsidRPr="00EA0E8B">
        <w:rPr>
          <w:rFonts w:asciiTheme="minorEastAsia" w:hAnsiTheme="minorEastAsia"/>
          <w:lang w:eastAsia="ko-KR"/>
        </w:rPr>
        <w:t xml:space="preserve"> 의무, 즉 “원칙 간에 상호 충돌이 없다면 구속력을 갖지만, 충돌할 때는 우선 순위가 조정될 수 있는 조건부 의무”로 본다. 따라서 특정 상황과 맥락에서 원칙들이 서로 충돌할 때는 우선 순위 조정과 균형 잡기가 필요하다. 하지만 이는 원칙주의의 장점이자 동시에 한계이기도 하다. 원칙주의는 위기 </w:t>
      </w:r>
      <w:r w:rsidRPr="00EA0E8B">
        <w:rPr>
          <w:rFonts w:asciiTheme="minorEastAsia" w:hAnsiTheme="minorEastAsia"/>
          <w:lang w:eastAsia="ko-KR"/>
        </w:rPr>
        <w:lastRenderedPageBreak/>
        <w:t>현장에서 누가 어떤 절차로 우선 순위를 결정해야 하는지에 대해 충분한 윤리적 잣대나 제도적 해답을 제공하지 않는다.</w:t>
      </w:r>
      <w:r w:rsidRPr="00EA0E8B">
        <w:rPr>
          <w:rFonts w:asciiTheme="minorEastAsia" w:hAnsiTheme="minorEastAsia"/>
          <w:vertAlign w:val="superscript"/>
          <w:lang w:eastAsia="ko-KR"/>
        </w:rPr>
        <w:t>73)</w:t>
      </w:r>
    </w:p>
    <w:p w14:paraId="003781D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8" w:name="자율성-존중"/>
      <w:bookmarkEnd w:id="17"/>
      <w:r w:rsidRPr="00EA0E8B">
        <w:rPr>
          <w:rFonts w:asciiTheme="minorEastAsia" w:eastAsiaTheme="minorEastAsia" w:hAnsiTheme="minorEastAsia"/>
          <w:lang w:eastAsia="ko-KR"/>
        </w:rPr>
        <w:t>자율성 존중</w:t>
      </w:r>
    </w:p>
    <w:p w14:paraId="6C7C7FA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자율성 존중은 환자가 자신의 치료에 대해 결정할 권리를 의미한다. 그러나 이때 의사결정 능력이 함께 고려되어야 한다. 자율성은 개인이 자신의 가치(value)와 선호(preference)</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따라 삶을 만들어갈 권리이지만, 의사결정 능력은 자신이 내리는 결정이 자신이 지향하는 삶을 만들어가는데 도움이 되는지 판단할 수 있는 능력이다. 이는 자신이 처한 상황과 맥락을 이해하고, 이를 결정 과정에 적용하며, 결과를 추론하고, 선택을 표현할 수 있는 기능적 능력이다.</w:t>
      </w:r>
      <w:r w:rsidRPr="00EA0E8B">
        <w:rPr>
          <w:rFonts w:asciiTheme="minorEastAsia" w:hAnsiTheme="minorEastAsia"/>
          <w:vertAlign w:val="superscript"/>
          <w:lang w:eastAsia="ko-KR"/>
        </w:rPr>
        <w:t>74)</w:t>
      </w:r>
    </w:p>
    <w:p w14:paraId="7F3AEBA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다양한 정신상태에서 의사결정 능력이 일시적으로 손상될 수 있다. 따라서 환자가 치료를 거부할 때, 이 결정이 환자의 장기적 가치와 선호를 충실히 반영하는지 판단해야 한다. 다만 의사결정 능력의 손상은 자의적으로 추정되어서는 안 되며, 가능한 한 객관적으로 평가되고 기록되어야 한다. 또한 회복 후에 환자가 강압적 치료의 필요성을 수긍했다는 사실만으로, 그 개입이 자동으로 정당화되는 것도 아니다. 이 점은 화학적 </w:t>
      </w:r>
      <w:r w:rsidRPr="00EA0E8B">
        <w:rPr>
          <w:rFonts w:asciiTheme="minorEastAsia" w:hAnsiTheme="minorEastAsia"/>
          <w:lang w:eastAsia="ko-KR"/>
        </w:rPr>
        <w:lastRenderedPageBreak/>
        <w:t>강박의 소급적 정당화 문제와 연결된다. 결과가 좋았다고 해도 개입 당시에 절차적 하자가 있다면 문제시된다.</w:t>
      </w:r>
    </w:p>
    <w:p w14:paraId="126EA19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9" w:name="악행-금지"/>
      <w:bookmarkEnd w:id="18"/>
      <w:r w:rsidRPr="00EA0E8B">
        <w:rPr>
          <w:rFonts w:asciiTheme="minorEastAsia" w:eastAsiaTheme="minorEastAsia" w:hAnsiTheme="minorEastAsia"/>
          <w:lang w:eastAsia="ko-KR"/>
        </w:rPr>
        <w:t>악행 금지</w:t>
      </w:r>
    </w:p>
    <w:p w14:paraId="3938C09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화학적 강박은 부작용이 뒤따를 수 있기 때문에 악행 금지의 원칙에 따르면 가급적 피해야 할 것이다.</w:t>
      </w:r>
      <w:r w:rsidRPr="00EA0E8B">
        <w:rPr>
          <w:rFonts w:asciiTheme="minorEastAsia" w:hAnsiTheme="minorEastAsia"/>
          <w:vertAlign w:val="superscript"/>
          <w:lang w:eastAsia="ko-KR"/>
        </w:rPr>
        <w:t>20,23,75)</w:t>
      </w:r>
      <w:r w:rsidRPr="00EA0E8B">
        <w:rPr>
          <w:rFonts w:asciiTheme="minorEastAsia" w:hAnsiTheme="minorEastAsia"/>
          <w:lang w:eastAsia="ko-KR"/>
        </w:rPr>
        <w:t xml:space="preserve"> 그러나 개입하지 않아서 생기는 해악도 있다. 환자가 자해나 </w:t>
      </w:r>
      <w:proofErr w:type="spellStart"/>
      <w:r w:rsidRPr="00EA0E8B">
        <w:rPr>
          <w:rFonts w:asciiTheme="minorEastAsia" w:hAnsiTheme="minorEastAsia"/>
          <w:lang w:eastAsia="ko-KR"/>
        </w:rPr>
        <w:t>타해</w:t>
      </w:r>
      <w:proofErr w:type="spellEnd"/>
      <w:r w:rsidRPr="00EA0E8B">
        <w:rPr>
          <w:rFonts w:asciiTheme="minorEastAsia" w:hAnsiTheme="minorEastAsia"/>
          <w:lang w:eastAsia="ko-KR"/>
        </w:rPr>
        <w:t xml:space="preserve"> 위험에 처해 있고, 비침습적 방법이 실패했거나 불가능한 상황에서 의료진이 아무 조치도 하지 않는다면, 이는 분명한 악행이 되어버린다.</w:t>
      </w:r>
      <w:r w:rsidRPr="00EA0E8B">
        <w:rPr>
          <w:rFonts w:asciiTheme="minorEastAsia" w:hAnsiTheme="minorEastAsia"/>
          <w:vertAlign w:val="superscript"/>
          <w:lang w:eastAsia="ko-KR"/>
        </w:rPr>
        <w:t>9,10)</w:t>
      </w:r>
    </w:p>
    <w:p w14:paraId="5141524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따라서 악행 금지의 원칙을 따른다고 해서, 단순히 “강압적 치료는 절대로 하지 않겠다”</w:t>
      </w:r>
      <w:proofErr w:type="spellStart"/>
      <w:r w:rsidRPr="00EA0E8B">
        <w:rPr>
          <w:rFonts w:asciiTheme="minorEastAsia" w:hAnsiTheme="minorEastAsia"/>
          <w:lang w:eastAsia="ko-KR"/>
        </w:rPr>
        <w:t>며</w:t>
      </w:r>
      <w:proofErr w:type="spellEnd"/>
      <w:r w:rsidRPr="00EA0E8B">
        <w:rPr>
          <w:rFonts w:asciiTheme="minorEastAsia" w:hAnsiTheme="minorEastAsia"/>
          <w:lang w:eastAsia="ko-KR"/>
        </w:rPr>
        <w:t xml:space="preserve"> 상황을 회피해선 안 된다. 어쩔 수 없이 개입해서 생기는 위해와 개입하지 않아서 생기는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저울질 할 수밖에 없다. 이 저울질은 화학적 강박을 정당화하는 구실이 아니라, 강압적 치료를 하지 않는 것 역시 윤리적 책임을 질 수 있음을 명확히 한 것이다.</w:t>
      </w:r>
    </w:p>
    <w:p w14:paraId="51FF079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0" w:name="선행"/>
      <w:bookmarkEnd w:id="19"/>
      <w:r w:rsidRPr="00EA0E8B">
        <w:rPr>
          <w:rFonts w:asciiTheme="minorEastAsia" w:eastAsiaTheme="minorEastAsia" w:hAnsiTheme="minorEastAsia"/>
          <w:lang w:eastAsia="ko-KR"/>
        </w:rPr>
        <w:lastRenderedPageBreak/>
        <w:t>선행</w:t>
      </w:r>
    </w:p>
    <w:p w14:paraId="3FD3583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선행은 환자의 이익을 증진하고 회복을 돕는 의무를 의미한다. 응급 상황에서 화학적 강박의 목표는 환자를 처벌하거나 소란을 피하기 위한 것이 아니라, 극심한 고통과 위험을 완화하고, 환자가 다시 온전한 판단을 할 수 있도록 돕는 것이다.</w:t>
      </w:r>
    </w:p>
    <w:p w14:paraId="29EB20F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 점에서 중요한 것은 의료진의 주관적 선의가 아니라, 개입의 치료적 목적이 기록과 사후 검토를 통해 확인될 수 있어야 한다는 점이다. 같은 절차라도 환자의 치료와 회복을 위해 사용되었는지, 아니면 기관의 편의와 통제를 위해 사용되었는지에 따라 윤리적 성격이 달라진다. 따라서 치료 목적은 약물 선택, 용량, 투여 경로, 개입 이후 설명, 치료 계획 반영 여부를 통해 간접적으로 평가되어야 한다. 또한 선행의 원칙은 약물 개입이 단기적 효과만이 아니라 이후 치료동맹, 환자의 경험, 장기적 회복을 함께 고려해야 할 것을 요구한다.</w:t>
      </w:r>
    </w:p>
    <w:p w14:paraId="3C5BD94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1" w:name="정의"/>
      <w:bookmarkEnd w:id="20"/>
      <w:r w:rsidRPr="00EA0E8B">
        <w:rPr>
          <w:rFonts w:asciiTheme="minorEastAsia" w:eastAsiaTheme="minorEastAsia" w:hAnsiTheme="minorEastAsia"/>
          <w:lang w:eastAsia="ko-KR"/>
        </w:rPr>
        <w:t>정의</w:t>
      </w:r>
    </w:p>
    <w:p w14:paraId="2AAA5753"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정의의 원칙은 화학적 강박이 차별적으로 적용되지 않아야 한다는 것이다. 정신장애인이라는 이유만으로 화학적 강박을 당하는 것은 차별에 해당할 수 있다.</w:t>
      </w:r>
      <w:r w:rsidRPr="00EA0E8B">
        <w:rPr>
          <w:rFonts w:asciiTheme="minorEastAsia" w:hAnsiTheme="minorEastAsia"/>
          <w:vertAlign w:val="superscript"/>
          <w:lang w:eastAsia="ko-KR"/>
        </w:rPr>
        <w:t>59)</w:t>
      </w:r>
      <w:r w:rsidRPr="00EA0E8B">
        <w:rPr>
          <w:rFonts w:asciiTheme="minorEastAsia" w:hAnsiTheme="minorEastAsia"/>
          <w:lang w:eastAsia="ko-KR"/>
        </w:rPr>
        <w:t xml:space="preserve"> </w:t>
      </w:r>
      <w:r w:rsidRPr="00EA0E8B">
        <w:rPr>
          <w:rFonts w:asciiTheme="minorEastAsia" w:hAnsiTheme="minorEastAsia"/>
          <w:lang w:eastAsia="ko-KR"/>
        </w:rPr>
        <w:lastRenderedPageBreak/>
        <w:t xml:space="preserve">미국과 같은 </w:t>
      </w:r>
      <w:proofErr w:type="spellStart"/>
      <w:r w:rsidRPr="00EA0E8B">
        <w:rPr>
          <w:rFonts w:asciiTheme="minorEastAsia" w:hAnsiTheme="minorEastAsia"/>
          <w:lang w:eastAsia="ko-KR"/>
        </w:rPr>
        <w:t>다인종</w:t>
      </w:r>
      <w:proofErr w:type="spellEnd"/>
      <w:r w:rsidRPr="00EA0E8B">
        <w:rPr>
          <w:rFonts w:asciiTheme="minorEastAsia" w:hAnsiTheme="minorEastAsia"/>
          <w:lang w:eastAsia="ko-KR"/>
        </w:rPr>
        <w:t xml:space="preserve"> 국가에서는 화학적 강박 사용이 인종, 성별, 사회경제적 지위에 따라 불균등하게 분포한다는 근거도 있다.</w:t>
      </w:r>
      <w:r w:rsidRPr="00EA0E8B">
        <w:rPr>
          <w:rFonts w:asciiTheme="minorEastAsia" w:hAnsiTheme="minorEastAsia"/>
          <w:vertAlign w:val="superscript"/>
          <w:lang w:eastAsia="ko-KR"/>
        </w:rPr>
        <w:t>25)</w:t>
      </w:r>
      <w:r w:rsidRPr="00EA0E8B">
        <w:rPr>
          <w:rFonts w:asciiTheme="minorEastAsia" w:hAnsiTheme="minorEastAsia"/>
          <w:lang w:eastAsia="ko-KR"/>
        </w:rPr>
        <w:t xml:space="preserve"> 의료 인력과 정신건강 자원의 부족 때문에 강제적 개입이 반복된다면, 이는 개별 임상의의 판단 문제를 넘어 사회 전체의 자원 분배 정의와 연결된다.</w:t>
      </w:r>
    </w:p>
    <w:p w14:paraId="63E4D4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하지만 동시에 정의는 제3자의 권리도 고려할 것을 요구한다. 여기서 차별 금지의 요구와 타인의 안전 보호 요구는 서로 긴장 관계에 놓인다. 구체적이고 임박한 위해가 예상되는 상황에서 피해자의 안전을 방관하는 것 역시 정의롭지 않기 때문이다. 따라서 이 두 요구가 충돌할 때 어떻게 균형을 잡을 것인가는 아래에서 제시하는 가중적 조건 구조와 직접 연결된다. 화학적 강박이 차별 금지 원칙을 침해하지 않으면서도 제3자의 안전을 보호하기 위해 동원될 수 있으려면, 구체적이고 임박한 신체적 위해가 있어야 한다.</w:t>
      </w:r>
      <w:r w:rsidRPr="00EA0E8B">
        <w:rPr>
          <w:rFonts w:asciiTheme="minorEastAsia" w:hAnsiTheme="minorEastAsia"/>
          <w:vertAlign w:val="superscript"/>
          <w:lang w:eastAsia="ko-KR"/>
        </w:rPr>
        <w:t>76)</w:t>
      </w:r>
    </w:p>
    <w:p w14:paraId="5CB0B2C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2" w:name="제한적-허용의-필수-보강-조건"/>
      <w:bookmarkEnd w:id="21"/>
      <w:r w:rsidRPr="00EA0E8B">
        <w:rPr>
          <w:rFonts w:asciiTheme="minorEastAsia" w:eastAsiaTheme="minorEastAsia" w:hAnsiTheme="minorEastAsia"/>
          <w:lang w:eastAsia="ko-KR"/>
        </w:rPr>
        <w:t>제한적 허용의 필수, 보강 조건</w:t>
      </w:r>
    </w:p>
    <w:p w14:paraId="01C7A0B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이러한 원칙주의의 네 원칙을 화학적 강박에 적용할 때, 제한적 허용은 단순한 임상 재량이 아니라 엄격히 구조화된 조건을 필요로 한다. 여기 나열한 조건들이 모두 동일한 </w:t>
      </w:r>
      <w:r w:rsidRPr="00EA0E8B">
        <w:rPr>
          <w:rFonts w:asciiTheme="minorEastAsia" w:hAnsiTheme="minorEastAsia"/>
          <w:lang w:eastAsia="ko-KR"/>
        </w:rPr>
        <w:lastRenderedPageBreak/>
        <w:t>비중을 지닌 것은 아니며, 반드시 충족되어야 할 필수 조건과 정당성을 보강하는 절차 조건으로 구분된다.</w:t>
      </w:r>
      <w:r w:rsidRPr="00EA0E8B">
        <w:rPr>
          <w:rFonts w:asciiTheme="minorEastAsia" w:hAnsiTheme="minorEastAsia"/>
          <w:vertAlign w:val="superscript"/>
          <w:lang w:eastAsia="ko-KR"/>
        </w:rPr>
        <w:t>77–79)</w:t>
      </w:r>
      <w:r w:rsidRPr="00EA0E8B">
        <w:rPr>
          <w:rFonts w:asciiTheme="minorEastAsia" w:hAnsiTheme="minorEastAsia"/>
          <w:lang w:eastAsia="ko-KR"/>
        </w:rPr>
        <w:t xml:space="preserve"> 이 조건들은 어느 하나만 충족되어도 개입이 정당화되거나, 반대로 하나라도 빠지면 곧바로 불허되는 체크리스트가 아니다. 그보다는 조건이 많이 충족될수록 개입의 윤리적 정당성이 높아지는 가중적(cumulative) 구조로 이해해야 한다.</w:t>
      </w:r>
    </w:p>
    <w:p w14:paraId="626C4758" w14:textId="77777777" w:rsidR="003B3FC7" w:rsidRPr="00EA0E8B" w:rsidRDefault="00000000" w:rsidP="00EA0E8B">
      <w:pPr>
        <w:pStyle w:val="Compact"/>
        <w:numPr>
          <w:ilvl w:val="0"/>
          <w:numId w:val="2"/>
        </w:numPr>
        <w:spacing w:line="480" w:lineRule="auto"/>
        <w:rPr>
          <w:rFonts w:asciiTheme="minorEastAsia" w:hAnsiTheme="minorEastAsia"/>
        </w:rPr>
      </w:pPr>
      <w:proofErr w:type="spellStart"/>
      <w:r w:rsidRPr="00EA0E8B">
        <w:rPr>
          <w:rFonts w:asciiTheme="minorEastAsia" w:hAnsiTheme="minorEastAsia"/>
        </w:rPr>
        <w:t>필수</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6EF9D8C7"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의사결정 능력의 실질적 손상</w:t>
      </w:r>
      <w:r w:rsidRPr="00EA0E8B">
        <w:rPr>
          <w:rFonts w:asciiTheme="minorEastAsia" w:hAnsiTheme="minorEastAsia"/>
          <w:lang w:eastAsia="ko-KR"/>
        </w:rPr>
        <w:t>: 환자가 응급상황에서 치료 결정에 필요한 정보를 이해하고, 자신의 상황에 적용하며, 결과를 추론하고, 선택을 안정적으로 표현할 능력이 실질적으로 손상되어 있어야 한다.</w:t>
      </w:r>
    </w:p>
    <w:p w14:paraId="01FE4B06"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임박하고 중대한 신체적 위해</w:t>
      </w:r>
      <w:r w:rsidRPr="00EA0E8B">
        <w:rPr>
          <w:rFonts w:asciiTheme="minorEastAsia" w:hAnsiTheme="minorEastAsia"/>
          <w:lang w:eastAsia="ko-KR"/>
        </w:rPr>
        <w:t>: 환자 자신 또는 타인에게 구체적이고 임박한 신체적 위해가 예상되어야 한다. 단순한 치료 거부, 언어적 적대, 병동 질서 저해만으로는 충분하지 않다.</w:t>
      </w:r>
    </w:p>
    <w:p w14:paraId="1390DAE8" w14:textId="77777777" w:rsidR="003B3FC7" w:rsidRPr="00EA0E8B" w:rsidRDefault="00000000" w:rsidP="00EA0E8B">
      <w:pPr>
        <w:numPr>
          <w:ilvl w:val="0"/>
          <w:numId w:val="3"/>
        </w:numPr>
        <w:spacing w:line="480" w:lineRule="auto"/>
        <w:rPr>
          <w:rFonts w:asciiTheme="minorEastAsia" w:hAnsiTheme="minorEastAsia"/>
          <w:lang w:eastAsia="ko-KR"/>
        </w:rPr>
      </w:pPr>
      <w:proofErr w:type="spellStart"/>
      <w:r w:rsidRPr="00EA0E8B">
        <w:rPr>
          <w:rFonts w:asciiTheme="minorEastAsia" w:hAnsiTheme="minorEastAsia"/>
          <w:b/>
          <w:bCs/>
          <w:lang w:eastAsia="ko-KR"/>
        </w:rPr>
        <w:lastRenderedPageBreak/>
        <w:t>비강압적</w:t>
      </w:r>
      <w:proofErr w:type="spellEnd"/>
      <w:r w:rsidRPr="00EA0E8B">
        <w:rPr>
          <w:rFonts w:asciiTheme="minorEastAsia" w:hAnsiTheme="minorEastAsia"/>
          <w:b/>
          <w:bCs/>
          <w:lang w:eastAsia="ko-KR"/>
        </w:rPr>
        <w:t xml:space="preserve"> 대안의 실패 또는 불가능</w:t>
      </w:r>
      <w:r w:rsidRPr="00EA0E8B">
        <w:rPr>
          <w:rFonts w:asciiTheme="minorEastAsia" w:hAnsiTheme="minorEastAsia"/>
          <w:lang w:eastAsia="ko-KR"/>
        </w:rPr>
        <w:t xml:space="preserve">: 언어적 진정, 환경 조절, 감각 조절, 지지적 면담, 가족 또는 신뢰 인물의 개입 등 덜 침습적인 방법이 시도되었으나 실패했거나, </w:t>
      </w:r>
      <w:proofErr w:type="spellStart"/>
      <w:r w:rsidRPr="00EA0E8B">
        <w:rPr>
          <w:rFonts w:asciiTheme="minorEastAsia" w:hAnsiTheme="minorEastAsia"/>
          <w:lang w:eastAsia="ko-KR"/>
        </w:rPr>
        <w:t>위해의</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임박성</w:t>
      </w:r>
      <w:proofErr w:type="spellEnd"/>
      <w:r w:rsidRPr="00EA0E8B">
        <w:rPr>
          <w:rFonts w:asciiTheme="minorEastAsia" w:hAnsiTheme="minorEastAsia"/>
          <w:lang w:eastAsia="ko-KR"/>
        </w:rPr>
        <w:t xml:space="preserve"> 때문에 시도할 수 없는 상황이어야 한다.</w:t>
      </w:r>
    </w:p>
    <w:p w14:paraId="372AB2D4" w14:textId="77777777" w:rsidR="003B3FC7" w:rsidRPr="00EA0E8B" w:rsidRDefault="00000000" w:rsidP="00EA0E8B">
      <w:pPr>
        <w:pStyle w:val="Compact"/>
        <w:numPr>
          <w:ilvl w:val="0"/>
          <w:numId w:val="4"/>
        </w:numPr>
        <w:spacing w:line="480" w:lineRule="auto"/>
        <w:rPr>
          <w:rFonts w:asciiTheme="minorEastAsia" w:hAnsiTheme="minorEastAsia"/>
        </w:rPr>
      </w:pPr>
      <w:proofErr w:type="spellStart"/>
      <w:r w:rsidRPr="00EA0E8B">
        <w:rPr>
          <w:rFonts w:asciiTheme="minorEastAsia" w:hAnsiTheme="minorEastAsia"/>
        </w:rPr>
        <w:t>보강</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7C1B308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최소 약물 및 최소 용량</w:t>
      </w:r>
      <w:r w:rsidRPr="00EA0E8B">
        <w:rPr>
          <w:rFonts w:asciiTheme="minorEastAsia" w:hAnsiTheme="minorEastAsia"/>
          <w:lang w:eastAsia="ko-KR"/>
        </w:rPr>
        <w:t>: 약물의 종류, 용량, 투여 경로는 행동 통제가 아니라 안전 회복과 의사결정 능력 회복을 목적으로 최소한으로 선택되어야 한다.</w:t>
      </w:r>
    </w:p>
    <w:p w14:paraId="3A209543"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기록과 사후 설명</w:t>
      </w:r>
      <w:r w:rsidRPr="00EA0E8B">
        <w:rPr>
          <w:rFonts w:asciiTheme="minorEastAsia" w:hAnsiTheme="minorEastAsia"/>
          <w:lang w:eastAsia="ko-KR"/>
        </w:rPr>
        <w:t>: 개입의 이유, 대안 시도 여부, 의사결정 능력 평가, 약물 선택의 근거, 환자의 반응이 기록되어야 하며, 회복 후 환자에게 설명되고 가능한 경우 치료 계획에 반영되어야 한다.</w:t>
      </w:r>
    </w:p>
    <w:p w14:paraId="0F0B017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독립적 검토</w:t>
      </w:r>
      <w:r w:rsidRPr="00EA0E8B">
        <w:rPr>
          <w:rFonts w:asciiTheme="minorEastAsia" w:hAnsiTheme="minorEastAsia"/>
          <w:lang w:eastAsia="ko-KR"/>
        </w:rPr>
        <w:t>: 반복적 사용, 고위험 사례, 이견이 있었던 사례는 독립적 또는 다학제적 검토를 받아야 한다. 이는 남용, 차별적 적용, 절차적 불투명성을 줄이기 위한 최소한의 보호장치이다.</w:t>
      </w:r>
    </w:p>
    <w:p w14:paraId="3442CD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다만 이러한 필수, 보강 조건을 마련해도 그 하나하나의 조건을 평가하는 것이 여전히 의료진이라면, 화학적 강박은 계속해서 권력 비대칭과 인권 침해 논란에서 자유롭지 </w:t>
      </w:r>
      <w:r w:rsidRPr="00EA0E8B">
        <w:rPr>
          <w:rFonts w:asciiTheme="minorEastAsia" w:hAnsiTheme="minorEastAsia"/>
          <w:lang w:eastAsia="ko-KR"/>
        </w:rPr>
        <w:lastRenderedPageBreak/>
        <w:t>못할 것이다.</w:t>
      </w:r>
      <w:r w:rsidRPr="00EA0E8B">
        <w:rPr>
          <w:rFonts w:asciiTheme="minorEastAsia" w:hAnsiTheme="minorEastAsia"/>
          <w:vertAlign w:val="superscript"/>
          <w:lang w:eastAsia="ko-KR"/>
        </w:rPr>
        <w:t>73)</w:t>
      </w:r>
      <w:r w:rsidRPr="00EA0E8B">
        <w:rPr>
          <w:rFonts w:asciiTheme="minorEastAsia" w:hAnsiTheme="minorEastAsia"/>
          <w:lang w:eastAsia="ko-KR"/>
        </w:rPr>
        <w:t xml:space="preserve"> 이 구조적 공백을 메우기 위해서는 위기가 닥치기 전에 환자의 의사를 타진하여 이를 명문화하는 장치가 필요하다. 현재 의사결정 능력을 보유한 환자가, 미래에 닥칠지도 모르는 위기 상황에서 자신에게 허용되거나 금지될 처우를 미리 정해두는 정신건강 사전의향서(PAD)는, 균형 잡기의 권리와 책임을 부분적으로 환자에게 되돌려주는 메커니즘이다.</w:t>
      </w:r>
      <w:r w:rsidRPr="00EA0E8B">
        <w:rPr>
          <w:rFonts w:asciiTheme="minorEastAsia" w:hAnsiTheme="minorEastAsia"/>
          <w:vertAlign w:val="superscript"/>
          <w:lang w:eastAsia="ko-KR"/>
        </w:rPr>
        <w:t>11)</w:t>
      </w:r>
    </w:p>
    <w:p w14:paraId="01DFE576" w14:textId="77777777" w:rsidR="003B3FC7" w:rsidRDefault="00000000" w:rsidP="00EA0E8B">
      <w:pPr>
        <w:pStyle w:val="BodyText"/>
        <w:spacing w:line="480" w:lineRule="auto"/>
        <w:rPr>
          <w:rFonts w:asciiTheme="minorEastAsia" w:hAnsiTheme="minorEastAsia"/>
          <w:vertAlign w:val="superscript"/>
          <w:lang w:eastAsia="ko-KR"/>
        </w:rPr>
      </w:pPr>
      <w:proofErr w:type="spellStart"/>
      <w:r w:rsidRPr="00EA0E8B">
        <w:rPr>
          <w:rFonts w:asciiTheme="minorEastAsia" w:hAnsiTheme="minorEastAsia"/>
          <w:lang w:eastAsia="ko-KR"/>
        </w:rPr>
        <w:t>Szmukler</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80)</w:t>
      </w:r>
      <w:r w:rsidRPr="00EA0E8B">
        <w:rPr>
          <w:rFonts w:asciiTheme="minorEastAsia" w:hAnsiTheme="minorEastAsia"/>
          <w:lang w:eastAsia="ko-KR"/>
        </w:rPr>
        <w:t>)는 환자가 표현하는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지속적, 통합적 가치 체계로, “선호”</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특정 시점의 욕구로 구별하며, 가치관을 반영한 지속적 의지(학업을 마치고자 함, 가족과의 관계를 유지하고자 함, 재발을 피하고자 함)와 급성기에 표현된 선호(약물 거부)가 충돌할 때, 후자만을 </w:t>
      </w:r>
      <w:proofErr w:type="spellStart"/>
      <w:r w:rsidRPr="00EA0E8B">
        <w:rPr>
          <w:rFonts w:asciiTheme="minorEastAsia" w:hAnsiTheme="minorEastAsia"/>
          <w:lang w:eastAsia="ko-KR"/>
        </w:rPr>
        <w:t>절대화하는</w:t>
      </w:r>
      <w:proofErr w:type="spellEnd"/>
      <w:r w:rsidRPr="00EA0E8B">
        <w:rPr>
          <w:rFonts w:asciiTheme="minorEastAsia" w:hAnsiTheme="minorEastAsia"/>
          <w:lang w:eastAsia="ko-KR"/>
        </w:rPr>
        <w:t xml:space="preserve"> 것은 환자에게 선행을 베푸는 것이라 할 수 없다고 논하고 있다. 이런 관점에서 PAD는 자율성의 시간적 확장인 동시에, “지속적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제도화하는 장치이기도 하다.</w:t>
      </w:r>
      <w:r w:rsidRPr="00EA0E8B">
        <w:rPr>
          <w:rFonts w:asciiTheme="minorEastAsia" w:hAnsiTheme="minorEastAsia"/>
          <w:vertAlign w:val="superscript"/>
          <w:lang w:eastAsia="ko-KR"/>
        </w:rPr>
        <w:t>80)</w:t>
      </w:r>
    </w:p>
    <w:p w14:paraId="32CC7426" w14:textId="65C8B019" w:rsidR="008A69B1" w:rsidRDefault="008A69B1">
      <w:pPr>
        <w:rPr>
          <w:rFonts w:asciiTheme="minorEastAsia" w:hAnsiTheme="minorEastAsia"/>
          <w:vertAlign w:val="superscript"/>
          <w:lang w:eastAsia="ko-KR"/>
        </w:rPr>
      </w:pPr>
      <w:r>
        <w:rPr>
          <w:rFonts w:asciiTheme="minorEastAsia" w:hAnsiTheme="minorEastAsia"/>
          <w:vertAlign w:val="superscript"/>
          <w:lang w:eastAsia="ko-KR"/>
        </w:rPr>
        <w:br w:type="page"/>
      </w:r>
    </w:p>
    <w:p w14:paraId="05729B5D" w14:textId="77777777" w:rsidR="003B3FC7" w:rsidRPr="008A69B1" w:rsidRDefault="00000000" w:rsidP="00EA0E8B">
      <w:pPr>
        <w:pStyle w:val="Heading2"/>
        <w:spacing w:line="480" w:lineRule="auto"/>
        <w:rPr>
          <w:rFonts w:asciiTheme="minorEastAsia" w:eastAsiaTheme="minorEastAsia" w:hAnsiTheme="minorEastAsia"/>
          <w:b/>
          <w:bCs/>
          <w:lang w:eastAsia="ko-KR"/>
        </w:rPr>
      </w:pPr>
      <w:bookmarkStart w:id="23" w:name="정신건강-사전-의향서"/>
      <w:bookmarkEnd w:id="16"/>
      <w:bookmarkEnd w:id="22"/>
      <w:r w:rsidRPr="008A69B1">
        <w:rPr>
          <w:rFonts w:asciiTheme="minorEastAsia" w:eastAsiaTheme="minorEastAsia" w:hAnsiTheme="minorEastAsia"/>
          <w:b/>
          <w:bCs/>
          <w:lang w:eastAsia="ko-KR"/>
        </w:rPr>
        <w:lastRenderedPageBreak/>
        <w:t>정신건강 사전 의향서</w:t>
      </w:r>
    </w:p>
    <w:p w14:paraId="18BEFA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4" w:name="개념적-정의"/>
      <w:r w:rsidRPr="00EA0E8B">
        <w:rPr>
          <w:rFonts w:asciiTheme="minorEastAsia" w:eastAsiaTheme="minorEastAsia" w:hAnsiTheme="minorEastAsia"/>
          <w:lang w:eastAsia="ko-KR"/>
        </w:rPr>
        <w:t>개념적 정의</w:t>
      </w:r>
    </w:p>
    <w:p w14:paraId="71A88E44"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PAD는 의사결정 능력을 갖춘 성인이 미래의 정신과적 위기 상황에서 자신의 치료 선호도를 미리 명시하거나, 자신을 대리할 의사결정자를 지정하는 법적 또는 </w:t>
      </w:r>
      <w:proofErr w:type="spellStart"/>
      <w:r w:rsidRPr="00EA0E8B">
        <w:rPr>
          <w:rFonts w:asciiTheme="minorEastAsia" w:hAnsiTheme="minorEastAsia"/>
          <w:lang w:eastAsia="ko-KR"/>
        </w:rPr>
        <w:t>준법적</w:t>
      </w:r>
      <w:proofErr w:type="spellEnd"/>
      <w:r w:rsidRPr="00EA0E8B">
        <w:rPr>
          <w:rFonts w:asciiTheme="minorEastAsia" w:hAnsiTheme="minorEastAsia"/>
          <w:lang w:eastAsia="ko-KR"/>
        </w:rPr>
        <w:t xml:space="preserve"> 문서이다.</w:t>
      </w:r>
      <w:r w:rsidRPr="00EA0E8B">
        <w:rPr>
          <w:rFonts w:asciiTheme="minorEastAsia" w:hAnsiTheme="minorEastAsia"/>
          <w:vertAlign w:val="superscript"/>
          <w:lang w:eastAsia="ko-KR"/>
        </w:rPr>
        <w:t>11,81)</w:t>
      </w:r>
      <w:r w:rsidRPr="00EA0E8B">
        <w:rPr>
          <w:rFonts w:asciiTheme="minorEastAsia" w:hAnsiTheme="minorEastAsia"/>
          <w:lang w:eastAsia="ko-KR"/>
        </w:rPr>
        <w:t xml:space="preserve"> 여기에는 위기 카드(crisis cards), 공동 위기 계획(joint crisis plans, JCP), 자기구속 지시(self-binding directives, 일명 율리시스 계약) 등 다양한 형태가 포함된다.</w:t>
      </w:r>
      <w:r w:rsidRPr="00EA0E8B">
        <w:rPr>
          <w:rFonts w:asciiTheme="minorEastAsia" w:hAnsiTheme="minorEastAsia"/>
          <w:vertAlign w:val="superscript"/>
          <w:lang w:eastAsia="ko-KR"/>
        </w:rPr>
        <w:t>82)</w:t>
      </w:r>
      <w:r w:rsidRPr="00EA0E8B">
        <w:rPr>
          <w:rFonts w:asciiTheme="minorEastAsia" w:hAnsiTheme="minorEastAsia"/>
          <w:lang w:eastAsia="ko-KR"/>
        </w:rPr>
        <w:t xml:space="preserve"> PAD는 공유 의사결정(shared decision making)의 정신과적 적용으로 볼 수 있다. 당사자가 의료진과 함께 미래의 위기 상황을 어떻게 다룰지 미리 논의하여 그 결과를 기록하는 방식이기 때문이다.</w:t>
      </w:r>
    </w:p>
    <w:p w14:paraId="6A66AC5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화학적 강박 논쟁에서 PAD가 중요한 이유는 위기 시점에서의 거부와 안정기에서 의지를 구분하여, 강제 치료의 정당화 주체를 의료진에서 환자 자신으로 부분적으로 이전시키기 때문이다. 즉 PAD는 어떤 상황에서 어떤 약물이나 개입을 허용하거나 거부할 것인지에 대한 환자의 선행 의사를 명확히 함으로써 응급상황의 윤리적 불확실성을 줄이는 장치이다.</w:t>
      </w:r>
    </w:p>
    <w:p w14:paraId="7FEDC9E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강압적 치료와 관련하여 가장 논쟁적인 형태는 율리시스 계약(Ulysses contract)이라 불리는 자기구속(self-binding) 지시이다.</w:t>
      </w:r>
      <w:r w:rsidRPr="00EA0E8B">
        <w:rPr>
          <w:rFonts w:asciiTheme="minorEastAsia" w:hAnsiTheme="minorEastAsia"/>
          <w:vertAlign w:val="superscript"/>
          <w:lang w:eastAsia="ko-KR"/>
        </w:rPr>
        <w:t>83)</w:t>
      </w:r>
      <w:r w:rsidRPr="00EA0E8B">
        <w:rPr>
          <w:rFonts w:asciiTheme="minorEastAsia" w:hAnsiTheme="minorEastAsia"/>
          <w:lang w:eastAsia="ko-KR"/>
        </w:rPr>
        <w:t xml:space="preserve"> 이는 그리스 신화에서 율리시스가 </w:t>
      </w:r>
      <w:proofErr w:type="spellStart"/>
      <w:r w:rsidRPr="00EA0E8B">
        <w:rPr>
          <w:rFonts w:asciiTheme="minorEastAsia" w:hAnsiTheme="minorEastAsia"/>
          <w:lang w:eastAsia="ko-KR"/>
        </w:rPr>
        <w:t>세이렌의</w:t>
      </w:r>
      <w:proofErr w:type="spellEnd"/>
      <w:r w:rsidRPr="00EA0E8B">
        <w:rPr>
          <w:rFonts w:asciiTheme="minorEastAsia" w:hAnsiTheme="minorEastAsia"/>
          <w:lang w:eastAsia="ko-KR"/>
        </w:rPr>
        <w:t xml:space="preserve"> 노래를 들으면서도 배를 </w:t>
      </w:r>
      <w:proofErr w:type="spellStart"/>
      <w:r w:rsidRPr="00EA0E8B">
        <w:rPr>
          <w:rFonts w:asciiTheme="minorEastAsia" w:hAnsiTheme="minorEastAsia"/>
          <w:lang w:eastAsia="ko-KR"/>
        </w:rPr>
        <w:t>좌초시키지</w:t>
      </w:r>
      <w:proofErr w:type="spellEnd"/>
      <w:r w:rsidRPr="00EA0E8B">
        <w:rPr>
          <w:rFonts w:asciiTheme="minorEastAsia" w:hAnsiTheme="minorEastAsia"/>
          <w:lang w:eastAsia="ko-KR"/>
        </w:rPr>
        <w:t xml:space="preserve"> 않기 위해 선원들에게 자신을 돛대에 묶고, 나중에 아무리 풀어달라고 해도 들어주지 말라고 명령한 이야기에서 유래한다. 정신과적 맥락에서는 안정기 환자가 미래의 위기 상황에서 자신이 치료를 거부하더라도 특정 치료를 시행해 달라고 사전에 요청하는 형태를 뜻한다. 물론 모든 PAD가 자기구속을 의미하는 것은 아니다. 일부 PAD는 특정 치료를 피해달라고 하거나, 선호하는 병원과 대리인을 지정하는 방식으로 기록되기도 한다.</w:t>
      </w:r>
    </w:p>
    <w:p w14:paraId="6066EC3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율리시스 계약은 유망한 타협안이지만, 미래 자율성을 침해할 수 있다는 반론을 피할 수 없다. 따라서 자기구속 지시가 정당성을 갖기 위해서는 유효기간, 구체적 발동 조건, 철회 가능 시점, 독립 상담, 대리인 확인, 정기적 갱신, 사후 검토 같은 안전장치가 필요하다. 특히 “모든 치료를 거부한다” 또는 “어떤 경우에도 강제 투약을 허용한다”와 같은 포괄적 문구는 임상적, 법적 불확실성을 키우므로, 가능한 한 구체적 상황과 선호 약물, 금기 약물, 신뢰할 수 있는 의사결정 지원자를 명시해야 한다.</w:t>
      </w:r>
    </w:p>
    <w:p w14:paraId="6781099E"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5" w:name="제도-현황"/>
      <w:bookmarkEnd w:id="24"/>
      <w:r w:rsidRPr="00EA0E8B">
        <w:rPr>
          <w:rFonts w:asciiTheme="minorEastAsia" w:eastAsiaTheme="minorEastAsia" w:hAnsiTheme="minorEastAsia"/>
          <w:lang w:eastAsia="ko-KR"/>
        </w:rPr>
        <w:lastRenderedPageBreak/>
        <w:t>제도 현황</w:t>
      </w:r>
    </w:p>
    <w:p w14:paraId="5C5AD41B"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이외의 의학 분과에서 사전 의향서의 역사는 깊다. 미국에서는 1970년대부터 주 정부 차원의 사전 의향서 제도가 마련되었고, 1990년 제정된 환자 자기결정법(Patient Self-Determination Act)은 연방법 차원에서 입원 환자에게 사전 의향서 제도를 설명하고 기관 정책을 수립하도록 요구하였다.</w:t>
      </w:r>
      <w:r w:rsidRPr="00EA0E8B">
        <w:rPr>
          <w:rFonts w:asciiTheme="minorEastAsia" w:hAnsiTheme="minorEastAsia"/>
          <w:vertAlign w:val="superscript"/>
          <w:lang w:eastAsia="ko-KR"/>
        </w:rPr>
        <w:t>84)</w:t>
      </w:r>
    </w:p>
    <w:p w14:paraId="2387E44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제도화는 더디게 진행되었지만, 현재 미국의 약 3분의 2의 주에서 PAD 관련 입법이 통과되었다.</w:t>
      </w:r>
      <w:r w:rsidRPr="00EA0E8B">
        <w:rPr>
          <w:rFonts w:asciiTheme="minorEastAsia" w:hAnsiTheme="minorEastAsia"/>
          <w:vertAlign w:val="superscript"/>
          <w:lang w:eastAsia="ko-KR"/>
        </w:rPr>
        <w:t>85)</w:t>
      </w:r>
      <w:r w:rsidRPr="00EA0E8B">
        <w:rPr>
          <w:rFonts w:asciiTheme="minorEastAsia" w:hAnsiTheme="minorEastAsia"/>
          <w:lang w:eastAsia="ko-KR"/>
        </w:rPr>
        <w:t xml:space="preserve"> 특히 버지니아 주는, 위기 상황에서 본인이 거부 의사를 표현하더라도 사전에 지정한 치료를 계속하도록 하는 조항을 포함한다.</w:t>
      </w:r>
      <w:r w:rsidRPr="00EA0E8B">
        <w:rPr>
          <w:rFonts w:asciiTheme="minorEastAsia" w:hAnsiTheme="minorEastAsia"/>
          <w:vertAlign w:val="superscript"/>
          <w:lang w:eastAsia="ko-KR"/>
        </w:rPr>
        <w:t>85)</w:t>
      </w:r>
    </w:p>
    <w:p w14:paraId="2F4C604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영국에서는 2005년 Mental Capacity Act가 제정되어 개인이 미리 자신의 치료에 관한 의사를 표명할 수 있는 길을 제도적으로 열었다.</w:t>
      </w:r>
      <w:r w:rsidRPr="00EA0E8B">
        <w:rPr>
          <w:rFonts w:asciiTheme="minorEastAsia" w:hAnsiTheme="minorEastAsia"/>
          <w:vertAlign w:val="superscript"/>
          <w:lang w:eastAsia="ko-KR"/>
        </w:rPr>
        <w:t>86)</w:t>
      </w:r>
      <w:r w:rsidRPr="00EA0E8B">
        <w:rPr>
          <w:rFonts w:asciiTheme="minorEastAsia" w:hAnsiTheme="minorEastAsia"/>
          <w:lang w:eastAsia="ko-KR"/>
        </w:rPr>
        <w:t xml:space="preserve"> 이 법은 법적 구속력이 있는 사전 결정(advance decision)과 대리 의사결정 권한을 부여하는 제도를 포함한다. 반면 공동 위기 계획(JCP)은 환자와 의료진이 위기 상황의 대응 전략을 사전에 합의하는 임상적 문서이다.로서, 법적 구속력의 성격이 사전 결정보다 좀 약하다.</w:t>
      </w:r>
      <w:r w:rsidRPr="00EA0E8B">
        <w:rPr>
          <w:rFonts w:asciiTheme="minorEastAsia" w:hAnsiTheme="minorEastAsia"/>
          <w:vertAlign w:val="superscript"/>
          <w:lang w:eastAsia="ko-KR"/>
        </w:rPr>
        <w:t>87)</w:t>
      </w:r>
      <w:r w:rsidRPr="00EA0E8B">
        <w:rPr>
          <w:rFonts w:asciiTheme="minorEastAsia" w:hAnsiTheme="minorEastAsia"/>
          <w:lang w:eastAsia="ko-KR"/>
        </w:rPr>
        <w:t xml:space="preserve"> 따라서 영국 </w:t>
      </w:r>
      <w:r w:rsidRPr="00EA0E8B">
        <w:rPr>
          <w:rFonts w:asciiTheme="minorEastAsia" w:hAnsiTheme="minorEastAsia"/>
          <w:lang w:eastAsia="ko-KR"/>
        </w:rPr>
        <w:lastRenderedPageBreak/>
        <w:t>사례는 PAD라는 큰 범주 안에서도 법적 구속력이 있는 사전결정, 대리인 지정, 위기 해소를 위한 합의문 등이 구분되어야 함을 보여준다.</w:t>
      </w:r>
    </w:p>
    <w:p w14:paraId="2016C616"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6" w:name="법리적-해석"/>
      <w:bookmarkEnd w:id="25"/>
      <w:r w:rsidRPr="00EA0E8B">
        <w:rPr>
          <w:rFonts w:asciiTheme="minorEastAsia" w:eastAsiaTheme="minorEastAsia" w:hAnsiTheme="minorEastAsia"/>
          <w:lang w:eastAsia="ko-KR"/>
        </w:rPr>
        <w:t>법리적 해석</w:t>
      </w:r>
    </w:p>
    <w:p w14:paraId="24B9ED3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PAD의 법적 구속력은 관할 지역마다 크게 다르며, 일반 의학에서의 사전 의향서보다 제한된 효력을 지니는 경향이 있다. 이는 정신질환에 대한 편견과 낙인, 강압적 치료에 대한 논란, 의사결정 능력 판단의 어려움, 온정적 간섭주의에 대한 경계심이 복합적으로 작용하기 때문이다.</w:t>
      </w:r>
      <w:r w:rsidRPr="00EA0E8B">
        <w:rPr>
          <w:rFonts w:asciiTheme="minorEastAsia" w:hAnsiTheme="minorEastAsia"/>
          <w:vertAlign w:val="superscript"/>
          <w:lang w:eastAsia="ko-KR"/>
        </w:rPr>
        <w:t>88)</w:t>
      </w:r>
    </w:p>
    <w:p w14:paraId="0BCF46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핵심 쟁점은 안정기 자아의 선행 의사와 위기 시점의 현재 선호가 충돌할 때 어느 쪽을 존중할 것인가이다. 법적 능력(legal capacity)과 의사결정 능력(decision-making capacity)의 구분도 이 문제와 연결된다. CRPD는 의사결정 능력이 제한되었다고 해서 법적 능력을 박탈해서는 안 된다는 입장을 취하지만, 이러한 해석이 PAD가 가장 필요한 상황에서 오히려 PAD의 효력을 약화시킬 수 있다는 비판도 있다.</w:t>
      </w:r>
      <w:r w:rsidRPr="00EA0E8B">
        <w:rPr>
          <w:rFonts w:asciiTheme="minorEastAsia" w:hAnsiTheme="minorEastAsia"/>
          <w:vertAlign w:val="superscript"/>
          <w:lang w:eastAsia="ko-KR"/>
        </w:rPr>
        <w:t>88)</w:t>
      </w:r>
    </w:p>
    <w:p w14:paraId="29D65A6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율리시스 계약의 법리적 해석은 계약 체결 당시의 시점 1과 위기 발생 당시의 시점 2를 구분한다.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관점(sufficiency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따르면 시점 2에서 내린 치료 거부도 온전한 </w:t>
      </w:r>
      <w:r w:rsidRPr="00EA0E8B">
        <w:rPr>
          <w:rFonts w:asciiTheme="minorEastAsia" w:hAnsiTheme="minorEastAsia"/>
          <w:lang w:eastAsia="ko-KR"/>
        </w:rPr>
        <w:lastRenderedPageBreak/>
        <w:t>의사결정으로 인정된다면 율리시스 계약은 무효가 된다고 본다.</w:t>
      </w:r>
      <w:r w:rsidRPr="00EA0E8B">
        <w:rPr>
          <w:rFonts w:asciiTheme="minorEastAsia" w:hAnsiTheme="minorEastAsia"/>
          <w:vertAlign w:val="superscript"/>
          <w:lang w:eastAsia="ko-KR"/>
        </w:rPr>
        <w:t>89)</w:t>
      </w:r>
      <w:r w:rsidRPr="00EA0E8B">
        <w:rPr>
          <w:rFonts w:asciiTheme="minorEastAsia" w:hAnsiTheme="minorEastAsia"/>
          <w:lang w:eastAsia="ko-KR"/>
        </w:rPr>
        <w:t xml:space="preserve"> 반면 무력화 관점(defeater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의하면 시점 1의 소망이 더 지속적이고 진정한 선호를 반영하므로, 시점 2에 일정한 의사결정 능력이 남아 있더라도 계약은 유효하다고 본다.</w:t>
      </w:r>
      <w:r w:rsidRPr="00EA0E8B">
        <w:rPr>
          <w:rFonts w:asciiTheme="minorEastAsia" w:hAnsiTheme="minorEastAsia"/>
          <w:vertAlign w:val="superscript"/>
          <w:lang w:eastAsia="ko-KR"/>
        </w:rPr>
        <w:t>90)</w:t>
      </w:r>
      <w:r w:rsidRPr="00EA0E8B">
        <w:rPr>
          <w:rFonts w:asciiTheme="minorEastAsia" w:hAnsiTheme="minorEastAsia"/>
          <w:lang w:eastAsia="ko-KR"/>
        </w:rPr>
        <w:t xml:space="preserve"> 즉 한번 작성한 사전의향서의 해지 가능성에 있어서도 법적 해석이 엇갈릴 우려가 있다.</w:t>
      </w:r>
    </w:p>
    <w:p w14:paraId="1F57AE5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Davis(</w:t>
      </w:r>
      <w:r w:rsidRPr="00EA0E8B">
        <w:rPr>
          <w:rFonts w:asciiTheme="minorEastAsia" w:hAnsiTheme="minorEastAsia"/>
          <w:vertAlign w:val="superscript"/>
          <w:lang w:eastAsia="ko-KR"/>
        </w:rPr>
        <w:t>91)</w:t>
      </w:r>
      <w:r w:rsidRPr="00EA0E8B">
        <w:rPr>
          <w:rFonts w:asciiTheme="minorEastAsia" w:hAnsiTheme="minorEastAsia"/>
          <w:lang w:eastAsia="ko-KR"/>
        </w:rPr>
        <w:t xml:space="preserve">)는 시점 1과 시점 2의 소망 중 어느 쪽을 존중할지 선택하는 방식 자체가, 모두 과거의 특정 순간에 고정된 관점이라고 비판한다.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관점이 현재 의사를 중시하고, 무력화 관점이 과거의 의사를 더 존중하는데 비해, Davis는 환자가 시간의 흐름 속에서 어떤 삶의 방향을 만들어가고자 하는 지 묻는다. 따라서 그의 논지는 무력화 관점과 결론이 일부 겹칠 수 있지만, 정당화의 근거를 통시적 삶의 형성과 전향적 자율성에 둔다는 점에서 구별된다.</w:t>
      </w:r>
    </w:p>
    <w:p w14:paraId="01C7EF90"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강압적 치료는 절대로 받지 않겠다고 했을 때, 이를 어디까지 </w:t>
      </w:r>
      <w:proofErr w:type="spellStart"/>
      <w:r w:rsidRPr="00EA0E8B">
        <w:rPr>
          <w:rFonts w:asciiTheme="minorEastAsia" w:hAnsiTheme="minorEastAsia"/>
          <w:lang w:eastAsia="ko-KR"/>
        </w:rPr>
        <w:t>존중하느냐도</w:t>
      </w:r>
      <w:proofErr w:type="spellEnd"/>
      <w:r w:rsidRPr="00EA0E8B">
        <w:rPr>
          <w:rFonts w:asciiTheme="minorEastAsia" w:hAnsiTheme="minorEastAsia"/>
          <w:lang w:eastAsia="ko-KR"/>
        </w:rPr>
        <w:t xml:space="preserve"> 법적 관심사이다. 미국 보건복지부(HHS) 산하 약물남용 및 정신건강 서비스국(SAMHSA)에서 펴낸 PAD 지침서에는 “비자발적 치료가 </w:t>
      </w:r>
      <w:proofErr w:type="spellStart"/>
      <w:r w:rsidRPr="00EA0E8B">
        <w:rPr>
          <w:rFonts w:asciiTheme="minorEastAsia" w:hAnsiTheme="minorEastAsia"/>
          <w:lang w:eastAsia="ko-KR"/>
        </w:rPr>
        <w:t>필요해지거나</w:t>
      </w:r>
      <w:proofErr w:type="spellEnd"/>
      <w:r w:rsidRPr="00EA0E8B">
        <w:rPr>
          <w:rFonts w:asciiTheme="minorEastAsia" w:hAnsiTheme="minorEastAsia"/>
          <w:lang w:eastAsia="ko-KR"/>
        </w:rPr>
        <w:t xml:space="preserve"> 기타 긴박한 응급 상황에 의해 </w:t>
      </w:r>
      <w:proofErr w:type="spellStart"/>
      <w:r w:rsidRPr="00EA0E8B">
        <w:rPr>
          <w:rFonts w:asciiTheme="minorEastAsia" w:hAnsiTheme="minorEastAsia"/>
          <w:lang w:eastAsia="ko-KR"/>
        </w:rPr>
        <w:t>오버라이드될</w:t>
      </w:r>
      <w:proofErr w:type="spellEnd"/>
      <w:r w:rsidRPr="00EA0E8B">
        <w:rPr>
          <w:rFonts w:asciiTheme="minorEastAsia" w:hAnsiTheme="minorEastAsia"/>
          <w:lang w:eastAsia="ko-KR"/>
        </w:rPr>
        <w:t xml:space="preserve"> 수 있다”고 명시하고 있으며, 또한 미국의 많은 </w:t>
      </w:r>
      <w:r w:rsidRPr="00EA0E8B">
        <w:rPr>
          <w:rFonts w:asciiTheme="minorEastAsia" w:hAnsiTheme="minorEastAsia"/>
          <w:lang w:eastAsia="ko-KR"/>
        </w:rPr>
        <w:lastRenderedPageBreak/>
        <w:t>주에서는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기입한 치료 방침이 표준적 치료와 크게 어긋하는 경우, 의사는 환자의 의사를 참고는 하되 표준 범위 안에서 치료를 제공할 수 있게 허용하고 있다.</w:t>
      </w:r>
      <w:r w:rsidRPr="00EA0E8B">
        <w:rPr>
          <w:rFonts w:asciiTheme="minorEastAsia" w:hAnsiTheme="minorEastAsia"/>
          <w:vertAlign w:val="superscript"/>
          <w:lang w:eastAsia="ko-KR"/>
        </w:rPr>
        <w:t>@ 92)</w:t>
      </w:r>
    </w:p>
    <w:p w14:paraId="6E3E246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7" w:name="한국에서의-적용-가능성"/>
      <w:bookmarkEnd w:id="26"/>
      <w:r w:rsidRPr="00EA0E8B">
        <w:rPr>
          <w:rFonts w:asciiTheme="minorEastAsia" w:eastAsiaTheme="minorEastAsia" w:hAnsiTheme="minorEastAsia"/>
          <w:lang w:eastAsia="ko-KR"/>
        </w:rPr>
        <w:t>한국에서의 적용 가능성</w:t>
      </w:r>
    </w:p>
    <w:p w14:paraId="61067880"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아시아의 임상 경험은 PAD 도입에 사회적, 문화적 장벽이 존재함을 보여준다.</w:t>
      </w:r>
      <w:r w:rsidRPr="00EA0E8B">
        <w:rPr>
          <w:rFonts w:asciiTheme="minorEastAsia" w:hAnsiTheme="minorEastAsia"/>
          <w:vertAlign w:val="superscript"/>
          <w:lang w:eastAsia="ko-KR"/>
        </w:rPr>
        <w:t>93)</w:t>
      </w:r>
      <w:r w:rsidRPr="00EA0E8B">
        <w:rPr>
          <w:rFonts w:asciiTheme="minorEastAsia" w:hAnsiTheme="minorEastAsia"/>
          <w:lang w:eastAsia="ko-KR"/>
        </w:rPr>
        <w:t xml:space="preserve"> PAD는 개인의 자율성과 미래 지향적 의사결정을 전제로 하지만, 많은 아시아 사회에서는 가족 중심 의사결정 전통이 강하여, 환자가 사전에 결정을 </w:t>
      </w:r>
      <w:proofErr w:type="spellStart"/>
      <w:r w:rsidRPr="00EA0E8B">
        <w:rPr>
          <w:rFonts w:asciiTheme="minorEastAsia" w:hAnsiTheme="minorEastAsia"/>
          <w:lang w:eastAsia="ko-KR"/>
        </w:rPr>
        <w:t>해두었더라도</w:t>
      </w:r>
      <w:proofErr w:type="spellEnd"/>
      <w:r w:rsidRPr="00EA0E8B">
        <w:rPr>
          <w:rFonts w:asciiTheme="minorEastAsia" w:hAnsiTheme="minorEastAsia"/>
          <w:lang w:eastAsia="ko-KR"/>
        </w:rPr>
        <w:t xml:space="preserve"> 가족이 반발할 수 있다. 또한 </w:t>
      </w:r>
      <w:proofErr w:type="spellStart"/>
      <w:r w:rsidRPr="00EA0E8B">
        <w:rPr>
          <w:rFonts w:asciiTheme="minorEastAsia" w:hAnsiTheme="minorEastAsia"/>
          <w:lang w:eastAsia="ko-KR"/>
        </w:rPr>
        <w:t>유교권</w:t>
      </w:r>
      <w:proofErr w:type="spellEnd"/>
      <w:r w:rsidRPr="00EA0E8B">
        <w:rPr>
          <w:rFonts w:asciiTheme="minorEastAsia" w:hAnsiTheme="minorEastAsia"/>
          <w:lang w:eastAsia="ko-KR"/>
        </w:rPr>
        <w:t xml:space="preserve"> 문화의 온정적 간섭주의 역시 중요한 장애물이다. 환자의 최선의 이익을 의료진이나 가족이 결정하는 관행은 환자의 사전의향을 존중하려는 시도와 충돌할 수 있다. 제도적·교육적 기반의 부족 역시 중요한 요인이다.</w:t>
      </w:r>
    </w:p>
    <w:p w14:paraId="5049C06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한국에서도 유사한 쟁점이 예상된다. 현재 시행 중인 </w:t>
      </w:r>
      <w:proofErr w:type="spellStart"/>
      <w:r w:rsidRPr="00EA0E8B">
        <w:rPr>
          <w:rFonts w:asciiTheme="minorEastAsia" w:hAnsiTheme="minorEastAsia"/>
          <w:lang w:eastAsia="ko-KR"/>
        </w:rPr>
        <w:t>사전연명의료의향서는</w:t>
      </w:r>
      <w:proofErr w:type="spellEnd"/>
      <w:r w:rsidRPr="00EA0E8B">
        <w:rPr>
          <w:rFonts w:asciiTheme="minorEastAsia" w:hAnsiTheme="minorEastAsia"/>
          <w:lang w:eastAsia="ko-KR"/>
        </w:rPr>
        <w:t xml:space="preserve"> PAD와는 성격이 다르지만 해당 경험을 참고할 수 있을 것이다. 현실적으로 </w:t>
      </w:r>
      <w:proofErr w:type="spellStart"/>
      <w:r w:rsidRPr="00EA0E8B">
        <w:rPr>
          <w:rFonts w:asciiTheme="minorEastAsia" w:hAnsiTheme="minorEastAsia"/>
          <w:lang w:eastAsia="ko-KR"/>
        </w:rPr>
        <w:t>사전연명의료의향서도</w:t>
      </w:r>
      <w:proofErr w:type="spellEnd"/>
      <w:r w:rsidRPr="00EA0E8B">
        <w:rPr>
          <w:rFonts w:asciiTheme="minorEastAsia" w:hAnsiTheme="minorEastAsia"/>
          <w:lang w:eastAsia="ko-KR"/>
        </w:rPr>
        <w:t xml:space="preserve"> 임종 시점의 해석, 가족과 의료진의 이견, 환자의 철회 의사와 당시 의사결정 능력 평가 등 </w:t>
      </w:r>
      <w:proofErr w:type="spellStart"/>
      <w:r w:rsidRPr="00EA0E8B">
        <w:rPr>
          <w:rFonts w:asciiTheme="minorEastAsia" w:hAnsiTheme="minorEastAsia"/>
          <w:lang w:eastAsia="ko-KR"/>
        </w:rPr>
        <w:t>문제때문에</w:t>
      </w:r>
      <w:proofErr w:type="spellEnd"/>
      <w:r w:rsidRPr="00EA0E8B">
        <w:rPr>
          <w:rFonts w:asciiTheme="minorEastAsia" w:hAnsiTheme="minorEastAsia"/>
          <w:lang w:eastAsia="ko-KR"/>
        </w:rPr>
        <w:t xml:space="preserve"> 분쟁이 일어나곤 한다.</w:t>
      </w:r>
      <w:r w:rsidRPr="00EA0E8B">
        <w:rPr>
          <w:rFonts w:asciiTheme="minorEastAsia" w:hAnsiTheme="minorEastAsia"/>
          <w:vertAlign w:val="superscript"/>
          <w:lang w:eastAsia="ko-KR"/>
        </w:rPr>
        <w:t>94)</w:t>
      </w:r>
      <w:r w:rsidRPr="00EA0E8B">
        <w:rPr>
          <w:rFonts w:asciiTheme="minorEastAsia" w:hAnsiTheme="minorEastAsia"/>
          <w:lang w:eastAsia="ko-KR"/>
        </w:rPr>
        <w:t xml:space="preserve"> 이러한 경험은 문서의 </w:t>
      </w:r>
      <w:r w:rsidRPr="00EA0E8B">
        <w:rPr>
          <w:rFonts w:asciiTheme="minorEastAsia" w:hAnsiTheme="minorEastAsia"/>
          <w:lang w:eastAsia="ko-KR"/>
        </w:rPr>
        <w:lastRenderedPageBreak/>
        <w:t xml:space="preserve">작성 절차를 정하는 것만으로는 충분하지 않고, 발동 조건과 철회 조건, 가족과 대리인의 역할, 의료진의 책임 범위가 명확히 규정되어야 함을 시사한다. 특히 현행 정신보건법 상에는 동의/보호 입원 시 반드시 보호의무자의 동의 절차를 거쳐야 하는데, 이처럼 가족이 치료와 관련된 의사결정에 깊이 관여되어 있는 경우 PAD와 보호자의 의사 중 어느 것을 </w:t>
      </w:r>
      <w:proofErr w:type="spellStart"/>
      <w:r w:rsidRPr="00EA0E8B">
        <w:rPr>
          <w:rFonts w:asciiTheme="minorEastAsia" w:hAnsiTheme="minorEastAsia"/>
          <w:lang w:eastAsia="ko-KR"/>
        </w:rPr>
        <w:t>우선시할지가</w:t>
      </w:r>
      <w:proofErr w:type="spellEnd"/>
      <w:r w:rsidRPr="00EA0E8B">
        <w:rPr>
          <w:rFonts w:asciiTheme="minorEastAsia" w:hAnsiTheme="minorEastAsia"/>
          <w:lang w:eastAsia="ko-KR"/>
        </w:rPr>
        <w:t xml:space="preserve"> 명확하지 않다.</w:t>
      </w:r>
    </w:p>
    <w:p w14:paraId="386743E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PAD 도입은 국내에서도 논의가 시작되었고, 정신건강복지 관련 기본 계획에서 “PAD 도입 추진 검토”가 제안된 바 있으나 아직 구체적 입법 단계에는 이르지 못하였다.</w:t>
      </w:r>
      <w:r w:rsidRPr="00EA0E8B">
        <w:rPr>
          <w:rFonts w:asciiTheme="minorEastAsia" w:hAnsiTheme="minorEastAsia"/>
          <w:vertAlign w:val="superscript"/>
          <w:lang w:eastAsia="ko-KR"/>
        </w:rPr>
        <w:t>95)</w:t>
      </w:r>
      <w:r w:rsidRPr="00EA0E8B">
        <w:rPr>
          <w:rFonts w:asciiTheme="minorEastAsia" w:hAnsiTheme="minorEastAsia"/>
          <w:lang w:eastAsia="ko-KR"/>
        </w:rPr>
        <w:t xml:space="preserve"> 실제 입법이 이루어진다 하더라도 해결해야 할 문제는 많다. 전술한 율리시스 계약 조항을 한국 법문화 안에서 어떻게 강제할 수 있는지, 환자가 합리적으로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작성하도록 어떤 지원을 제공할 것인지,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준수하여 의료진이 특정 치료를 하지 않았을 때 발생할 수 있는 법적 책임을 누구에게 지울 것인지, 환자가 모든 치료를 포괄적으로 거부한 경우 이를 어디까지 존중할 것인지가 핵심 쟁점이다.</w:t>
      </w:r>
    </w:p>
    <w:p w14:paraId="1780CF88" w14:textId="77777777" w:rsidR="008A69B1" w:rsidRDefault="008A69B1">
      <w:pPr>
        <w:rPr>
          <w:rFonts w:asciiTheme="minorEastAsia" w:hAnsiTheme="minorEastAsia" w:cstheme="majorBidi"/>
          <w:color w:val="0F4761" w:themeColor="accent1" w:themeShade="BF"/>
          <w:sz w:val="32"/>
          <w:szCs w:val="32"/>
          <w:lang w:eastAsia="ko-KR"/>
        </w:rPr>
      </w:pPr>
      <w:bookmarkStart w:id="28" w:name="결론"/>
      <w:bookmarkEnd w:id="23"/>
      <w:bookmarkEnd w:id="27"/>
      <w:r>
        <w:rPr>
          <w:rFonts w:asciiTheme="minorEastAsia" w:hAnsiTheme="minorEastAsia"/>
          <w:lang w:eastAsia="ko-KR"/>
        </w:rPr>
        <w:br w:type="page"/>
      </w:r>
    </w:p>
    <w:p w14:paraId="6CA5B562" w14:textId="06D79521" w:rsidR="003B3FC7" w:rsidRPr="00EA0E8B" w:rsidRDefault="00000000" w:rsidP="00EA0E8B">
      <w:pPr>
        <w:pStyle w:val="Heading2"/>
        <w:spacing w:line="480" w:lineRule="auto"/>
        <w:rPr>
          <w:rFonts w:asciiTheme="minorEastAsia" w:eastAsiaTheme="minorEastAsia" w:hAnsiTheme="minorEastAsia"/>
          <w:lang w:eastAsia="ko-KR"/>
        </w:rPr>
      </w:pPr>
      <w:r w:rsidRPr="00EA0E8B">
        <w:rPr>
          <w:rFonts w:asciiTheme="minorEastAsia" w:eastAsiaTheme="minorEastAsia" w:hAnsiTheme="minorEastAsia"/>
          <w:lang w:eastAsia="ko-KR"/>
        </w:rPr>
        <w:lastRenderedPageBreak/>
        <w:t>결론</w:t>
      </w:r>
    </w:p>
    <w:p w14:paraId="2C2C6C1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강박을 둘러싼 핵심 긴장이 인권 이상과 임상 현실 중 하나를 선택하는 문제가 아니라, 위기 상황에서 누구의 의사와 어떤 절차가 판단을 이끌어야 </w:t>
      </w:r>
      <w:proofErr w:type="spellStart"/>
      <w:r w:rsidRPr="00EA0E8B">
        <w:rPr>
          <w:rFonts w:asciiTheme="minorEastAsia" w:hAnsiTheme="minorEastAsia"/>
          <w:lang w:eastAsia="ko-KR"/>
        </w:rPr>
        <w:t>하는가의</w:t>
      </w:r>
      <w:proofErr w:type="spellEnd"/>
      <w:r w:rsidRPr="00EA0E8B">
        <w:rPr>
          <w:rFonts w:asciiTheme="minorEastAsia" w:hAnsiTheme="minorEastAsia"/>
          <w:lang w:eastAsia="ko-KR"/>
        </w:rPr>
        <w:t xml:space="preserve"> 문제라는 관점에서 논의를 전개하였다. 이 긴장이 국제 인권법 내부의 절대주의 해석과 법조/의료계의 비례주의 해석 사이의 좁힐 수 없는 교착 상태에서 비롯되고 있음을 살펴보았고, 의료윤리학의 원칙주의 틀에서 자율성 존중, 악행 금지, 선행, 정의의 네 원칙이 정신과 응급 상황에서 어떤 방식으로 충돌하는지를 분석하였다. 마지막으로 PAD가 안정기 자아의 의사를 위기 시점의 임상 판단과 연결하는 절차적 장치로 기능할 수 있음을 논하였다.</w:t>
      </w:r>
    </w:p>
    <w:p w14:paraId="3F3B48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이러한 검토를 통해 다음과 같은 입장을 나열할 수 있다. 첫째, 화학적 강박을 전면 금지하는 절대주의적 입장과 의학적 필요성에 근거하여 광범위하게 허용하는 입장은 모두 정당화되기 어렵다. 전자는 임박한 신체적 위해가 존재하는 응급 상황에서 환자의 본래 가치관과 제3자의 안전을 동시에 방치할 수 있고, 후자는 권력 비대칭과 절차적 불투명성을 그대로 둔 채 의료진의 재량에 윤리적 부담을 떠넘긴다. 둘째, 화학적 </w:t>
      </w:r>
      <w:r w:rsidRPr="00EA0E8B">
        <w:rPr>
          <w:rFonts w:asciiTheme="minorEastAsia" w:hAnsiTheme="minorEastAsia"/>
          <w:lang w:eastAsia="ko-KR"/>
        </w:rPr>
        <w:lastRenderedPageBreak/>
        <w:t xml:space="preserve">강박은 의사결정 능력의 손상, 임박하고 중대한 위해,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실패라는 필수 조건과 추가되는 절차상의 조건을 만족한다면 제한적으로 허용될 수 있을 것이다. 셋째, 이러한 조건들을 평가하는 주체가 여전히 의료진이라면 인식론적 불의를 완전히 해소하지 못하기 때문에, 정신건강 사전의향서(PAD)라는 제도적 장치를 통해 안정기 환자의 의사를 위기 시점의 판단 안으로 끌어들이는 보완이 필요하다.</w:t>
      </w:r>
    </w:p>
    <w:p w14:paraId="605F258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한편 본 논문이 갖는 한계점을 명확히 할 필요가 있다. 첫째, 본 논문은 개념적 분석에 기반한 종설이며, 제시된 가중적 조건 구조의 실제 임상 적용 가능성을 </w:t>
      </w:r>
      <w:proofErr w:type="spellStart"/>
      <w:r w:rsidRPr="00EA0E8B">
        <w:rPr>
          <w:rFonts w:asciiTheme="minorEastAsia" w:hAnsiTheme="minorEastAsia"/>
          <w:lang w:eastAsia="ko-KR"/>
        </w:rPr>
        <w:t>따져보디는</w:t>
      </w:r>
      <w:proofErr w:type="spellEnd"/>
      <w:r w:rsidRPr="00EA0E8B">
        <w:rPr>
          <w:rFonts w:asciiTheme="minorEastAsia" w:hAnsiTheme="minorEastAsia"/>
          <w:lang w:eastAsia="ko-KR"/>
        </w:rPr>
        <w:t xml:space="preserve"> 못하였다. 각 조건에 포함된 “임박하고 중대한 위해”나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실패”와 같은 표현들은 여전히 해석의 여지를 남기며, 구체적 실천 방안이 마련되지 </w:t>
      </w:r>
      <w:proofErr w:type="spellStart"/>
      <w:r w:rsidRPr="00EA0E8B">
        <w:rPr>
          <w:rFonts w:asciiTheme="minorEastAsia" w:hAnsiTheme="minorEastAsia"/>
          <w:lang w:eastAsia="ko-KR"/>
        </w:rPr>
        <w:t>않고서는</w:t>
      </w:r>
      <w:proofErr w:type="spellEnd"/>
      <w:r w:rsidRPr="00EA0E8B">
        <w:rPr>
          <w:rFonts w:asciiTheme="minorEastAsia" w:hAnsiTheme="minorEastAsia"/>
          <w:lang w:eastAsia="ko-KR"/>
        </w:rPr>
        <w:t xml:space="preserve"> 임상 현장에 적용하기 어렵다.</w:t>
      </w:r>
    </w:p>
    <w:p w14:paraId="3D2EA2D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둘째, 본 논문이 검토한 국제 인권법, 판례, 입법 사례는 주로 영미권과 유럽 </w:t>
      </w:r>
      <w:proofErr w:type="spellStart"/>
      <w:r w:rsidRPr="00EA0E8B">
        <w:rPr>
          <w:rFonts w:asciiTheme="minorEastAsia" w:hAnsiTheme="minorEastAsia"/>
          <w:lang w:eastAsia="ko-KR"/>
        </w:rPr>
        <w:t>대륙권</w:t>
      </w:r>
      <w:proofErr w:type="spellEnd"/>
      <w:r w:rsidRPr="00EA0E8B">
        <w:rPr>
          <w:rFonts w:asciiTheme="minorEastAsia" w:hAnsiTheme="minorEastAsia"/>
          <w:lang w:eastAsia="ko-KR"/>
        </w:rPr>
        <w:t xml:space="preserve"> 자료에 편중되어 있다. 비서구권 특히 아시아와 한국의 자료를 충분히 다루지 못하였다. 한국에서의 적용 가능성에 대한 논의 역시 </w:t>
      </w:r>
      <w:proofErr w:type="spellStart"/>
      <w:r w:rsidRPr="00EA0E8B">
        <w:rPr>
          <w:rFonts w:asciiTheme="minorEastAsia" w:hAnsiTheme="minorEastAsia"/>
          <w:lang w:eastAsia="ko-KR"/>
        </w:rPr>
        <w:t>사전연명의료의향서</w:t>
      </w:r>
      <w:proofErr w:type="spellEnd"/>
      <w:r w:rsidRPr="00EA0E8B">
        <w:rPr>
          <w:rFonts w:asciiTheme="minorEastAsia" w:hAnsiTheme="minorEastAsia"/>
          <w:lang w:eastAsia="ko-KR"/>
        </w:rPr>
        <w:t xml:space="preserve"> 운용 경험으로부터 간접적으로 유추하고 있어서, 심도 깊은 논의에 달하지 못하였다.</w:t>
      </w:r>
    </w:p>
    <w:p w14:paraId="412A48A2" w14:textId="61874813"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셋째, 본 논문은 원칙주의를 분석 틀로 채택하였으나 이 이론 자체가 맹렬한 비판을 받고 있다. 원칙주의는 충돌하는 원칙 사이의 우선 순위를 누군가가 조정해야만 하는데, 정작 이를 조율하는 원칙은 존재하지 않는다. 게다가 여전히 온정적 간섭주의의 잔재를 버리지 못하고 있으며, 권력의 비대칭과 구조적 불의를 충분히 다루지 못하고 있다.</w:t>
      </w:r>
      <w:r w:rsidRPr="00EA0E8B">
        <w:rPr>
          <w:rFonts w:asciiTheme="minorEastAsia" w:hAnsiTheme="minorEastAsia"/>
          <w:vertAlign w:val="superscript"/>
          <w:lang w:eastAsia="ko-KR"/>
        </w:rPr>
        <w:t>73,96)</w:t>
      </w:r>
    </w:p>
    <w:p w14:paraId="0E31349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넷째, 본 논문은 화학적 강박에 초점을 맞추고 있지만 강압적 치료의 다른 </w:t>
      </w:r>
      <w:proofErr w:type="spellStart"/>
      <w:r w:rsidRPr="00EA0E8B">
        <w:rPr>
          <w:rFonts w:asciiTheme="minorEastAsia" w:hAnsiTheme="minorEastAsia"/>
          <w:lang w:eastAsia="ko-KR"/>
        </w:rPr>
        <w:t>양상들과의</w:t>
      </w:r>
      <w:proofErr w:type="spellEnd"/>
      <w:r w:rsidRPr="00EA0E8B">
        <w:rPr>
          <w:rFonts w:asciiTheme="minorEastAsia" w:hAnsiTheme="minorEastAsia"/>
          <w:lang w:eastAsia="ko-KR"/>
        </w:rPr>
        <w:t xml:space="preserve"> 차이점을 제대로 다루지 못하였다. 화학적 강박이 신체적 강박보다는 “치료적” 요소의 비중이 더 높다는 차이가 있지만, 화학적 강박에 고유한 윤리적 문제들을 제대로 다루지 못한 것은 논문의 한계이다. 또한 초조/폭력을 가라앉히는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대안에 대해 다루지 못하였다. 화학적 강박을 제한적이나마 허용하기 위해선,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치료로는 도저히 달성할 수 없는 목표를 화학적 강박은 달성할 수 있음이 </w:t>
      </w:r>
      <w:proofErr w:type="spellStart"/>
      <w:r w:rsidRPr="00EA0E8B">
        <w:rPr>
          <w:rFonts w:asciiTheme="minorEastAsia" w:hAnsiTheme="minorEastAsia"/>
          <w:lang w:eastAsia="ko-KR"/>
        </w:rPr>
        <w:t>확실해져야</w:t>
      </w:r>
      <w:proofErr w:type="spellEnd"/>
      <w:r w:rsidRPr="00EA0E8B">
        <w:rPr>
          <w:rFonts w:asciiTheme="minorEastAsia" w:hAnsiTheme="minorEastAsia"/>
          <w:lang w:eastAsia="ko-KR"/>
        </w:rPr>
        <w:t xml:space="preserve"> 한다.</w:t>
      </w:r>
    </w:p>
    <w:p w14:paraId="10BC22A3" w14:textId="058AB4DB" w:rsidR="008A69B1"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화학적 강박을 둘러싼 논쟁은 본질적으로 의학적 필요성과 인권 사이의 양자택일이 아니다. 그것은 환자가 가장 취약한 순간에 그의 안정기 자아와 위기 시점의 자아, 의료진의 임상 판단, 제3자의 안전이 어떤 절차를 통해 조정되어야 하는지에 관한 문제이다. 본 논문이 제시한 가중적 조건 구조와 PAD의 결합은 이 조정의 절차를 </w:t>
      </w:r>
      <w:proofErr w:type="spellStart"/>
      <w:r w:rsidRPr="00EA0E8B">
        <w:rPr>
          <w:rFonts w:asciiTheme="minorEastAsia" w:hAnsiTheme="minorEastAsia"/>
          <w:lang w:eastAsia="ko-KR"/>
        </w:rPr>
        <w:t>명시화하려는</w:t>
      </w:r>
      <w:proofErr w:type="spellEnd"/>
      <w:r w:rsidRPr="00EA0E8B">
        <w:rPr>
          <w:rFonts w:asciiTheme="minorEastAsia" w:hAnsiTheme="minorEastAsia"/>
          <w:lang w:eastAsia="ko-KR"/>
        </w:rPr>
        <w:t xml:space="preserve"> 한 가지 시도이며, 위기 상황 관리의 주안점을 “통제”로부터 “사전 </w:t>
      </w:r>
      <w:r w:rsidRPr="00EA0E8B">
        <w:rPr>
          <w:rFonts w:asciiTheme="minorEastAsia" w:hAnsiTheme="minorEastAsia"/>
          <w:lang w:eastAsia="ko-KR"/>
        </w:rPr>
        <w:lastRenderedPageBreak/>
        <w:t>합의”로 전환하려는 모색의 하나이다. 이를 계기로 더욱 활발한 논의가 진행되기를 희망한다.</w:t>
      </w:r>
    </w:p>
    <w:p w14:paraId="6684F0DA" w14:textId="4A67574E" w:rsidR="005E0378" w:rsidRPr="005E0378" w:rsidRDefault="005E0378" w:rsidP="005E0378">
      <w:pPr>
        <w:shd w:val="clear" w:color="auto" w:fill="FFFFFF"/>
        <w:spacing w:after="0"/>
        <w:rPr>
          <w:rFonts w:ascii="Malgun Gothic" w:eastAsia="Malgun Gothic" w:hAnsi="Malgun Gothic" w:cs="Malgun Gothic"/>
          <w:color w:val="2F312F"/>
          <w:sz w:val="32"/>
          <w:szCs w:val="32"/>
          <w:lang w:val="en-KR" w:eastAsia="ko-KR"/>
        </w:rPr>
      </w:pPr>
      <w:r w:rsidRPr="005E0378">
        <w:rPr>
          <w:rFonts w:ascii="Malgun Gothic" w:eastAsia="Malgun Gothic" w:hAnsi="Malgun Gothic" w:cs="Malgun Gothic" w:hint="eastAsia"/>
          <w:color w:val="2F312F"/>
          <w:sz w:val="32"/>
          <w:szCs w:val="32"/>
          <w:lang w:val="en-KR" w:eastAsia="ko-KR"/>
        </w:rPr>
        <w:t>이해관계</w:t>
      </w:r>
    </w:p>
    <w:p w14:paraId="17A0AAB7" w14:textId="5FEEF9B0"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r>
        <w:rPr>
          <w:rFonts w:ascii="Malgun Gothic" w:eastAsia="Malgun Gothic" w:hAnsi="Malgun Gothic" w:cs="Malgun Gothic" w:hint="eastAsia"/>
          <w:color w:val="2F312F"/>
          <w:sz w:val="20"/>
          <w:szCs w:val="20"/>
          <w:lang w:val="en-KR" w:eastAsia="ko-KR"/>
        </w:rPr>
        <w:t>없음</w:t>
      </w:r>
    </w:p>
    <w:p w14:paraId="1ADDFFD3" w14:textId="77777777"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p>
    <w:p w14:paraId="2E6355EC" w14:textId="77777777" w:rsidR="005E0378" w:rsidRPr="005E0378" w:rsidRDefault="005E0378" w:rsidP="005E0378">
      <w:pPr>
        <w:shd w:val="clear" w:color="auto" w:fill="FFFFFF"/>
        <w:spacing w:after="0"/>
        <w:rPr>
          <w:rFonts w:ascii="Arial" w:eastAsia="Times New Roman" w:hAnsi="Arial" w:cs="Arial" w:hint="eastAsia"/>
          <w:color w:val="2F312F"/>
          <w:sz w:val="20"/>
          <w:szCs w:val="20"/>
          <w:lang w:val="en-KR" w:eastAsia="ko-KR"/>
        </w:rPr>
      </w:pPr>
    </w:p>
    <w:p w14:paraId="3548ECA2" w14:textId="77777777" w:rsidR="008A69B1" w:rsidRDefault="008A69B1">
      <w:pPr>
        <w:rPr>
          <w:rFonts w:asciiTheme="minorEastAsia" w:hAnsiTheme="minorEastAsia"/>
          <w:lang w:eastAsia="ko-KR"/>
        </w:rPr>
      </w:pPr>
      <w:r>
        <w:rPr>
          <w:rFonts w:asciiTheme="minorEastAsia" w:hAnsiTheme="minorEastAsia"/>
          <w:lang w:eastAsia="ko-KR"/>
        </w:rPr>
        <w:br w:type="page"/>
      </w:r>
    </w:p>
    <w:p w14:paraId="74B6027F" w14:textId="16CA0ADA" w:rsidR="003B3FC7" w:rsidRPr="008A69B1" w:rsidRDefault="008A69B1" w:rsidP="00EA0E8B">
      <w:pPr>
        <w:pStyle w:val="BodyText"/>
        <w:spacing w:line="480" w:lineRule="auto"/>
        <w:rPr>
          <w:rFonts w:asciiTheme="minorEastAsia" w:hAnsiTheme="minorEastAsia" w:hint="eastAsia"/>
          <w:b/>
          <w:bCs/>
          <w:sz w:val="32"/>
          <w:szCs w:val="32"/>
          <w:lang w:eastAsia="ko-KR"/>
        </w:rPr>
      </w:pPr>
      <w:r w:rsidRPr="008A69B1">
        <w:rPr>
          <w:rFonts w:asciiTheme="minorEastAsia" w:hAnsiTheme="minorEastAsia" w:hint="eastAsia"/>
          <w:b/>
          <w:bCs/>
          <w:sz w:val="32"/>
          <w:szCs w:val="32"/>
          <w:lang w:eastAsia="ko-KR"/>
        </w:rPr>
        <w:lastRenderedPageBreak/>
        <w:t>참고문헌</w:t>
      </w:r>
    </w:p>
    <w:p w14:paraId="1C897227" w14:textId="77777777" w:rsidR="003B3FC7" w:rsidRPr="00EA0E8B" w:rsidRDefault="00000000" w:rsidP="00EA0E8B">
      <w:pPr>
        <w:pStyle w:val="Bibliography"/>
        <w:spacing w:line="480" w:lineRule="auto"/>
        <w:rPr>
          <w:rFonts w:asciiTheme="minorEastAsia" w:hAnsiTheme="minorEastAsia"/>
        </w:rPr>
      </w:pPr>
      <w:bookmarkStart w:id="29" w:name="ref-hankin2011agitation"/>
      <w:bookmarkStart w:id="30" w:name="refs"/>
      <w:r w:rsidRPr="00EA0E8B">
        <w:rPr>
          <w:rFonts w:asciiTheme="minorEastAsia" w:hAnsiTheme="minorEastAsia"/>
        </w:rPr>
        <w:t xml:space="preserve">1. </w:t>
      </w:r>
      <w:r w:rsidRPr="00EA0E8B">
        <w:rPr>
          <w:rFonts w:asciiTheme="minorEastAsia" w:hAnsiTheme="minorEastAsia"/>
        </w:rPr>
        <w:tab/>
        <w:t xml:space="preserve">Hankin CS, Bronstone A, Koran LM. </w:t>
      </w:r>
      <w:hyperlink r:id="rId6">
        <w:r w:rsidRPr="00EA0E8B">
          <w:rPr>
            <w:rStyle w:val="Hyperlink"/>
            <w:rFonts w:asciiTheme="minorEastAsia" w:hAnsiTheme="minorEastAsia"/>
          </w:rPr>
          <w:t>Agitation in the inpatient psychiatric setting</w:t>
        </w:r>
      </w:hyperlink>
      <w:r w:rsidRPr="00EA0E8B">
        <w:rPr>
          <w:rFonts w:asciiTheme="minorEastAsia" w:hAnsiTheme="minorEastAsia"/>
        </w:rPr>
        <w:t>. Journal of Psychiatric Practice 2011;17:170–185.</w:t>
      </w:r>
    </w:p>
    <w:p w14:paraId="5FECF8B7" w14:textId="77777777" w:rsidR="003B3FC7" w:rsidRPr="00EA0E8B" w:rsidRDefault="00000000" w:rsidP="00EA0E8B">
      <w:pPr>
        <w:pStyle w:val="Bibliography"/>
        <w:spacing w:line="480" w:lineRule="auto"/>
        <w:rPr>
          <w:rFonts w:asciiTheme="minorEastAsia" w:hAnsiTheme="minorEastAsia"/>
        </w:rPr>
      </w:pPr>
      <w:bookmarkStart w:id="31" w:name="ref-san2016state"/>
      <w:bookmarkEnd w:id="29"/>
      <w:r w:rsidRPr="00EA0E8B">
        <w:rPr>
          <w:rFonts w:asciiTheme="minorEastAsia" w:hAnsiTheme="minorEastAsia"/>
        </w:rPr>
        <w:t xml:space="preserve">2. </w:t>
      </w:r>
      <w:r w:rsidRPr="00EA0E8B">
        <w:rPr>
          <w:rFonts w:asciiTheme="minorEastAsia" w:hAnsiTheme="minorEastAsia"/>
        </w:rPr>
        <w:tab/>
        <w:t xml:space="preserve">San L, Marksteiner J, Zwanzger P, Figuero MA, Romero FT, Kyropoulos G, et al. </w:t>
      </w:r>
      <w:hyperlink r:id="rId7">
        <w:r w:rsidRPr="00EA0E8B">
          <w:rPr>
            <w:rStyle w:val="Hyperlink"/>
            <w:rFonts w:asciiTheme="minorEastAsia" w:hAnsiTheme="minorEastAsia"/>
          </w:rPr>
          <w:t>State of acute agitation at psychiatric emergencies in europe: The STAGE study</w:t>
        </w:r>
      </w:hyperlink>
      <w:r w:rsidRPr="00EA0E8B">
        <w:rPr>
          <w:rFonts w:asciiTheme="minorEastAsia" w:hAnsiTheme="minorEastAsia"/>
        </w:rPr>
        <w:t>. Clinical Practice &amp;amp; Epidemiology in Mental Health 2016;12:75–86.</w:t>
      </w:r>
    </w:p>
    <w:p w14:paraId="210E6750" w14:textId="77777777" w:rsidR="003B3FC7" w:rsidRPr="00EA0E8B" w:rsidRDefault="00000000" w:rsidP="00EA0E8B">
      <w:pPr>
        <w:pStyle w:val="Bibliography"/>
        <w:spacing w:line="480" w:lineRule="auto"/>
        <w:rPr>
          <w:rFonts w:asciiTheme="minorEastAsia" w:hAnsiTheme="minorEastAsia"/>
        </w:rPr>
      </w:pPr>
      <w:bookmarkStart w:id="32" w:name="ref-rocca2006managing"/>
      <w:bookmarkEnd w:id="31"/>
      <w:r w:rsidRPr="00EA0E8B">
        <w:rPr>
          <w:rFonts w:asciiTheme="minorEastAsia" w:hAnsiTheme="minorEastAsia"/>
        </w:rPr>
        <w:t xml:space="preserve">3. </w:t>
      </w:r>
      <w:r w:rsidRPr="00EA0E8B">
        <w:rPr>
          <w:rFonts w:asciiTheme="minorEastAsia" w:hAnsiTheme="minorEastAsia"/>
        </w:rPr>
        <w:tab/>
        <w:t xml:space="preserve">Rocca P, Villari V, Bogetto F. </w:t>
      </w:r>
      <w:hyperlink r:id="rId8">
        <w:r w:rsidRPr="00EA0E8B">
          <w:rPr>
            <w:rStyle w:val="Hyperlink"/>
            <w:rFonts w:asciiTheme="minorEastAsia" w:hAnsiTheme="minorEastAsia"/>
          </w:rPr>
          <w:t>Managing the aggressive and violent patient in the psychiatric emergency</w:t>
        </w:r>
      </w:hyperlink>
      <w:r w:rsidRPr="00EA0E8B">
        <w:rPr>
          <w:rFonts w:asciiTheme="minorEastAsia" w:hAnsiTheme="minorEastAsia"/>
        </w:rPr>
        <w:t>. Progress in Neuro-Psychopharmacology and Biological Psychiatry 2006;30:586–598.</w:t>
      </w:r>
    </w:p>
    <w:p w14:paraId="409E31F1" w14:textId="77777777" w:rsidR="003B3FC7" w:rsidRPr="00EA0E8B" w:rsidRDefault="00000000" w:rsidP="00EA0E8B">
      <w:pPr>
        <w:pStyle w:val="Bibliography"/>
        <w:spacing w:line="480" w:lineRule="auto"/>
        <w:rPr>
          <w:rFonts w:asciiTheme="minorEastAsia" w:hAnsiTheme="minorEastAsia"/>
        </w:rPr>
      </w:pPr>
      <w:bookmarkStart w:id="33" w:name="ref-butterworth2022"/>
      <w:bookmarkEnd w:id="32"/>
      <w:r w:rsidRPr="00EA0E8B">
        <w:rPr>
          <w:rFonts w:asciiTheme="minorEastAsia" w:hAnsiTheme="minorEastAsia"/>
        </w:rPr>
        <w:t xml:space="preserve">4. </w:t>
      </w:r>
      <w:r w:rsidRPr="00EA0E8B">
        <w:rPr>
          <w:rFonts w:asciiTheme="minorEastAsia" w:hAnsiTheme="minorEastAsia"/>
        </w:rPr>
        <w:tab/>
        <w:t xml:space="preserve">Butterworth H, Wood L, Rowe S. </w:t>
      </w:r>
      <w:hyperlink r:id="rId9">
        <w:r w:rsidRPr="00EA0E8B">
          <w:rPr>
            <w:rStyle w:val="Hyperlink"/>
            <w:rFonts w:asciiTheme="minorEastAsia" w:hAnsiTheme="minorEastAsia"/>
          </w:rPr>
          <w:t>Patients’ and staff members’ experiences of restrictive practices in acute mental health in-patient settings: Systematic review and thematic synthesis</w:t>
        </w:r>
      </w:hyperlink>
      <w:r w:rsidRPr="00EA0E8B">
        <w:rPr>
          <w:rFonts w:asciiTheme="minorEastAsia" w:hAnsiTheme="minorEastAsia"/>
        </w:rPr>
        <w:t>. BJPsych Open 2022;8.</w:t>
      </w:r>
    </w:p>
    <w:p w14:paraId="0FEEC824" w14:textId="77777777" w:rsidR="003B3FC7" w:rsidRPr="00EA0E8B" w:rsidRDefault="00000000" w:rsidP="00EA0E8B">
      <w:pPr>
        <w:pStyle w:val="Bibliography"/>
        <w:spacing w:line="480" w:lineRule="auto"/>
        <w:rPr>
          <w:rFonts w:asciiTheme="minorEastAsia" w:hAnsiTheme="minorEastAsia"/>
        </w:rPr>
      </w:pPr>
      <w:bookmarkStart w:id="34" w:name="ref-laureano2024ethical"/>
      <w:bookmarkEnd w:id="33"/>
      <w:r w:rsidRPr="00EA0E8B">
        <w:rPr>
          <w:rFonts w:asciiTheme="minorEastAsia" w:hAnsiTheme="minorEastAsia"/>
        </w:rPr>
        <w:lastRenderedPageBreak/>
        <w:t xml:space="preserve">5. </w:t>
      </w:r>
      <w:r w:rsidRPr="00EA0E8B">
        <w:rPr>
          <w:rFonts w:asciiTheme="minorEastAsia" w:hAnsiTheme="minorEastAsia"/>
        </w:rPr>
        <w:tab/>
        <w:t xml:space="preserve">Laureano CD, Laranjeira C, Querido A, Dixe MA, Rego F. </w:t>
      </w:r>
      <w:hyperlink r:id="rId10">
        <w:r w:rsidRPr="00EA0E8B">
          <w:rPr>
            <w:rStyle w:val="Hyperlink"/>
            <w:rFonts w:asciiTheme="minorEastAsia" w:hAnsiTheme="minorEastAsia"/>
          </w:rPr>
          <w:t>Ethical issues in clinical decision-making about involuntary psychiatric treatment: A scoping review</w:t>
        </w:r>
      </w:hyperlink>
      <w:r w:rsidRPr="00EA0E8B">
        <w:rPr>
          <w:rFonts w:asciiTheme="minorEastAsia" w:hAnsiTheme="minorEastAsia"/>
        </w:rPr>
        <w:t>. Healthcare 2024;12:445.</w:t>
      </w:r>
    </w:p>
    <w:p w14:paraId="5680BB88" w14:textId="77777777" w:rsidR="003B3FC7" w:rsidRPr="00EA0E8B" w:rsidRDefault="00000000" w:rsidP="00EA0E8B">
      <w:pPr>
        <w:pStyle w:val="Bibliography"/>
        <w:spacing w:line="480" w:lineRule="auto"/>
        <w:rPr>
          <w:rFonts w:asciiTheme="minorEastAsia" w:hAnsiTheme="minorEastAsia"/>
        </w:rPr>
      </w:pPr>
      <w:bookmarkStart w:id="35" w:name="ref-hupé2024defining"/>
      <w:bookmarkEnd w:id="34"/>
      <w:r w:rsidRPr="00EA0E8B">
        <w:rPr>
          <w:rFonts w:asciiTheme="minorEastAsia" w:hAnsiTheme="minorEastAsia"/>
        </w:rPr>
        <w:t xml:space="preserve">6. </w:t>
      </w:r>
      <w:r w:rsidRPr="00EA0E8B">
        <w:rPr>
          <w:rFonts w:asciiTheme="minorEastAsia" w:hAnsiTheme="minorEastAsia"/>
        </w:rPr>
        <w:tab/>
        <w:t xml:space="preserve">Hupé C, Larue C, Contandriopoulos D. </w:t>
      </w:r>
      <w:hyperlink r:id="rId11">
        <w:r w:rsidRPr="00EA0E8B">
          <w:rPr>
            <w:rStyle w:val="Hyperlink"/>
            <w:rFonts w:asciiTheme="minorEastAsia" w:hAnsiTheme="minorEastAsia"/>
          </w:rPr>
          <w:t>Defining chemical restraint: A preliminary step towards measurement and quality assessment</w:t>
        </w:r>
      </w:hyperlink>
      <w:r w:rsidRPr="00EA0E8B">
        <w:rPr>
          <w:rFonts w:asciiTheme="minorEastAsia" w:hAnsiTheme="minorEastAsia"/>
        </w:rPr>
        <w:t>. Aggression and Violent Behavior 2024;77:101926.</w:t>
      </w:r>
    </w:p>
    <w:p w14:paraId="23A741ED" w14:textId="77777777" w:rsidR="003B3FC7" w:rsidRPr="00EA0E8B" w:rsidRDefault="00000000" w:rsidP="00EA0E8B">
      <w:pPr>
        <w:pStyle w:val="Bibliography"/>
        <w:spacing w:line="480" w:lineRule="auto"/>
        <w:rPr>
          <w:rFonts w:asciiTheme="minorEastAsia" w:hAnsiTheme="minorEastAsia"/>
        </w:rPr>
      </w:pPr>
      <w:bookmarkStart w:id="36" w:name="ref-currier2003the"/>
      <w:bookmarkEnd w:id="35"/>
      <w:r w:rsidRPr="00EA0E8B">
        <w:rPr>
          <w:rFonts w:asciiTheme="minorEastAsia" w:hAnsiTheme="minorEastAsia"/>
        </w:rPr>
        <w:t xml:space="preserve">7. </w:t>
      </w:r>
      <w:r w:rsidRPr="00EA0E8B">
        <w:rPr>
          <w:rFonts w:asciiTheme="minorEastAsia" w:hAnsiTheme="minorEastAsia"/>
        </w:rPr>
        <w:tab/>
        <w:t xml:space="preserve">CURRIER GW. </w:t>
      </w:r>
      <w:hyperlink r:id="rId12">
        <w:r w:rsidRPr="00EA0E8B">
          <w:rPr>
            <w:rStyle w:val="Hyperlink"/>
            <w:rFonts w:asciiTheme="minorEastAsia" w:hAnsiTheme="minorEastAsia"/>
          </w:rPr>
          <w:t>The controversy over ‘chemical restraint’ in acute care psychiatry</w:t>
        </w:r>
      </w:hyperlink>
      <w:r w:rsidRPr="00EA0E8B">
        <w:rPr>
          <w:rFonts w:asciiTheme="minorEastAsia" w:hAnsiTheme="minorEastAsia"/>
        </w:rPr>
        <w:t>. Journal of Psychiatric Practice 2003;9:59–70.</w:t>
      </w:r>
    </w:p>
    <w:p w14:paraId="6298DBB1" w14:textId="77777777" w:rsidR="003B3FC7" w:rsidRPr="00EA0E8B" w:rsidRDefault="00000000" w:rsidP="00EA0E8B">
      <w:pPr>
        <w:pStyle w:val="Bibliography"/>
        <w:spacing w:line="480" w:lineRule="auto"/>
        <w:rPr>
          <w:rFonts w:asciiTheme="minorEastAsia" w:hAnsiTheme="minorEastAsia"/>
        </w:rPr>
      </w:pPr>
      <w:bookmarkStart w:id="37" w:name="ref-richmond2012verbal"/>
      <w:bookmarkEnd w:id="36"/>
      <w:r w:rsidRPr="00EA0E8B">
        <w:rPr>
          <w:rFonts w:asciiTheme="minorEastAsia" w:hAnsiTheme="minorEastAsia"/>
        </w:rPr>
        <w:t xml:space="preserve">8. </w:t>
      </w:r>
      <w:r w:rsidRPr="00EA0E8B">
        <w:rPr>
          <w:rFonts w:asciiTheme="minorEastAsia" w:hAnsiTheme="minorEastAsia"/>
        </w:rPr>
        <w:tab/>
        <w:t xml:space="preserve">Richmond J, Berlin J, Fishkind A, Holloman G, Zeller S, Wilson M, et al. </w:t>
      </w:r>
      <w:hyperlink r:id="rId13">
        <w:r w:rsidRPr="00EA0E8B">
          <w:rPr>
            <w:rStyle w:val="Hyperlink"/>
            <w:rFonts w:asciiTheme="minorEastAsia" w:hAnsiTheme="minorEastAsia"/>
          </w:rPr>
          <w:t>Verbal de-escalation of the agitated patient: Consensus statement of the american association for emergency psychiatry project BETA de-escalation workgroup</w:t>
        </w:r>
      </w:hyperlink>
      <w:r w:rsidRPr="00EA0E8B">
        <w:rPr>
          <w:rFonts w:asciiTheme="minorEastAsia" w:hAnsiTheme="minorEastAsia"/>
        </w:rPr>
        <w:t>. Western Journal of Emergency Medicine 2012;13:17–25.</w:t>
      </w:r>
    </w:p>
    <w:p w14:paraId="1D30F0CA" w14:textId="77777777" w:rsidR="003B3FC7" w:rsidRPr="00EA0E8B" w:rsidRDefault="00000000" w:rsidP="00EA0E8B">
      <w:pPr>
        <w:pStyle w:val="Bibliography"/>
        <w:spacing w:line="480" w:lineRule="auto"/>
        <w:rPr>
          <w:rFonts w:asciiTheme="minorEastAsia" w:hAnsiTheme="minorEastAsia"/>
        </w:rPr>
      </w:pPr>
      <w:bookmarkStart w:id="38" w:name="ref-resnick2019malpractice"/>
      <w:bookmarkEnd w:id="37"/>
      <w:r w:rsidRPr="00EA0E8B">
        <w:rPr>
          <w:rFonts w:asciiTheme="minorEastAsia" w:hAnsiTheme="minorEastAsia"/>
        </w:rPr>
        <w:t xml:space="preserve">9. </w:t>
      </w:r>
      <w:r w:rsidRPr="00EA0E8B">
        <w:rPr>
          <w:rFonts w:asciiTheme="minorEastAsia" w:hAnsiTheme="minorEastAsia"/>
        </w:rPr>
        <w:tab/>
        <w:t xml:space="preserve">Resnick P, Saxton A. </w:t>
      </w:r>
      <w:hyperlink r:id="rId14">
        <w:r w:rsidRPr="00EA0E8B">
          <w:rPr>
            <w:rStyle w:val="Hyperlink"/>
            <w:rFonts w:asciiTheme="minorEastAsia" w:hAnsiTheme="minorEastAsia"/>
          </w:rPr>
          <w:t>Malpractice liability due to patient violence</w:t>
        </w:r>
      </w:hyperlink>
      <w:r w:rsidRPr="00EA0E8B">
        <w:rPr>
          <w:rFonts w:asciiTheme="minorEastAsia" w:hAnsiTheme="minorEastAsia"/>
        </w:rPr>
        <w:t>. Focus 2019;17:343–348.</w:t>
      </w:r>
    </w:p>
    <w:p w14:paraId="799246E7" w14:textId="77777777" w:rsidR="003B3FC7" w:rsidRPr="00EA0E8B" w:rsidRDefault="00000000" w:rsidP="00EA0E8B">
      <w:pPr>
        <w:pStyle w:val="Bibliography"/>
        <w:spacing w:line="480" w:lineRule="auto"/>
        <w:rPr>
          <w:rFonts w:asciiTheme="minorEastAsia" w:hAnsiTheme="minorEastAsia"/>
        </w:rPr>
      </w:pPr>
      <w:bookmarkStart w:id="39" w:name="ref-becker2020implied"/>
      <w:bookmarkEnd w:id="38"/>
      <w:r w:rsidRPr="00EA0E8B">
        <w:rPr>
          <w:rFonts w:asciiTheme="minorEastAsia" w:hAnsiTheme="minorEastAsia"/>
        </w:rPr>
        <w:lastRenderedPageBreak/>
        <w:t xml:space="preserve">10. </w:t>
      </w:r>
      <w:r w:rsidRPr="00EA0E8B">
        <w:rPr>
          <w:rFonts w:asciiTheme="minorEastAsia" w:hAnsiTheme="minorEastAsia"/>
        </w:rPr>
        <w:tab/>
        <w:t xml:space="preserve">Becker SHD, Forman H. </w:t>
      </w:r>
      <w:hyperlink r:id="rId15">
        <w:r w:rsidRPr="00EA0E8B">
          <w:rPr>
            <w:rStyle w:val="Hyperlink"/>
            <w:rFonts w:asciiTheme="minorEastAsia" w:hAnsiTheme="minorEastAsia"/>
          </w:rPr>
          <w:t>Implied consent in treating psychiatric emergencies</w:t>
        </w:r>
      </w:hyperlink>
      <w:r w:rsidRPr="00EA0E8B">
        <w:rPr>
          <w:rFonts w:asciiTheme="minorEastAsia" w:hAnsiTheme="minorEastAsia"/>
        </w:rPr>
        <w:t>. Frontiers in Psychiatry 2020;11.</w:t>
      </w:r>
    </w:p>
    <w:p w14:paraId="7BB6FDBB" w14:textId="77777777" w:rsidR="003B3FC7" w:rsidRPr="00EA0E8B" w:rsidRDefault="00000000" w:rsidP="00EA0E8B">
      <w:pPr>
        <w:pStyle w:val="Bibliography"/>
        <w:spacing w:line="480" w:lineRule="auto"/>
        <w:rPr>
          <w:rFonts w:asciiTheme="minorEastAsia" w:hAnsiTheme="minorEastAsia"/>
        </w:rPr>
      </w:pPr>
      <w:bookmarkStart w:id="40" w:name="ref-scholten2019psychiatric"/>
      <w:bookmarkEnd w:id="39"/>
      <w:r w:rsidRPr="00EA0E8B">
        <w:rPr>
          <w:rFonts w:asciiTheme="minorEastAsia" w:hAnsiTheme="minorEastAsia"/>
        </w:rPr>
        <w:t xml:space="preserve">11. </w:t>
      </w:r>
      <w:r w:rsidRPr="00EA0E8B">
        <w:rPr>
          <w:rFonts w:asciiTheme="minorEastAsia" w:hAnsiTheme="minorEastAsia"/>
        </w:rPr>
        <w:tab/>
        <w:t xml:space="preserve">Scholten M, Gieselmann A, Gather J, Vollmann J. </w:t>
      </w:r>
      <w:hyperlink r:id="rId16">
        <w:r w:rsidRPr="00EA0E8B">
          <w:rPr>
            <w:rStyle w:val="Hyperlink"/>
            <w:rFonts w:asciiTheme="minorEastAsia" w:hAnsiTheme="minorEastAsia"/>
          </w:rPr>
          <w:t>Psychiatric advance directives under the convention on the rights of persons with disabilities: Why advance instructions should be able to override current preferences</w:t>
        </w:r>
      </w:hyperlink>
      <w:r w:rsidRPr="00EA0E8B">
        <w:rPr>
          <w:rFonts w:asciiTheme="minorEastAsia" w:hAnsiTheme="minorEastAsia"/>
        </w:rPr>
        <w:t>. Frontiers in Psychiatry 2019;10.</w:t>
      </w:r>
    </w:p>
    <w:p w14:paraId="3630EBD7" w14:textId="77777777" w:rsidR="003B3FC7" w:rsidRPr="00EA0E8B" w:rsidRDefault="00000000" w:rsidP="00EA0E8B">
      <w:pPr>
        <w:pStyle w:val="Bibliography"/>
        <w:spacing w:line="480" w:lineRule="auto"/>
        <w:rPr>
          <w:rFonts w:asciiTheme="minorEastAsia" w:hAnsiTheme="minorEastAsia"/>
        </w:rPr>
      </w:pPr>
      <w:bookmarkStart w:id="41" w:name="ref-CMS2008SC0818"/>
      <w:bookmarkEnd w:id="40"/>
      <w:r w:rsidRPr="00EA0E8B">
        <w:rPr>
          <w:rFonts w:asciiTheme="minorEastAsia" w:hAnsiTheme="minorEastAsia"/>
        </w:rPr>
        <w:t xml:space="preserve">12. </w:t>
      </w:r>
      <w:r w:rsidRPr="00EA0E8B">
        <w:rPr>
          <w:rFonts w:asciiTheme="minorEastAsia" w:hAnsiTheme="minorEastAsia"/>
        </w:rPr>
        <w:tab/>
        <w:t xml:space="preserve">Centers for Medicare &amp; Medicaid Services, Survey and Certification Group. </w:t>
      </w:r>
      <w:hyperlink r:id="rId17">
        <w:r w:rsidRPr="00EA0E8B">
          <w:rPr>
            <w:rStyle w:val="Hyperlink"/>
            <w:rFonts w:asciiTheme="minorEastAsia" w:hAnsiTheme="minorEastAsia"/>
          </w:rPr>
          <w:t>Hospitals – restraint/seclusion interpretive guidelines &amp; updated state operations manual (SOM) appendix A</w:t>
        </w:r>
      </w:hyperlink>
      <w:r w:rsidRPr="00EA0E8B">
        <w:rPr>
          <w:rFonts w:asciiTheme="minorEastAsia" w:hAnsiTheme="minorEastAsia"/>
        </w:rPr>
        <w:t>. Baltimore, Maryland: Department of Health &amp; Human Services, Centers for Medicare &amp; Medicaid Services; 2008.</w:t>
      </w:r>
    </w:p>
    <w:p w14:paraId="0DD46928" w14:textId="77777777" w:rsidR="003B3FC7" w:rsidRPr="00EA0E8B" w:rsidRDefault="00000000" w:rsidP="00EA0E8B">
      <w:pPr>
        <w:pStyle w:val="Bibliography"/>
        <w:spacing w:line="480" w:lineRule="auto"/>
        <w:rPr>
          <w:rFonts w:asciiTheme="minorEastAsia" w:hAnsiTheme="minorEastAsia"/>
        </w:rPr>
      </w:pPr>
      <w:bookmarkStart w:id="42" w:name="ref-muluneh2024variations"/>
      <w:bookmarkEnd w:id="41"/>
      <w:r w:rsidRPr="00EA0E8B">
        <w:rPr>
          <w:rFonts w:asciiTheme="minorEastAsia" w:hAnsiTheme="minorEastAsia"/>
        </w:rPr>
        <w:t xml:space="preserve">13. </w:t>
      </w:r>
      <w:r w:rsidRPr="00EA0E8B">
        <w:rPr>
          <w:rFonts w:asciiTheme="minorEastAsia" w:hAnsiTheme="minorEastAsia"/>
        </w:rPr>
        <w:tab/>
        <w:t xml:space="preserve">Muluneh ZB, Chavulak J, Lee D-CA, Petrakis M, Haines TP. </w:t>
      </w:r>
      <w:hyperlink r:id="rId18">
        <w:r w:rsidRPr="00EA0E8B">
          <w:rPr>
            <w:rStyle w:val="Hyperlink"/>
            <w:rFonts w:asciiTheme="minorEastAsia" w:hAnsiTheme="minorEastAsia"/>
          </w:rPr>
          <w:t>Variations in definitions used for describing restrictive care practices (seclusion and restraint) in adult mental health inpatient units: A systematic review and content analysis</w:t>
        </w:r>
      </w:hyperlink>
      <w:r w:rsidRPr="00EA0E8B">
        <w:rPr>
          <w:rFonts w:asciiTheme="minorEastAsia" w:hAnsiTheme="minorEastAsia"/>
        </w:rPr>
        <w:t>. Social Psychiatry and Psychiatric Epidemiology 2024;60:1–24.</w:t>
      </w:r>
    </w:p>
    <w:p w14:paraId="28D2D30A" w14:textId="77777777" w:rsidR="003B3FC7" w:rsidRPr="00EA0E8B" w:rsidRDefault="00000000" w:rsidP="00EA0E8B">
      <w:pPr>
        <w:pStyle w:val="Bibliography"/>
        <w:spacing w:line="480" w:lineRule="auto"/>
        <w:rPr>
          <w:rFonts w:asciiTheme="minorEastAsia" w:hAnsiTheme="minorEastAsia"/>
        </w:rPr>
      </w:pPr>
      <w:bookmarkStart w:id="43" w:name="ref-shorter1997"/>
      <w:bookmarkEnd w:id="42"/>
      <w:r w:rsidRPr="00EA0E8B">
        <w:rPr>
          <w:rFonts w:asciiTheme="minorEastAsia" w:hAnsiTheme="minorEastAsia"/>
        </w:rPr>
        <w:lastRenderedPageBreak/>
        <w:t xml:space="preserve">14. </w:t>
      </w:r>
      <w:r w:rsidRPr="00EA0E8B">
        <w:rPr>
          <w:rFonts w:asciiTheme="minorEastAsia" w:hAnsiTheme="minorEastAsia"/>
        </w:rPr>
        <w:tab/>
        <w:t>Shorter E. A history of psychiatry: From the era of the asylum to the age of prozac. Oxford, England: John Wiley &amp; Sons; 1997.</w:t>
      </w:r>
    </w:p>
    <w:p w14:paraId="3AF6E041" w14:textId="77777777" w:rsidR="003B3FC7" w:rsidRPr="00EA0E8B" w:rsidRDefault="00000000" w:rsidP="00EA0E8B">
      <w:pPr>
        <w:pStyle w:val="Bibliography"/>
        <w:spacing w:line="480" w:lineRule="auto"/>
        <w:rPr>
          <w:rFonts w:asciiTheme="minorEastAsia" w:hAnsiTheme="minorEastAsia"/>
        </w:rPr>
      </w:pPr>
      <w:bookmarkStart w:id="44" w:name="ref-healy2002the"/>
      <w:bookmarkEnd w:id="43"/>
      <w:r w:rsidRPr="00EA0E8B">
        <w:rPr>
          <w:rFonts w:asciiTheme="minorEastAsia" w:hAnsiTheme="minorEastAsia"/>
        </w:rPr>
        <w:t xml:space="preserve">15. </w:t>
      </w:r>
      <w:r w:rsidRPr="00EA0E8B">
        <w:rPr>
          <w:rFonts w:asciiTheme="minorEastAsia" w:hAnsiTheme="minorEastAsia"/>
        </w:rPr>
        <w:tab/>
        <w:t xml:space="preserve">Healy D. </w:t>
      </w:r>
      <w:hyperlink r:id="rId19">
        <w:r w:rsidRPr="00EA0E8B">
          <w:rPr>
            <w:rStyle w:val="Hyperlink"/>
            <w:rFonts w:asciiTheme="minorEastAsia" w:hAnsiTheme="minorEastAsia"/>
          </w:rPr>
          <w:t>The creation of psychopharmacology</w:t>
        </w:r>
      </w:hyperlink>
      <w:r w:rsidRPr="00EA0E8B">
        <w:rPr>
          <w:rFonts w:asciiTheme="minorEastAsia" w:hAnsiTheme="minorEastAsia"/>
        </w:rPr>
        <w:t>. 2002;</w:t>
      </w:r>
    </w:p>
    <w:p w14:paraId="2C05EB3E" w14:textId="77777777" w:rsidR="003B3FC7" w:rsidRPr="00EA0E8B" w:rsidRDefault="00000000" w:rsidP="00EA0E8B">
      <w:pPr>
        <w:pStyle w:val="Bibliography"/>
        <w:spacing w:line="480" w:lineRule="auto"/>
        <w:rPr>
          <w:rFonts w:asciiTheme="minorEastAsia" w:hAnsiTheme="minorEastAsia"/>
        </w:rPr>
      </w:pPr>
      <w:bookmarkStart w:id="45" w:name="ref-richter2024coercive"/>
      <w:bookmarkEnd w:id="44"/>
      <w:r w:rsidRPr="00EA0E8B">
        <w:rPr>
          <w:rFonts w:asciiTheme="minorEastAsia" w:hAnsiTheme="minorEastAsia"/>
        </w:rPr>
        <w:t xml:space="preserve">16. </w:t>
      </w:r>
      <w:r w:rsidRPr="00EA0E8B">
        <w:rPr>
          <w:rFonts w:asciiTheme="minorEastAsia" w:hAnsiTheme="minorEastAsia"/>
        </w:rPr>
        <w:tab/>
        <w:t xml:space="preserve">Richter D. </w:t>
      </w:r>
      <w:hyperlink r:id="rId20">
        <w:r w:rsidRPr="00EA0E8B">
          <w:rPr>
            <w:rStyle w:val="Hyperlink"/>
            <w:rFonts w:asciiTheme="minorEastAsia" w:hAnsiTheme="minorEastAsia"/>
          </w:rPr>
          <w:t>Coercive measures in psychiatry can hardly be justified in principle any longer—ethico</w:t>
        </w:r>
        <w:r w:rsidRPr="00EA0E8B">
          <w:rPr>
            <w:rStyle w:val="Hyperlink"/>
            <w:rFonts w:ascii="Cambria Math" w:hAnsi="Cambria Math" w:cs="Cambria Math"/>
          </w:rPr>
          <w:t>‐</w:t>
        </w:r>
        <w:r w:rsidRPr="00EA0E8B">
          <w:rPr>
            <w:rStyle w:val="Hyperlink"/>
            <w:rFonts w:asciiTheme="minorEastAsia" w:hAnsiTheme="minorEastAsia"/>
          </w:rPr>
          <w:t>legal requirements versus empirical research data and conceptual issues</w:t>
        </w:r>
      </w:hyperlink>
      <w:r w:rsidRPr="00EA0E8B">
        <w:rPr>
          <w:rFonts w:asciiTheme="minorEastAsia" w:hAnsiTheme="minorEastAsia"/>
        </w:rPr>
        <w:t>. Journal of Psychiatric and Mental Health Nursing 2024;32:461–466.</w:t>
      </w:r>
    </w:p>
    <w:p w14:paraId="7A1E63E4" w14:textId="77777777" w:rsidR="003B3FC7" w:rsidRPr="00EA0E8B" w:rsidRDefault="00000000" w:rsidP="00EA0E8B">
      <w:pPr>
        <w:pStyle w:val="Bibliography"/>
        <w:spacing w:line="480" w:lineRule="auto"/>
        <w:rPr>
          <w:rFonts w:asciiTheme="minorEastAsia" w:hAnsiTheme="minorEastAsia"/>
        </w:rPr>
      </w:pPr>
      <w:bookmarkStart w:id="46" w:name="ref-allison2014"/>
      <w:bookmarkEnd w:id="45"/>
      <w:r w:rsidRPr="00EA0E8B">
        <w:rPr>
          <w:rFonts w:asciiTheme="minorEastAsia" w:hAnsiTheme="minorEastAsia"/>
        </w:rPr>
        <w:t xml:space="preserve">17. </w:t>
      </w:r>
      <w:r w:rsidRPr="00EA0E8B">
        <w:rPr>
          <w:rFonts w:asciiTheme="minorEastAsia" w:hAnsiTheme="minorEastAsia"/>
        </w:rPr>
        <w:tab/>
        <w:t xml:space="preserve">Allison L, Moncrieff J. </w:t>
      </w:r>
      <w:hyperlink r:id="rId21">
        <w:r w:rsidRPr="00EA0E8B">
          <w:rPr>
            <w:rStyle w:val="Hyperlink"/>
            <w:rFonts w:asciiTheme="minorEastAsia" w:hAnsiTheme="minorEastAsia"/>
          </w:rPr>
          <w:t>‘Rapid tranquillisation’: An historical perspective on its emergence in the context of the development of antipsychotic medications</w:t>
        </w:r>
      </w:hyperlink>
      <w:r w:rsidRPr="00EA0E8B">
        <w:rPr>
          <w:rFonts w:asciiTheme="minorEastAsia" w:hAnsiTheme="minorEastAsia"/>
        </w:rPr>
        <w:t>. History of Psychiatry 2014;25:57–69.</w:t>
      </w:r>
    </w:p>
    <w:p w14:paraId="7AEB0EC5" w14:textId="3BB6845A" w:rsidR="003B3FC7" w:rsidRPr="00EA0E8B" w:rsidRDefault="00000000" w:rsidP="00EA0E8B">
      <w:pPr>
        <w:pStyle w:val="Bibliography"/>
        <w:spacing w:line="480" w:lineRule="auto"/>
        <w:rPr>
          <w:rFonts w:asciiTheme="minorEastAsia" w:hAnsiTheme="minorEastAsia"/>
        </w:rPr>
      </w:pPr>
      <w:bookmarkStart w:id="47" w:name="ref-polak1971rapid"/>
      <w:bookmarkEnd w:id="46"/>
      <w:r w:rsidRPr="00EA0E8B">
        <w:rPr>
          <w:rFonts w:asciiTheme="minorEastAsia" w:hAnsiTheme="minorEastAsia"/>
        </w:rPr>
        <w:t xml:space="preserve">18. </w:t>
      </w:r>
      <w:r w:rsidRPr="00EA0E8B">
        <w:rPr>
          <w:rFonts w:asciiTheme="minorEastAsia" w:hAnsiTheme="minorEastAsia"/>
        </w:rPr>
        <w:tab/>
        <w:t>P</w:t>
      </w:r>
      <w:r w:rsidR="00F75E9E">
        <w:rPr>
          <w:rFonts w:asciiTheme="minorEastAsia" w:hAnsiTheme="minorEastAsia"/>
          <w:lang w:eastAsia="ko-KR"/>
        </w:rPr>
        <w:t>olak</w:t>
      </w:r>
      <w:r w:rsidRPr="00EA0E8B">
        <w:rPr>
          <w:rFonts w:asciiTheme="minorEastAsia" w:hAnsiTheme="minorEastAsia"/>
        </w:rPr>
        <w:t xml:space="preserve"> P, </w:t>
      </w:r>
      <w:proofErr w:type="spellStart"/>
      <w:r w:rsidRPr="00EA0E8B">
        <w:rPr>
          <w:rFonts w:asciiTheme="minorEastAsia" w:hAnsiTheme="minorEastAsia"/>
        </w:rPr>
        <w:t>L</w:t>
      </w:r>
      <w:r w:rsidR="00F75E9E">
        <w:rPr>
          <w:rFonts w:asciiTheme="minorEastAsia" w:hAnsiTheme="minorEastAsia"/>
        </w:rPr>
        <w:t>aycob</w:t>
      </w:r>
      <w:proofErr w:type="spellEnd"/>
      <w:r w:rsidRPr="00EA0E8B">
        <w:rPr>
          <w:rFonts w:asciiTheme="minorEastAsia" w:hAnsiTheme="minorEastAsia"/>
        </w:rPr>
        <w:t xml:space="preserve"> L. </w:t>
      </w:r>
      <w:hyperlink r:id="rId22">
        <w:r w:rsidRPr="00EA0E8B">
          <w:rPr>
            <w:rStyle w:val="Hyperlink"/>
            <w:rFonts w:asciiTheme="minorEastAsia" w:hAnsiTheme="minorEastAsia"/>
          </w:rPr>
          <w:t>Rapid tranquilization</w:t>
        </w:r>
      </w:hyperlink>
      <w:r w:rsidRPr="00EA0E8B">
        <w:rPr>
          <w:rFonts w:asciiTheme="minorEastAsia" w:hAnsiTheme="minorEastAsia"/>
        </w:rPr>
        <w:t>. American Journal of Psychiatry 1971;128:640–643.</w:t>
      </w:r>
    </w:p>
    <w:p w14:paraId="26A29FD1" w14:textId="79A32E1E" w:rsidR="003B3FC7" w:rsidRPr="00EA0E8B" w:rsidRDefault="00000000" w:rsidP="00EA0E8B">
      <w:pPr>
        <w:pStyle w:val="Bibliography"/>
        <w:spacing w:line="480" w:lineRule="auto"/>
        <w:rPr>
          <w:rFonts w:asciiTheme="minorEastAsia" w:hAnsiTheme="minorEastAsia"/>
        </w:rPr>
      </w:pPr>
      <w:bookmarkStart w:id="48" w:name="ref-szasz1957commitment"/>
      <w:bookmarkEnd w:id="47"/>
      <w:r w:rsidRPr="00EA0E8B">
        <w:rPr>
          <w:rFonts w:asciiTheme="minorEastAsia" w:hAnsiTheme="minorEastAsia"/>
        </w:rPr>
        <w:t xml:space="preserve">19. </w:t>
      </w:r>
      <w:r w:rsidRPr="00EA0E8B">
        <w:rPr>
          <w:rFonts w:asciiTheme="minorEastAsia" w:hAnsiTheme="minorEastAsia"/>
        </w:rPr>
        <w:tab/>
        <w:t>S</w:t>
      </w:r>
      <w:r w:rsidR="00F75E9E">
        <w:rPr>
          <w:rFonts w:asciiTheme="minorEastAsia" w:hAnsiTheme="minorEastAsia"/>
        </w:rPr>
        <w:t>zasz</w:t>
      </w:r>
      <w:r w:rsidRPr="00EA0E8B">
        <w:rPr>
          <w:rFonts w:asciiTheme="minorEastAsia" w:hAnsiTheme="minorEastAsia"/>
        </w:rPr>
        <w:t xml:space="preserve"> TS. </w:t>
      </w:r>
      <w:hyperlink r:id="rId23">
        <w:r w:rsidRPr="00EA0E8B">
          <w:rPr>
            <w:rStyle w:val="Hyperlink"/>
            <w:rFonts w:asciiTheme="minorEastAsia" w:hAnsiTheme="minorEastAsia"/>
          </w:rPr>
          <w:t>C</w:t>
        </w:r>
        <w:r w:rsidR="00F75E9E">
          <w:rPr>
            <w:rStyle w:val="Hyperlink"/>
            <w:rFonts w:asciiTheme="minorEastAsia" w:hAnsiTheme="minorEastAsia"/>
          </w:rPr>
          <w:t>ommitment of the Mentally Ill</w:t>
        </w:r>
      </w:hyperlink>
      <w:r w:rsidRPr="00EA0E8B">
        <w:rPr>
          <w:rFonts w:asciiTheme="minorEastAsia" w:hAnsiTheme="minorEastAsia"/>
        </w:rPr>
        <w:t>. The Journal of Nervous and Mental Disease 1957;125:293–307.</w:t>
      </w:r>
    </w:p>
    <w:p w14:paraId="47D9DF54" w14:textId="77777777" w:rsidR="003B3FC7" w:rsidRPr="00EA0E8B" w:rsidRDefault="00000000" w:rsidP="00EA0E8B">
      <w:pPr>
        <w:pStyle w:val="Bibliography"/>
        <w:spacing w:line="480" w:lineRule="auto"/>
        <w:rPr>
          <w:rFonts w:asciiTheme="minorEastAsia" w:hAnsiTheme="minorEastAsia"/>
        </w:rPr>
      </w:pPr>
      <w:bookmarkStart w:id="49" w:name="ref-frueh2005special"/>
      <w:bookmarkEnd w:id="48"/>
      <w:r w:rsidRPr="00EA0E8B">
        <w:rPr>
          <w:rFonts w:asciiTheme="minorEastAsia" w:hAnsiTheme="minorEastAsia"/>
        </w:rPr>
        <w:lastRenderedPageBreak/>
        <w:t xml:space="preserve">20. </w:t>
      </w:r>
      <w:r w:rsidRPr="00EA0E8B">
        <w:rPr>
          <w:rFonts w:asciiTheme="minorEastAsia" w:hAnsiTheme="minorEastAsia"/>
        </w:rPr>
        <w:tab/>
        <w:t xml:space="preserve">Frueh BC, Knapp RG, Cusack KJ, Grubaugh AL, Sauvageot JA, Cousins VC, et al. </w:t>
      </w:r>
      <w:hyperlink r:id="rId24">
        <w:r w:rsidRPr="00EA0E8B">
          <w:rPr>
            <w:rStyle w:val="Hyperlink"/>
            <w:rFonts w:asciiTheme="minorEastAsia" w:hAnsiTheme="minorEastAsia"/>
          </w:rPr>
          <w:t>Special section on seclusion and restraint: Patients’ reports of traumatic or harmful experiences within the psychiatric setting</w:t>
        </w:r>
      </w:hyperlink>
      <w:r w:rsidRPr="00EA0E8B">
        <w:rPr>
          <w:rFonts w:asciiTheme="minorEastAsia" w:hAnsiTheme="minorEastAsia"/>
        </w:rPr>
        <w:t>. Psychiatric Services 2005;56:1123–1133.</w:t>
      </w:r>
    </w:p>
    <w:p w14:paraId="0C598185" w14:textId="77777777" w:rsidR="003B3FC7" w:rsidRPr="00EA0E8B" w:rsidRDefault="00000000" w:rsidP="00EA0E8B">
      <w:pPr>
        <w:pStyle w:val="Bibliography"/>
        <w:spacing w:line="480" w:lineRule="auto"/>
        <w:rPr>
          <w:rFonts w:asciiTheme="minorEastAsia" w:hAnsiTheme="minorEastAsia"/>
        </w:rPr>
      </w:pPr>
      <w:bookmarkStart w:id="50" w:name="ref-kersting2019physical"/>
      <w:bookmarkEnd w:id="49"/>
      <w:r w:rsidRPr="00EA0E8B">
        <w:rPr>
          <w:rFonts w:asciiTheme="minorEastAsia" w:hAnsiTheme="minorEastAsia"/>
        </w:rPr>
        <w:t xml:space="preserve">21. </w:t>
      </w:r>
      <w:r w:rsidRPr="00EA0E8B">
        <w:rPr>
          <w:rFonts w:asciiTheme="minorEastAsia" w:hAnsiTheme="minorEastAsia"/>
        </w:rPr>
        <w:tab/>
        <w:t xml:space="preserve">Kersting XAK, Hirsch S, Steinert T. </w:t>
      </w:r>
      <w:hyperlink r:id="rId25">
        <w:r w:rsidRPr="00EA0E8B">
          <w:rPr>
            <w:rStyle w:val="Hyperlink"/>
            <w:rFonts w:asciiTheme="minorEastAsia" w:hAnsiTheme="minorEastAsia"/>
          </w:rPr>
          <w:t>Physical harm and death in the context of coercive measures in psychiatric patients: A systematic review</w:t>
        </w:r>
      </w:hyperlink>
      <w:r w:rsidRPr="00EA0E8B">
        <w:rPr>
          <w:rFonts w:asciiTheme="minorEastAsia" w:hAnsiTheme="minorEastAsia"/>
        </w:rPr>
        <w:t>. Frontiers in Psychiatry 2019;10.</w:t>
      </w:r>
    </w:p>
    <w:p w14:paraId="60CA8349" w14:textId="77777777" w:rsidR="003B3FC7" w:rsidRPr="00EA0E8B" w:rsidRDefault="00000000" w:rsidP="00EA0E8B">
      <w:pPr>
        <w:pStyle w:val="Bibliography"/>
        <w:spacing w:line="480" w:lineRule="auto"/>
        <w:rPr>
          <w:rFonts w:asciiTheme="minorEastAsia" w:hAnsiTheme="minorEastAsia"/>
        </w:rPr>
      </w:pPr>
      <w:bookmarkStart w:id="51" w:name="ref-opitz-welke2019"/>
      <w:bookmarkEnd w:id="50"/>
      <w:r w:rsidRPr="00EA0E8B">
        <w:rPr>
          <w:rFonts w:asciiTheme="minorEastAsia" w:hAnsiTheme="minorEastAsia"/>
        </w:rPr>
        <w:t xml:space="preserve">22. </w:t>
      </w:r>
      <w:r w:rsidRPr="00EA0E8B">
        <w:rPr>
          <w:rFonts w:asciiTheme="minorEastAsia" w:hAnsiTheme="minorEastAsia"/>
        </w:rPr>
        <w:tab/>
        <w:t xml:space="preserve">Opitz-Welke A, Konrad N. </w:t>
      </w:r>
      <w:hyperlink r:id="rId26">
        <w:r w:rsidRPr="00EA0E8B">
          <w:rPr>
            <w:rStyle w:val="Hyperlink"/>
            <w:rFonts w:asciiTheme="minorEastAsia" w:hAnsiTheme="minorEastAsia"/>
          </w:rPr>
          <w:t>Psychiatric approach to violent behavior in severe mental illness  violation of human rights?</w:t>
        </w:r>
      </w:hyperlink>
      <w:r w:rsidRPr="00EA0E8B">
        <w:rPr>
          <w:rFonts w:asciiTheme="minorEastAsia" w:hAnsiTheme="minorEastAsia"/>
        </w:rPr>
        <w:t xml:space="preserve"> Ethics, Medicine and Public Health 2019;8:127–131.</w:t>
      </w:r>
    </w:p>
    <w:p w14:paraId="541B7BA8" w14:textId="77777777" w:rsidR="003B3FC7" w:rsidRPr="00EA0E8B" w:rsidRDefault="00000000" w:rsidP="00EA0E8B">
      <w:pPr>
        <w:pStyle w:val="Bibliography"/>
        <w:spacing w:line="480" w:lineRule="auto"/>
        <w:rPr>
          <w:rFonts w:asciiTheme="minorEastAsia" w:hAnsiTheme="minorEastAsia"/>
        </w:rPr>
      </w:pPr>
      <w:bookmarkStart w:id="52" w:name="ref-georgieva2011patients"/>
      <w:bookmarkEnd w:id="51"/>
      <w:r w:rsidRPr="00EA0E8B">
        <w:rPr>
          <w:rFonts w:asciiTheme="minorEastAsia" w:hAnsiTheme="minorEastAsia"/>
        </w:rPr>
        <w:t xml:space="preserve">23. </w:t>
      </w:r>
      <w:r w:rsidRPr="00EA0E8B">
        <w:rPr>
          <w:rFonts w:asciiTheme="minorEastAsia" w:hAnsiTheme="minorEastAsia"/>
        </w:rPr>
        <w:tab/>
        <w:t xml:space="preserve">Georgieva I, Mulder CL, Wierdsma A. </w:t>
      </w:r>
      <w:hyperlink r:id="rId27">
        <w:r w:rsidRPr="00EA0E8B">
          <w:rPr>
            <w:rStyle w:val="Hyperlink"/>
            <w:rFonts w:asciiTheme="minorEastAsia" w:hAnsiTheme="minorEastAsia"/>
          </w:rPr>
          <w:t>Patients’ preference and experiences of forced medication and seclusion</w:t>
        </w:r>
      </w:hyperlink>
      <w:r w:rsidRPr="00EA0E8B">
        <w:rPr>
          <w:rFonts w:asciiTheme="minorEastAsia" w:hAnsiTheme="minorEastAsia"/>
        </w:rPr>
        <w:t>. Psychiatric Quarterly 2011;83:1–13.</w:t>
      </w:r>
    </w:p>
    <w:p w14:paraId="3D63CAB3" w14:textId="77777777" w:rsidR="003B3FC7" w:rsidRPr="00EA0E8B" w:rsidRDefault="00000000" w:rsidP="00EA0E8B">
      <w:pPr>
        <w:pStyle w:val="Bibliography"/>
        <w:spacing w:line="480" w:lineRule="auto"/>
        <w:rPr>
          <w:rFonts w:asciiTheme="minorEastAsia" w:hAnsiTheme="minorEastAsia"/>
        </w:rPr>
      </w:pPr>
      <w:bookmarkStart w:id="53" w:name="ref-muircochrane2020prevalence"/>
      <w:bookmarkEnd w:id="52"/>
      <w:r w:rsidRPr="00EA0E8B">
        <w:rPr>
          <w:rFonts w:asciiTheme="minorEastAsia" w:hAnsiTheme="minorEastAsia"/>
        </w:rPr>
        <w:t xml:space="preserve">24.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Grimmer K, Gerace A, Bastiampillai T, Oster C. </w:t>
      </w:r>
      <w:hyperlink r:id="rId28">
        <w:r w:rsidRPr="00EA0E8B">
          <w:rPr>
            <w:rStyle w:val="Hyperlink"/>
            <w:rFonts w:asciiTheme="minorEastAsia" w:hAnsiTheme="minorEastAsia"/>
          </w:rPr>
          <w:t xml:space="preserve">Prevalence of the use of chemical restraint in the management of challenging behaviours </w:t>
        </w:r>
        <w:r w:rsidRPr="00EA0E8B">
          <w:rPr>
            <w:rStyle w:val="Hyperlink"/>
            <w:rFonts w:asciiTheme="minorEastAsia" w:hAnsiTheme="minorEastAsia"/>
          </w:rPr>
          <w:lastRenderedPageBreak/>
          <w:t>associated with adult mental health conditions: A meta</w:t>
        </w:r>
        <w:r w:rsidRPr="00EA0E8B">
          <w:rPr>
            <w:rStyle w:val="Hyperlink"/>
            <w:rFonts w:ascii="Cambria Math" w:hAnsi="Cambria Math" w:cs="Cambria Math"/>
          </w:rPr>
          <w:t>‐</w:t>
        </w:r>
        <w:r w:rsidRPr="00EA0E8B">
          <w:rPr>
            <w:rStyle w:val="Hyperlink"/>
            <w:rFonts w:asciiTheme="minorEastAsia" w:hAnsiTheme="minorEastAsia"/>
          </w:rPr>
          <w:t>synthesis</w:t>
        </w:r>
      </w:hyperlink>
      <w:r w:rsidRPr="00EA0E8B">
        <w:rPr>
          <w:rFonts w:asciiTheme="minorEastAsia" w:hAnsiTheme="minorEastAsia"/>
        </w:rPr>
        <w:t>. Journal of Psychiatric and Mental Health Nursing 2020;27:425–445.</w:t>
      </w:r>
    </w:p>
    <w:p w14:paraId="386419BB" w14:textId="77777777" w:rsidR="003B3FC7" w:rsidRPr="00EA0E8B" w:rsidRDefault="00000000" w:rsidP="00EA0E8B">
      <w:pPr>
        <w:pStyle w:val="Bibliography"/>
        <w:spacing w:line="480" w:lineRule="auto"/>
        <w:rPr>
          <w:rFonts w:asciiTheme="minorEastAsia" w:hAnsiTheme="minorEastAsia"/>
        </w:rPr>
      </w:pPr>
      <w:bookmarkStart w:id="54" w:name="ref-belayneh2024prevalence"/>
      <w:bookmarkEnd w:id="53"/>
      <w:r w:rsidRPr="00EA0E8B">
        <w:rPr>
          <w:rFonts w:asciiTheme="minorEastAsia" w:hAnsiTheme="minorEastAsia"/>
        </w:rPr>
        <w:t xml:space="preserve">25. </w:t>
      </w:r>
      <w:r w:rsidRPr="00EA0E8B">
        <w:rPr>
          <w:rFonts w:asciiTheme="minorEastAsia" w:hAnsiTheme="minorEastAsia"/>
        </w:rPr>
        <w:tab/>
        <w:t xml:space="preserve">Belayneh Z, Chavulak J, Lee DA, Petrakis M, Haines TP. </w:t>
      </w:r>
      <w:hyperlink r:id="rId29">
        <w:r w:rsidRPr="00EA0E8B">
          <w:rPr>
            <w:rStyle w:val="Hyperlink"/>
            <w:rFonts w:asciiTheme="minorEastAsia" w:hAnsiTheme="minorEastAsia"/>
          </w:rPr>
          <w:t>Prevalence and variability of restrictive care practice use (physical restraint, seclusion and chemical restraint) in adult mental health inpatient settings: A systematic review and meta</w:t>
        </w:r>
        <w:r w:rsidRPr="00EA0E8B">
          <w:rPr>
            <w:rStyle w:val="Hyperlink"/>
            <w:rFonts w:ascii="Cambria Math" w:hAnsi="Cambria Math" w:cs="Cambria Math"/>
          </w:rPr>
          <w:t>‐</w:t>
        </w:r>
        <w:r w:rsidRPr="00EA0E8B">
          <w:rPr>
            <w:rStyle w:val="Hyperlink"/>
            <w:rFonts w:asciiTheme="minorEastAsia" w:hAnsiTheme="minorEastAsia"/>
          </w:rPr>
          <w:t>analysis</w:t>
        </w:r>
      </w:hyperlink>
      <w:r w:rsidRPr="00EA0E8B">
        <w:rPr>
          <w:rFonts w:asciiTheme="minorEastAsia" w:hAnsiTheme="minorEastAsia"/>
        </w:rPr>
        <w:t>. Journal of Clinical Nursing 2024;33:1256–1281.</w:t>
      </w:r>
    </w:p>
    <w:p w14:paraId="733BF991" w14:textId="77777777" w:rsidR="003B3FC7" w:rsidRPr="00EA0E8B" w:rsidRDefault="00000000" w:rsidP="00EA0E8B">
      <w:pPr>
        <w:pStyle w:val="Bibliography"/>
        <w:spacing w:line="480" w:lineRule="auto"/>
        <w:rPr>
          <w:rFonts w:asciiTheme="minorEastAsia" w:hAnsiTheme="minorEastAsia"/>
        </w:rPr>
      </w:pPr>
      <w:bookmarkStart w:id="55" w:name="ref-crossley1998r"/>
      <w:bookmarkEnd w:id="54"/>
      <w:r w:rsidRPr="00EA0E8B">
        <w:rPr>
          <w:rFonts w:asciiTheme="minorEastAsia" w:hAnsiTheme="minorEastAsia"/>
        </w:rPr>
        <w:t xml:space="preserve">26. </w:t>
      </w:r>
      <w:r w:rsidRPr="00EA0E8B">
        <w:rPr>
          <w:rFonts w:asciiTheme="minorEastAsia" w:hAnsiTheme="minorEastAsia"/>
        </w:rPr>
        <w:tab/>
        <w:t xml:space="preserve">Crossley N. </w:t>
      </w:r>
      <w:hyperlink r:id="rId30">
        <w:r w:rsidRPr="00EA0E8B">
          <w:rPr>
            <w:rStyle w:val="Hyperlink"/>
            <w:rFonts w:asciiTheme="minorEastAsia" w:hAnsiTheme="minorEastAsia"/>
          </w:rPr>
          <w:t>R. D. Laing and the british anti-psychiatry movement: A socio–historical analysis</w:t>
        </w:r>
      </w:hyperlink>
      <w:r w:rsidRPr="00EA0E8B">
        <w:rPr>
          <w:rFonts w:asciiTheme="minorEastAsia" w:hAnsiTheme="minorEastAsia"/>
        </w:rPr>
        <w:t>. Social Science &amp;amp; Medicine 1998;47:877–889.</w:t>
      </w:r>
    </w:p>
    <w:p w14:paraId="5EE21953" w14:textId="77777777" w:rsidR="003B3FC7" w:rsidRPr="00EA0E8B" w:rsidRDefault="00000000" w:rsidP="00EA0E8B">
      <w:pPr>
        <w:pStyle w:val="Bibliography"/>
        <w:spacing w:line="480" w:lineRule="auto"/>
        <w:rPr>
          <w:rFonts w:asciiTheme="minorEastAsia" w:hAnsiTheme="minorEastAsia"/>
        </w:rPr>
      </w:pPr>
      <w:bookmarkStart w:id="56" w:name="ref-goffman1961asylums"/>
      <w:bookmarkEnd w:id="55"/>
      <w:r w:rsidRPr="00EA0E8B">
        <w:rPr>
          <w:rFonts w:asciiTheme="minorEastAsia" w:hAnsiTheme="minorEastAsia"/>
        </w:rPr>
        <w:t xml:space="preserve">27. </w:t>
      </w:r>
      <w:r w:rsidRPr="00EA0E8B">
        <w:rPr>
          <w:rFonts w:asciiTheme="minorEastAsia" w:hAnsiTheme="minorEastAsia"/>
        </w:rPr>
        <w:tab/>
        <w:t>Goffman E. Asylums: Essays on the social situation of mental patients and other inmates. Garden City, NY: Doubleday; 1961. p.400.</w:t>
      </w:r>
    </w:p>
    <w:p w14:paraId="22F26357" w14:textId="77777777" w:rsidR="003B3FC7" w:rsidRPr="00EA0E8B" w:rsidRDefault="00000000" w:rsidP="00EA0E8B">
      <w:pPr>
        <w:pStyle w:val="Bibliography"/>
        <w:spacing w:line="480" w:lineRule="auto"/>
        <w:rPr>
          <w:rFonts w:asciiTheme="minorEastAsia" w:hAnsiTheme="minorEastAsia"/>
        </w:rPr>
      </w:pPr>
      <w:bookmarkStart w:id="57" w:name="ref-scull2015madness"/>
      <w:bookmarkEnd w:id="56"/>
      <w:r w:rsidRPr="00EA0E8B">
        <w:rPr>
          <w:rFonts w:asciiTheme="minorEastAsia" w:hAnsiTheme="minorEastAsia"/>
        </w:rPr>
        <w:t xml:space="preserve">28. </w:t>
      </w:r>
      <w:r w:rsidRPr="00EA0E8B">
        <w:rPr>
          <w:rFonts w:asciiTheme="minorEastAsia" w:hAnsiTheme="minorEastAsia"/>
        </w:rPr>
        <w:tab/>
        <w:t>Scull A. Madness in civilization: The cultural history of insanity. London: Thames &amp; Hudson; 2015. p.448.</w:t>
      </w:r>
    </w:p>
    <w:p w14:paraId="47D9C072" w14:textId="77777777" w:rsidR="003B3FC7" w:rsidRPr="00EA0E8B" w:rsidRDefault="00000000" w:rsidP="00EA0E8B">
      <w:pPr>
        <w:pStyle w:val="Bibliography"/>
        <w:spacing w:line="480" w:lineRule="auto"/>
        <w:rPr>
          <w:rFonts w:asciiTheme="minorEastAsia" w:hAnsiTheme="minorEastAsia"/>
        </w:rPr>
      </w:pPr>
      <w:bookmarkStart w:id="58" w:name="ref-testa2010civil"/>
      <w:bookmarkEnd w:id="57"/>
      <w:r w:rsidRPr="00EA0E8B">
        <w:rPr>
          <w:rFonts w:asciiTheme="minorEastAsia" w:hAnsiTheme="minorEastAsia"/>
        </w:rPr>
        <w:t xml:space="preserve">29. </w:t>
      </w:r>
      <w:r w:rsidRPr="00EA0E8B">
        <w:rPr>
          <w:rFonts w:asciiTheme="minorEastAsia" w:hAnsiTheme="minorEastAsia"/>
        </w:rPr>
        <w:tab/>
        <w:t xml:space="preserve">Testa M, West SG. </w:t>
      </w:r>
      <w:hyperlink r:id="rId31">
        <w:r w:rsidRPr="00EA0E8B">
          <w:rPr>
            <w:rStyle w:val="Hyperlink"/>
            <w:rFonts w:asciiTheme="minorEastAsia" w:hAnsiTheme="minorEastAsia"/>
          </w:rPr>
          <w:t>Civil commitment in the united states</w:t>
        </w:r>
      </w:hyperlink>
      <w:r w:rsidRPr="00EA0E8B">
        <w:rPr>
          <w:rFonts w:asciiTheme="minorEastAsia" w:hAnsiTheme="minorEastAsia"/>
        </w:rPr>
        <w:t>. Psychiatry (Edgmont) 2010;7:30–40.</w:t>
      </w:r>
    </w:p>
    <w:p w14:paraId="07B8A5F7" w14:textId="77777777" w:rsidR="003B3FC7" w:rsidRPr="00EA0E8B" w:rsidRDefault="00000000" w:rsidP="00EA0E8B">
      <w:pPr>
        <w:pStyle w:val="Bibliography"/>
        <w:spacing w:line="480" w:lineRule="auto"/>
        <w:rPr>
          <w:rFonts w:asciiTheme="minorEastAsia" w:hAnsiTheme="minorEastAsia"/>
        </w:rPr>
      </w:pPr>
      <w:bookmarkStart w:id="59" w:name="ref-schöne-seifert2015paternalism"/>
      <w:bookmarkEnd w:id="58"/>
      <w:r w:rsidRPr="00EA0E8B">
        <w:rPr>
          <w:rFonts w:asciiTheme="minorEastAsia" w:hAnsiTheme="minorEastAsia"/>
        </w:rPr>
        <w:lastRenderedPageBreak/>
        <w:t xml:space="preserve">30. </w:t>
      </w:r>
      <w:r w:rsidRPr="00EA0E8B">
        <w:rPr>
          <w:rFonts w:asciiTheme="minorEastAsia" w:hAnsiTheme="minorEastAsia"/>
        </w:rPr>
        <w:tab/>
        <w:t xml:space="preserve">Schöne-Seifert B. </w:t>
      </w:r>
      <w:hyperlink r:id="rId32">
        <w:r w:rsidRPr="00EA0E8B">
          <w:rPr>
            <w:rStyle w:val="Hyperlink"/>
            <w:rFonts w:asciiTheme="minorEastAsia" w:hAnsiTheme="minorEastAsia"/>
          </w:rPr>
          <w:t>Paternalism: Its ethical justification in medicine and psychiatry</w:t>
        </w:r>
      </w:hyperlink>
      <w:r w:rsidRPr="00EA0E8B">
        <w:rPr>
          <w:rFonts w:asciiTheme="minorEastAsia" w:hAnsiTheme="minorEastAsia"/>
        </w:rPr>
        <w:t>. Library of Ethics and Applied Philosophy 2015;145–162.</w:t>
      </w:r>
    </w:p>
    <w:p w14:paraId="51C3B252" w14:textId="77777777" w:rsidR="003B3FC7" w:rsidRPr="00EA0E8B" w:rsidRDefault="00000000" w:rsidP="00EA0E8B">
      <w:pPr>
        <w:pStyle w:val="Bibliography"/>
        <w:spacing w:line="480" w:lineRule="auto"/>
        <w:rPr>
          <w:rFonts w:asciiTheme="minorEastAsia" w:hAnsiTheme="minorEastAsia"/>
        </w:rPr>
      </w:pPr>
      <w:bookmarkStart w:id="60" w:name="ref-rogers1983"/>
      <w:bookmarkEnd w:id="59"/>
      <w:r w:rsidRPr="00EA0E8B">
        <w:rPr>
          <w:rFonts w:asciiTheme="minorEastAsia" w:hAnsiTheme="minorEastAsia"/>
        </w:rPr>
        <w:t xml:space="preserve">31. </w:t>
      </w:r>
      <w:r w:rsidRPr="00EA0E8B">
        <w:rPr>
          <w:rFonts w:asciiTheme="minorEastAsia" w:hAnsiTheme="minorEastAsia"/>
        </w:rPr>
        <w:tab/>
        <w:t xml:space="preserve">Massachusetts Supreme Judicial Court. </w:t>
      </w:r>
      <w:hyperlink r:id="rId33">
        <w:r w:rsidRPr="00EA0E8B">
          <w:rPr>
            <w:rStyle w:val="Hyperlink"/>
            <w:rFonts w:asciiTheme="minorEastAsia" w:hAnsiTheme="minorEastAsia"/>
          </w:rPr>
          <w:t>Rogers v. Commissioner of department of mental health</w:t>
        </w:r>
      </w:hyperlink>
      <w:r w:rsidRPr="00EA0E8B">
        <w:rPr>
          <w:rFonts w:asciiTheme="minorEastAsia" w:hAnsiTheme="minorEastAsia"/>
        </w:rPr>
        <w:t>. Massachusetts Supreme Judicial Court decision; 1983.</w:t>
      </w:r>
    </w:p>
    <w:p w14:paraId="5B9CD977" w14:textId="77777777" w:rsidR="003B3FC7" w:rsidRPr="00EA0E8B" w:rsidRDefault="00000000" w:rsidP="00EA0E8B">
      <w:pPr>
        <w:pStyle w:val="Bibliography"/>
        <w:spacing w:line="480" w:lineRule="auto"/>
        <w:rPr>
          <w:rFonts w:asciiTheme="minorEastAsia" w:hAnsiTheme="minorEastAsia"/>
        </w:rPr>
      </w:pPr>
      <w:bookmarkStart w:id="61" w:name="ref-Iozzino2015"/>
      <w:bookmarkEnd w:id="60"/>
      <w:r w:rsidRPr="00EA0E8B">
        <w:rPr>
          <w:rFonts w:asciiTheme="minorEastAsia" w:hAnsiTheme="minorEastAsia"/>
        </w:rPr>
        <w:t xml:space="preserve">32. </w:t>
      </w:r>
      <w:r w:rsidRPr="00EA0E8B">
        <w:rPr>
          <w:rFonts w:asciiTheme="minorEastAsia" w:hAnsiTheme="minorEastAsia"/>
        </w:rPr>
        <w:tab/>
        <w:t xml:space="preserve">Iozzino L, Ferrari C, Large M, Nielssen O, Girolamo G de. </w:t>
      </w:r>
      <w:hyperlink r:id="rId34">
        <w:r w:rsidRPr="00EA0E8B">
          <w:rPr>
            <w:rStyle w:val="Hyperlink"/>
            <w:rFonts w:asciiTheme="minorEastAsia" w:hAnsiTheme="minorEastAsia"/>
          </w:rPr>
          <w:t>Prevalence and risk factors of violence by psychiatric acute inpatients: A systematic review and meta-analysis</w:t>
        </w:r>
      </w:hyperlink>
      <w:r w:rsidRPr="00EA0E8B">
        <w:rPr>
          <w:rFonts w:asciiTheme="minorEastAsia" w:hAnsiTheme="minorEastAsia"/>
        </w:rPr>
        <w:t>. PLOS ONE 2015;10:e0128536.</w:t>
      </w:r>
    </w:p>
    <w:p w14:paraId="2B4F96BA" w14:textId="77777777" w:rsidR="003B3FC7" w:rsidRPr="00EA0E8B" w:rsidRDefault="00000000" w:rsidP="00EA0E8B">
      <w:pPr>
        <w:pStyle w:val="Bibliography"/>
        <w:spacing w:line="480" w:lineRule="auto"/>
        <w:rPr>
          <w:rFonts w:asciiTheme="minorEastAsia" w:hAnsiTheme="minorEastAsia"/>
        </w:rPr>
      </w:pPr>
      <w:bookmarkStart w:id="62" w:name="ref-NursingHomeReformAct1987"/>
      <w:bookmarkEnd w:id="61"/>
      <w:r w:rsidRPr="00EA0E8B">
        <w:rPr>
          <w:rFonts w:asciiTheme="minorEastAsia" w:hAnsiTheme="minorEastAsia"/>
        </w:rPr>
        <w:t xml:space="preserve">33. </w:t>
      </w:r>
      <w:r w:rsidRPr="00EA0E8B">
        <w:rPr>
          <w:rFonts w:asciiTheme="minorEastAsia" w:hAnsiTheme="minorEastAsia"/>
        </w:rPr>
        <w:tab/>
        <w:t>U.S. Congress. Nursing home reform act, subtitle c of the omnibus budget reconciliation act of 1987 (OBRA ’87). Washington, DC: U.S. Government Printing Office; 1987.</w:t>
      </w:r>
    </w:p>
    <w:p w14:paraId="27563803" w14:textId="77777777" w:rsidR="003B3FC7" w:rsidRPr="00EA0E8B" w:rsidRDefault="00000000" w:rsidP="00EA0E8B">
      <w:pPr>
        <w:pStyle w:val="Bibliography"/>
        <w:spacing w:line="480" w:lineRule="auto"/>
        <w:rPr>
          <w:rFonts w:asciiTheme="minorEastAsia" w:hAnsiTheme="minorEastAsia"/>
        </w:rPr>
      </w:pPr>
      <w:bookmarkStart w:id="63" w:name="ref-wyder2015the"/>
      <w:bookmarkEnd w:id="62"/>
      <w:r w:rsidRPr="00EA0E8B">
        <w:rPr>
          <w:rFonts w:asciiTheme="minorEastAsia" w:hAnsiTheme="minorEastAsia"/>
        </w:rPr>
        <w:t xml:space="preserve">34. </w:t>
      </w:r>
      <w:r w:rsidRPr="00EA0E8B">
        <w:rPr>
          <w:rFonts w:asciiTheme="minorEastAsia" w:hAnsiTheme="minorEastAsia"/>
        </w:rPr>
        <w:tab/>
        <w:t xml:space="preserve">Wyder M, Bland R, Herriot A, Crompton D. </w:t>
      </w:r>
      <w:hyperlink r:id="rId35">
        <w:r w:rsidRPr="00EA0E8B">
          <w:rPr>
            <w:rStyle w:val="Hyperlink"/>
            <w:rFonts w:asciiTheme="minorEastAsia" w:hAnsiTheme="minorEastAsia"/>
          </w:rPr>
          <w:t>The experiences of the legal processes of involuntary treatment orders: Tension between the legal and medical frameworks</w:t>
        </w:r>
      </w:hyperlink>
      <w:r w:rsidRPr="00EA0E8B">
        <w:rPr>
          <w:rFonts w:asciiTheme="minorEastAsia" w:hAnsiTheme="minorEastAsia"/>
        </w:rPr>
        <w:t>. International Journal of Law and Psychiatry 2015;38:44–50.</w:t>
      </w:r>
    </w:p>
    <w:p w14:paraId="31AF87C8" w14:textId="77777777" w:rsidR="003B3FC7" w:rsidRPr="00EA0E8B" w:rsidRDefault="00000000" w:rsidP="00EA0E8B">
      <w:pPr>
        <w:pStyle w:val="Bibliography"/>
        <w:spacing w:line="480" w:lineRule="auto"/>
        <w:rPr>
          <w:rFonts w:asciiTheme="minorEastAsia" w:hAnsiTheme="minorEastAsia"/>
        </w:rPr>
      </w:pPr>
      <w:bookmarkStart w:id="64" w:name="ref-alexandrov2021coercive"/>
      <w:bookmarkEnd w:id="63"/>
      <w:r w:rsidRPr="00EA0E8B">
        <w:rPr>
          <w:rFonts w:asciiTheme="minorEastAsia" w:hAnsiTheme="minorEastAsia"/>
        </w:rPr>
        <w:lastRenderedPageBreak/>
        <w:t xml:space="preserve">35. </w:t>
      </w:r>
      <w:r w:rsidRPr="00EA0E8B">
        <w:rPr>
          <w:rFonts w:asciiTheme="minorEastAsia" w:hAnsiTheme="minorEastAsia"/>
        </w:rPr>
        <w:tab/>
        <w:t xml:space="preserve">Alexandrov NV, Schuck N. </w:t>
      </w:r>
      <w:hyperlink r:id="rId36">
        <w:r w:rsidRPr="00EA0E8B">
          <w:rPr>
            <w:rStyle w:val="Hyperlink"/>
            <w:rFonts w:asciiTheme="minorEastAsia" w:hAnsiTheme="minorEastAsia"/>
          </w:rPr>
          <w:t>Coercive interventions under the new dutch mental health law: Towards a CRPD-compliant law?</w:t>
        </w:r>
      </w:hyperlink>
      <w:r w:rsidRPr="00EA0E8B">
        <w:rPr>
          <w:rFonts w:asciiTheme="minorEastAsia" w:hAnsiTheme="minorEastAsia"/>
        </w:rPr>
        <w:t xml:space="preserve"> International Journal of Law and Psychiatry 2021;76:101685.</w:t>
      </w:r>
    </w:p>
    <w:p w14:paraId="35F8E271" w14:textId="77777777" w:rsidR="003B3FC7" w:rsidRPr="00EA0E8B" w:rsidRDefault="00000000" w:rsidP="00EA0E8B">
      <w:pPr>
        <w:pStyle w:val="Bibliography"/>
        <w:spacing w:line="480" w:lineRule="auto"/>
        <w:rPr>
          <w:rFonts w:asciiTheme="minorEastAsia" w:hAnsiTheme="minorEastAsia"/>
        </w:rPr>
      </w:pPr>
      <w:bookmarkStart w:id="65" w:name="ref-EveryPalmer2021HumanRightsCoercion"/>
      <w:bookmarkEnd w:id="64"/>
      <w:r w:rsidRPr="00EA0E8B">
        <w:rPr>
          <w:rFonts w:asciiTheme="minorEastAsia" w:hAnsiTheme="minorEastAsia"/>
        </w:rPr>
        <w:t xml:space="preserve">36. </w:t>
      </w:r>
      <w:r w:rsidRPr="00EA0E8B">
        <w:rPr>
          <w:rFonts w:asciiTheme="minorEastAsia" w:hAnsiTheme="minorEastAsia"/>
        </w:rPr>
        <w:tab/>
        <w:t xml:space="preserve">Every-Palmer S, Kinimmonth L, Newton-Howes G, Gordon S. </w:t>
      </w:r>
      <w:hyperlink r:id="rId37">
        <w:r w:rsidRPr="00EA0E8B">
          <w:rPr>
            <w:rStyle w:val="Hyperlink"/>
            <w:rFonts w:asciiTheme="minorEastAsia" w:hAnsiTheme="minorEastAsia"/>
          </w:rPr>
          <w:t>Applying human rights and reducing coercion in psychiatry following service user-led education: A qualitative study</w:t>
        </w:r>
      </w:hyperlink>
      <w:r w:rsidRPr="00EA0E8B">
        <w:rPr>
          <w:rFonts w:asciiTheme="minorEastAsia" w:hAnsiTheme="minorEastAsia"/>
        </w:rPr>
        <w:t>. Health and Human Rights 2021;23:239–251.</w:t>
      </w:r>
    </w:p>
    <w:p w14:paraId="2813DA46" w14:textId="77777777" w:rsidR="003B3FC7" w:rsidRPr="00EA0E8B" w:rsidRDefault="00000000" w:rsidP="00EA0E8B">
      <w:pPr>
        <w:pStyle w:val="Bibliography"/>
        <w:spacing w:line="480" w:lineRule="auto"/>
        <w:rPr>
          <w:rFonts w:asciiTheme="minorEastAsia" w:hAnsiTheme="minorEastAsia"/>
        </w:rPr>
      </w:pPr>
      <w:bookmarkStart w:id="66" w:name="ref-boardman2020personcentred"/>
      <w:bookmarkEnd w:id="65"/>
      <w:r w:rsidRPr="00EA0E8B">
        <w:rPr>
          <w:rFonts w:asciiTheme="minorEastAsia" w:hAnsiTheme="minorEastAsia"/>
        </w:rPr>
        <w:t xml:space="preserve">37. </w:t>
      </w:r>
      <w:r w:rsidRPr="00EA0E8B">
        <w:rPr>
          <w:rFonts w:asciiTheme="minorEastAsia" w:hAnsiTheme="minorEastAsia"/>
        </w:rPr>
        <w:tab/>
        <w:t xml:space="preserve">Boardman J, Dave S. </w:t>
      </w:r>
      <w:hyperlink r:id="rId38">
        <w:r w:rsidRPr="00EA0E8B">
          <w:rPr>
            <w:rStyle w:val="Hyperlink"/>
            <w:rFonts w:asciiTheme="minorEastAsia" w:hAnsiTheme="minorEastAsia"/>
          </w:rPr>
          <w:t>Person-centred care and psychiatry: Some key perspectives</w:t>
        </w:r>
      </w:hyperlink>
      <w:r w:rsidRPr="00EA0E8B">
        <w:rPr>
          <w:rFonts w:asciiTheme="minorEastAsia" w:hAnsiTheme="minorEastAsia"/>
        </w:rPr>
        <w:t>. BJPsych International 2020;17:65–68.</w:t>
      </w:r>
    </w:p>
    <w:p w14:paraId="1CA98560" w14:textId="77777777" w:rsidR="003B3FC7" w:rsidRPr="00EA0E8B" w:rsidRDefault="00000000" w:rsidP="00EA0E8B">
      <w:pPr>
        <w:pStyle w:val="Bibliography"/>
        <w:spacing w:line="480" w:lineRule="auto"/>
        <w:rPr>
          <w:rFonts w:asciiTheme="minorEastAsia" w:hAnsiTheme="minorEastAsia"/>
        </w:rPr>
      </w:pPr>
      <w:bookmarkStart w:id="67" w:name="ref-UNSpecialRapporteur2017MentalHealth"/>
      <w:bookmarkEnd w:id="66"/>
      <w:r w:rsidRPr="00EA0E8B">
        <w:rPr>
          <w:rFonts w:asciiTheme="minorEastAsia" w:hAnsiTheme="minorEastAsia"/>
        </w:rPr>
        <w:t xml:space="preserve">38. </w:t>
      </w:r>
      <w:r w:rsidRPr="00EA0E8B">
        <w:rPr>
          <w:rFonts w:asciiTheme="minorEastAsia" w:hAnsiTheme="minorEastAsia"/>
        </w:rPr>
        <w:tab/>
        <w:t xml:space="preserve">United Nations Human Rights Council. </w:t>
      </w:r>
      <w:hyperlink r:id="rId39">
        <w:r w:rsidRPr="00EA0E8B">
          <w:rPr>
            <w:rStyle w:val="Hyperlink"/>
            <w:rFonts w:asciiTheme="minorEastAsia" w:hAnsiTheme="minorEastAsia"/>
          </w:rPr>
          <w:t>Report of the special rapporteur on the right of everyone to the enjoyment of the highest attainable standard of physical and mental health</w:t>
        </w:r>
      </w:hyperlink>
      <w:r w:rsidRPr="00EA0E8B">
        <w:rPr>
          <w:rFonts w:asciiTheme="minorEastAsia" w:hAnsiTheme="minorEastAsia"/>
        </w:rPr>
        <w:t>. Geneva: United Nations; 2017.</w:t>
      </w:r>
    </w:p>
    <w:p w14:paraId="2E6E7477" w14:textId="77777777" w:rsidR="003B3FC7" w:rsidRPr="00EA0E8B" w:rsidRDefault="00000000" w:rsidP="00EA0E8B">
      <w:pPr>
        <w:pStyle w:val="Bibliography"/>
        <w:spacing w:line="480" w:lineRule="auto"/>
        <w:rPr>
          <w:rFonts w:asciiTheme="minorEastAsia" w:hAnsiTheme="minorEastAsia"/>
        </w:rPr>
      </w:pPr>
      <w:bookmarkStart w:id="68" w:name="ref-Williams2022HumanRightsMentalHealth"/>
      <w:bookmarkEnd w:id="67"/>
      <w:r w:rsidRPr="00EA0E8B">
        <w:rPr>
          <w:rFonts w:asciiTheme="minorEastAsia" w:hAnsiTheme="minorEastAsia"/>
        </w:rPr>
        <w:t xml:space="preserve">39. </w:t>
      </w:r>
      <w:r w:rsidRPr="00EA0E8B">
        <w:rPr>
          <w:rFonts w:asciiTheme="minorEastAsia" w:hAnsiTheme="minorEastAsia"/>
        </w:rPr>
        <w:tab/>
        <w:t xml:space="preserve">Williams C, Chapman AR. </w:t>
      </w:r>
      <w:hyperlink r:id="rId40">
        <w:r w:rsidRPr="00EA0E8B">
          <w:rPr>
            <w:rStyle w:val="Hyperlink"/>
            <w:rFonts w:asciiTheme="minorEastAsia" w:hAnsiTheme="minorEastAsia"/>
          </w:rPr>
          <w:t>Impact of human rights council reports on mental health</w:t>
        </w:r>
      </w:hyperlink>
      <w:r w:rsidRPr="00EA0E8B">
        <w:rPr>
          <w:rFonts w:asciiTheme="minorEastAsia" w:hAnsiTheme="minorEastAsia"/>
        </w:rPr>
        <w:t>. Health and Human Rights 2022;24:85–99.</w:t>
      </w:r>
    </w:p>
    <w:p w14:paraId="5E76C2BC" w14:textId="77777777" w:rsidR="003B3FC7" w:rsidRPr="00EA0E8B" w:rsidRDefault="00000000" w:rsidP="00EA0E8B">
      <w:pPr>
        <w:pStyle w:val="Bibliography"/>
        <w:spacing w:line="480" w:lineRule="auto"/>
        <w:rPr>
          <w:rFonts w:asciiTheme="minorEastAsia" w:hAnsiTheme="minorEastAsia"/>
        </w:rPr>
      </w:pPr>
      <w:bookmarkStart w:id="69" w:name="ref-fiala-butora2024"/>
      <w:bookmarkEnd w:id="68"/>
      <w:r w:rsidRPr="00EA0E8B">
        <w:rPr>
          <w:rFonts w:asciiTheme="minorEastAsia" w:hAnsiTheme="minorEastAsia"/>
        </w:rPr>
        <w:lastRenderedPageBreak/>
        <w:t xml:space="preserve">40. </w:t>
      </w:r>
      <w:r w:rsidRPr="00EA0E8B">
        <w:rPr>
          <w:rFonts w:asciiTheme="minorEastAsia" w:hAnsiTheme="minorEastAsia"/>
        </w:rPr>
        <w:tab/>
        <w:t xml:space="preserve">Fiala-Butora J. </w:t>
      </w:r>
      <w:hyperlink r:id="rId41">
        <w:r w:rsidRPr="00EA0E8B">
          <w:rPr>
            <w:rStyle w:val="Hyperlink"/>
            <w:rFonts w:asciiTheme="minorEastAsia" w:hAnsiTheme="minorEastAsia"/>
          </w:rPr>
          <w:t>The influence of the convention on the rights of persons with disabilities on the european court of human rights in the area of mental health law: Divergence and unexplored potential</w:t>
        </w:r>
      </w:hyperlink>
      <w:r w:rsidRPr="00EA0E8B">
        <w:rPr>
          <w:rFonts w:asciiTheme="minorEastAsia" w:hAnsiTheme="minorEastAsia"/>
        </w:rPr>
        <w:t>. International Journal of Law and Psychiatry 2024;94:101965.</w:t>
      </w:r>
    </w:p>
    <w:p w14:paraId="0D198768" w14:textId="77777777" w:rsidR="003B3FC7" w:rsidRPr="00EA0E8B" w:rsidRDefault="00000000" w:rsidP="00EA0E8B">
      <w:pPr>
        <w:pStyle w:val="Bibliography"/>
        <w:spacing w:line="480" w:lineRule="auto"/>
        <w:rPr>
          <w:rFonts w:asciiTheme="minorEastAsia" w:hAnsiTheme="minorEastAsia"/>
        </w:rPr>
      </w:pPr>
      <w:bookmarkStart w:id="70" w:name="ref-Gurbai2020NonDiscriminationCoercion"/>
      <w:bookmarkEnd w:id="69"/>
      <w:r w:rsidRPr="00EA0E8B">
        <w:rPr>
          <w:rFonts w:asciiTheme="minorEastAsia" w:hAnsiTheme="minorEastAsia"/>
        </w:rPr>
        <w:t xml:space="preserve">41. </w:t>
      </w:r>
      <w:r w:rsidRPr="00EA0E8B">
        <w:rPr>
          <w:rFonts w:asciiTheme="minorEastAsia" w:hAnsiTheme="minorEastAsia"/>
        </w:rPr>
        <w:tab/>
        <w:t xml:space="preserve">Gurbai S. </w:t>
      </w:r>
      <w:hyperlink r:id="rId42">
        <w:r w:rsidRPr="00EA0E8B">
          <w:rPr>
            <w:rStyle w:val="Hyperlink"/>
            <w:rFonts w:asciiTheme="minorEastAsia" w:hAnsiTheme="minorEastAsia"/>
          </w:rPr>
          <w:t>Beyond the pragmatic definition? The right to non-discrimination of persons with disabilities in the context of coercive interventions</w:t>
        </w:r>
      </w:hyperlink>
      <w:r w:rsidRPr="00EA0E8B">
        <w:rPr>
          <w:rFonts w:asciiTheme="minorEastAsia" w:hAnsiTheme="minorEastAsia"/>
        </w:rPr>
        <w:t>. Health and Human Rights 2020;22:279–292.</w:t>
      </w:r>
    </w:p>
    <w:p w14:paraId="276C63D8" w14:textId="77777777" w:rsidR="003B3FC7" w:rsidRPr="00EA0E8B" w:rsidRDefault="00000000" w:rsidP="00EA0E8B">
      <w:pPr>
        <w:pStyle w:val="Bibliography"/>
        <w:spacing w:line="480" w:lineRule="auto"/>
        <w:rPr>
          <w:rFonts w:asciiTheme="minorEastAsia" w:hAnsiTheme="minorEastAsia"/>
        </w:rPr>
      </w:pPr>
      <w:bookmarkStart w:id="71" w:name="ref-Mendez2013TortureHealthcare"/>
      <w:bookmarkEnd w:id="70"/>
      <w:r w:rsidRPr="00EA0E8B">
        <w:rPr>
          <w:rFonts w:asciiTheme="minorEastAsia" w:hAnsiTheme="minorEastAsia"/>
        </w:rPr>
        <w:t xml:space="preserve">42. </w:t>
      </w:r>
      <w:r w:rsidRPr="00EA0E8B">
        <w:rPr>
          <w:rFonts w:asciiTheme="minorEastAsia" w:hAnsiTheme="minorEastAsia"/>
        </w:rPr>
        <w:tab/>
        <w:t xml:space="preserve">Méndez JE. </w:t>
      </w:r>
      <w:hyperlink r:id="rId43">
        <w:r w:rsidRPr="00EA0E8B">
          <w:rPr>
            <w:rStyle w:val="Hyperlink"/>
            <w:rFonts w:asciiTheme="minorEastAsia" w:hAnsiTheme="minorEastAsia"/>
          </w:rPr>
          <w:t>Report of the special rapporteur on torture and other cruel, inhuman or degrading treatment or punishment: Abuses in health-care settings</w:t>
        </w:r>
      </w:hyperlink>
      <w:r w:rsidRPr="00EA0E8B">
        <w:rPr>
          <w:rFonts w:asciiTheme="minorEastAsia" w:hAnsiTheme="minorEastAsia"/>
        </w:rPr>
        <w:t>. Geneva: United Nations Human Rights Council; 2013.</w:t>
      </w:r>
    </w:p>
    <w:p w14:paraId="043F1EC1" w14:textId="77777777" w:rsidR="003B3FC7" w:rsidRPr="00EA0E8B" w:rsidRDefault="00000000" w:rsidP="00EA0E8B">
      <w:pPr>
        <w:pStyle w:val="Bibliography"/>
        <w:spacing w:line="480" w:lineRule="auto"/>
        <w:rPr>
          <w:rFonts w:asciiTheme="minorEastAsia" w:hAnsiTheme="minorEastAsia"/>
        </w:rPr>
      </w:pPr>
      <w:bookmarkStart w:id="72" w:name="ref-doyleguilloud2019the"/>
      <w:bookmarkEnd w:id="71"/>
      <w:r w:rsidRPr="00EA0E8B">
        <w:rPr>
          <w:rFonts w:asciiTheme="minorEastAsia" w:hAnsiTheme="minorEastAsia"/>
        </w:rPr>
        <w:t xml:space="preserve">43. </w:t>
      </w:r>
      <w:r w:rsidRPr="00EA0E8B">
        <w:rPr>
          <w:rFonts w:asciiTheme="minorEastAsia" w:hAnsiTheme="minorEastAsia"/>
        </w:rPr>
        <w:tab/>
        <w:t xml:space="preserve">Doyle Guilloud S. </w:t>
      </w:r>
      <w:hyperlink r:id="rId44">
        <w:r w:rsidRPr="00EA0E8B">
          <w:rPr>
            <w:rStyle w:val="Hyperlink"/>
            <w:rFonts w:asciiTheme="minorEastAsia" w:hAnsiTheme="minorEastAsia"/>
          </w:rPr>
          <w:t>The right to liberty of persons with psychosocial disabilities at the united nations: A tale of two interpretations</w:t>
        </w:r>
      </w:hyperlink>
      <w:r w:rsidRPr="00EA0E8B">
        <w:rPr>
          <w:rFonts w:asciiTheme="minorEastAsia" w:hAnsiTheme="minorEastAsia"/>
        </w:rPr>
        <w:t>. International Journal of Law and Psychiatry 2019;66:101497.</w:t>
      </w:r>
    </w:p>
    <w:p w14:paraId="048B77F5" w14:textId="77777777" w:rsidR="003B3FC7" w:rsidRPr="00EA0E8B" w:rsidRDefault="00000000" w:rsidP="00EA0E8B">
      <w:pPr>
        <w:pStyle w:val="Bibliography"/>
        <w:spacing w:line="480" w:lineRule="auto"/>
        <w:rPr>
          <w:rFonts w:asciiTheme="minorEastAsia" w:hAnsiTheme="minorEastAsia"/>
        </w:rPr>
      </w:pPr>
      <w:bookmarkStart w:id="73" w:name="ref-UNHRC2014GC35"/>
      <w:bookmarkEnd w:id="72"/>
      <w:r w:rsidRPr="00EA0E8B">
        <w:rPr>
          <w:rFonts w:asciiTheme="minorEastAsia" w:hAnsiTheme="minorEastAsia"/>
        </w:rPr>
        <w:lastRenderedPageBreak/>
        <w:t xml:space="preserve">44. </w:t>
      </w:r>
      <w:r w:rsidRPr="00EA0E8B">
        <w:rPr>
          <w:rFonts w:asciiTheme="minorEastAsia" w:hAnsiTheme="minorEastAsia"/>
        </w:rPr>
        <w:tab/>
        <w:t xml:space="preserve">United Nations Human Rights Committee. </w:t>
      </w:r>
      <w:hyperlink r:id="rId45">
        <w:r w:rsidRPr="00EA0E8B">
          <w:rPr>
            <w:rStyle w:val="Hyperlink"/>
            <w:rFonts w:asciiTheme="minorEastAsia" w:hAnsiTheme="minorEastAsia"/>
          </w:rPr>
          <w:t>General comment no. 35 (article 9): Liberty and security of person</w:t>
        </w:r>
      </w:hyperlink>
      <w:r w:rsidRPr="00EA0E8B">
        <w:rPr>
          <w:rFonts w:asciiTheme="minorEastAsia" w:hAnsiTheme="minorEastAsia"/>
        </w:rPr>
        <w:t>. Geneva: United Nations; 2014.</w:t>
      </w:r>
    </w:p>
    <w:p w14:paraId="75859B10" w14:textId="77777777" w:rsidR="003B3FC7" w:rsidRPr="00EA0E8B" w:rsidRDefault="00000000" w:rsidP="00EA0E8B">
      <w:pPr>
        <w:pStyle w:val="Bibliography"/>
        <w:spacing w:line="480" w:lineRule="auto"/>
        <w:rPr>
          <w:rFonts w:asciiTheme="minorEastAsia" w:hAnsiTheme="minorEastAsia"/>
        </w:rPr>
      </w:pPr>
      <w:bookmarkStart w:id="74" w:name="ref-CAT2008GC2"/>
      <w:bookmarkEnd w:id="73"/>
      <w:r w:rsidRPr="00EA0E8B">
        <w:rPr>
          <w:rFonts w:asciiTheme="minorEastAsia" w:hAnsiTheme="minorEastAsia"/>
        </w:rPr>
        <w:t xml:space="preserve">45. </w:t>
      </w:r>
      <w:r w:rsidRPr="00EA0E8B">
        <w:rPr>
          <w:rFonts w:asciiTheme="minorEastAsia" w:hAnsiTheme="minorEastAsia"/>
        </w:rPr>
        <w:tab/>
        <w:t xml:space="preserve">United Nations Committee Against Torture. </w:t>
      </w:r>
      <w:hyperlink r:id="rId46">
        <w:r w:rsidRPr="00EA0E8B">
          <w:rPr>
            <w:rStyle w:val="Hyperlink"/>
            <w:rFonts w:asciiTheme="minorEastAsia" w:hAnsiTheme="minorEastAsia"/>
          </w:rPr>
          <w:t>General comment no. 2: Implementation of article 2 by states parties</w:t>
        </w:r>
      </w:hyperlink>
      <w:r w:rsidRPr="00EA0E8B">
        <w:rPr>
          <w:rFonts w:asciiTheme="minorEastAsia" w:hAnsiTheme="minorEastAsia"/>
        </w:rPr>
        <w:t>. Geneva: United Nations; 2008.</w:t>
      </w:r>
    </w:p>
    <w:p w14:paraId="219AA355" w14:textId="77777777" w:rsidR="003B3FC7" w:rsidRPr="00EA0E8B" w:rsidRDefault="00000000" w:rsidP="00EA0E8B">
      <w:pPr>
        <w:pStyle w:val="Bibliography"/>
        <w:spacing w:line="480" w:lineRule="auto"/>
        <w:rPr>
          <w:rFonts w:asciiTheme="minorEastAsia" w:hAnsiTheme="minorEastAsia"/>
        </w:rPr>
      </w:pPr>
      <w:bookmarkStart w:id="75" w:name="ref-zach2019cruel"/>
      <w:bookmarkEnd w:id="74"/>
      <w:r w:rsidRPr="00EA0E8B">
        <w:rPr>
          <w:rFonts w:asciiTheme="minorEastAsia" w:hAnsiTheme="minorEastAsia"/>
        </w:rPr>
        <w:t xml:space="preserve">46. </w:t>
      </w:r>
      <w:r w:rsidRPr="00EA0E8B">
        <w:rPr>
          <w:rFonts w:asciiTheme="minorEastAsia" w:hAnsiTheme="minorEastAsia"/>
        </w:rPr>
        <w:tab/>
        <w:t xml:space="preserve">Zach G, Birk M. </w:t>
      </w:r>
      <w:hyperlink r:id="rId47">
        <w:r w:rsidRPr="00EA0E8B">
          <w:rPr>
            <w:rStyle w:val="Hyperlink"/>
            <w:rFonts w:asciiTheme="minorEastAsia" w:hAnsiTheme="minorEastAsia"/>
          </w:rPr>
          <w:t>Cruel, inhuman or degrading treatment or punishment</w:t>
        </w:r>
      </w:hyperlink>
      <w:r w:rsidRPr="00EA0E8B">
        <w:rPr>
          <w:rFonts w:asciiTheme="minorEastAsia" w:hAnsiTheme="minorEastAsia"/>
        </w:rPr>
        <w:t>. The United Nations Convention Against Torture and its Optional Protocol 2019;441–472.</w:t>
      </w:r>
    </w:p>
    <w:p w14:paraId="4478CAB9" w14:textId="77777777" w:rsidR="003B3FC7" w:rsidRPr="00EA0E8B" w:rsidRDefault="00000000" w:rsidP="00EA0E8B">
      <w:pPr>
        <w:pStyle w:val="Bibliography"/>
        <w:spacing w:line="480" w:lineRule="auto"/>
        <w:rPr>
          <w:rFonts w:asciiTheme="minorEastAsia" w:hAnsiTheme="minorEastAsia"/>
        </w:rPr>
      </w:pPr>
      <w:bookmarkStart w:id="76" w:name="ref-martin2019surveying"/>
      <w:bookmarkEnd w:id="75"/>
      <w:r w:rsidRPr="00EA0E8B">
        <w:rPr>
          <w:rFonts w:asciiTheme="minorEastAsia" w:hAnsiTheme="minorEastAsia"/>
        </w:rPr>
        <w:t xml:space="preserve">47. </w:t>
      </w:r>
      <w:r w:rsidRPr="00EA0E8B">
        <w:rPr>
          <w:rFonts w:asciiTheme="minorEastAsia" w:hAnsiTheme="minorEastAsia"/>
        </w:rPr>
        <w:tab/>
        <w:t xml:space="preserve">Martin W, Gurbai S. </w:t>
      </w:r>
      <w:hyperlink r:id="rId48">
        <w:r w:rsidRPr="00EA0E8B">
          <w:rPr>
            <w:rStyle w:val="Hyperlink"/>
            <w:rFonts w:asciiTheme="minorEastAsia" w:hAnsiTheme="minorEastAsia"/>
          </w:rPr>
          <w:t>Surveying the geneva impasse: Coercive care and human rights</w:t>
        </w:r>
      </w:hyperlink>
      <w:r w:rsidRPr="00EA0E8B">
        <w:rPr>
          <w:rFonts w:asciiTheme="minorEastAsia" w:hAnsiTheme="minorEastAsia"/>
        </w:rPr>
        <w:t>. International Journal of Law and Psychiatry 2019;64:117–128.</w:t>
      </w:r>
    </w:p>
    <w:p w14:paraId="6905E2B0" w14:textId="77777777" w:rsidR="003B3FC7" w:rsidRPr="00EA0E8B" w:rsidRDefault="00000000" w:rsidP="00EA0E8B">
      <w:pPr>
        <w:pStyle w:val="Bibliography"/>
        <w:spacing w:line="480" w:lineRule="auto"/>
        <w:rPr>
          <w:rFonts w:asciiTheme="minorEastAsia" w:hAnsiTheme="minorEastAsia"/>
        </w:rPr>
      </w:pPr>
      <w:bookmarkStart w:id="77" w:name="ref-mcsherry2023human"/>
      <w:bookmarkEnd w:id="76"/>
      <w:r w:rsidRPr="00EA0E8B">
        <w:rPr>
          <w:rFonts w:asciiTheme="minorEastAsia" w:hAnsiTheme="minorEastAsia"/>
        </w:rPr>
        <w:t xml:space="preserve">48. </w:t>
      </w:r>
      <w:r w:rsidRPr="00EA0E8B">
        <w:rPr>
          <w:rFonts w:asciiTheme="minorEastAsia" w:hAnsiTheme="minorEastAsia"/>
        </w:rPr>
        <w:tab/>
        <w:t xml:space="preserve">McSherry B, Gooding P, Maker Y. </w:t>
      </w:r>
      <w:hyperlink r:id="rId49">
        <w:r w:rsidRPr="00EA0E8B">
          <w:rPr>
            <w:rStyle w:val="Hyperlink"/>
            <w:rFonts w:asciiTheme="minorEastAsia" w:hAnsiTheme="minorEastAsia"/>
          </w:rPr>
          <w:t>Human rights promotion and the ‘geneva impasse’ in mental healthcare: Scoping review</w:t>
        </w:r>
      </w:hyperlink>
      <w:r w:rsidRPr="00EA0E8B">
        <w:rPr>
          <w:rFonts w:asciiTheme="minorEastAsia" w:hAnsiTheme="minorEastAsia"/>
        </w:rPr>
        <w:t>. BJPsych Open 2023;9.</w:t>
      </w:r>
    </w:p>
    <w:p w14:paraId="21D65EB8" w14:textId="77777777" w:rsidR="003B3FC7" w:rsidRPr="00EA0E8B" w:rsidRDefault="00000000" w:rsidP="00EA0E8B">
      <w:pPr>
        <w:pStyle w:val="Bibliography"/>
        <w:spacing w:line="480" w:lineRule="auto"/>
        <w:rPr>
          <w:rFonts w:asciiTheme="minorEastAsia" w:hAnsiTheme="minorEastAsia"/>
        </w:rPr>
      </w:pPr>
      <w:bookmarkStart w:id="78" w:name="ref-tingleff2017treat"/>
      <w:bookmarkEnd w:id="77"/>
      <w:r w:rsidRPr="00EA0E8B">
        <w:rPr>
          <w:rFonts w:asciiTheme="minorEastAsia" w:hAnsiTheme="minorEastAsia"/>
        </w:rPr>
        <w:t xml:space="preserve">49. </w:t>
      </w:r>
      <w:r w:rsidRPr="00EA0E8B">
        <w:rPr>
          <w:rFonts w:asciiTheme="minorEastAsia" w:hAnsiTheme="minorEastAsia"/>
        </w:rPr>
        <w:tab/>
        <w:t xml:space="preserve">Tingleff EB, Bradley SK, Gildberg FA, Munksgaard G, Hounsgaard L. </w:t>
      </w:r>
      <w:hyperlink r:id="rId50">
        <w:r w:rsidRPr="00EA0E8B">
          <w:rPr>
            <w:rStyle w:val="Hyperlink"/>
            <w:rFonts w:asciiTheme="minorEastAsia" w:hAnsiTheme="minorEastAsia"/>
          </w:rPr>
          <w:t>‘Treat me with respect’. A systematic review and thematic analysis of psychiatric patients’ reported perceptions of the situations associated with the process of coercion</w:t>
        </w:r>
      </w:hyperlink>
      <w:r w:rsidRPr="00EA0E8B">
        <w:rPr>
          <w:rFonts w:asciiTheme="minorEastAsia" w:hAnsiTheme="minorEastAsia"/>
        </w:rPr>
        <w:t>. Journal of Psychiatric and Mental Health Nursing 2017;24:681–698.</w:t>
      </w:r>
    </w:p>
    <w:p w14:paraId="37FC7816" w14:textId="77777777" w:rsidR="003B3FC7" w:rsidRPr="00EA0E8B" w:rsidRDefault="00000000" w:rsidP="00EA0E8B">
      <w:pPr>
        <w:pStyle w:val="Bibliography"/>
        <w:spacing w:line="480" w:lineRule="auto"/>
        <w:rPr>
          <w:rFonts w:asciiTheme="minorEastAsia" w:hAnsiTheme="minorEastAsia"/>
        </w:rPr>
      </w:pPr>
      <w:bookmarkStart w:id="79" w:name="ref-muircochrane2018fear"/>
      <w:bookmarkEnd w:id="78"/>
      <w:r w:rsidRPr="00EA0E8B">
        <w:rPr>
          <w:rFonts w:asciiTheme="minorEastAsia" w:hAnsiTheme="minorEastAsia"/>
        </w:rPr>
        <w:lastRenderedPageBreak/>
        <w:t xml:space="preserve">50.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O’Kane D, Oster C. </w:t>
      </w:r>
      <w:hyperlink r:id="rId51">
        <w:r w:rsidRPr="00EA0E8B">
          <w:rPr>
            <w:rStyle w:val="Hyperlink"/>
            <w:rFonts w:asciiTheme="minorEastAsia" w:hAnsiTheme="minorEastAsia"/>
          </w:rPr>
          <w:t>Fear and blame in mental health nurses’ accounts of restrictive practices: Implications for the elimination of seclusion and restraint</w:t>
        </w:r>
      </w:hyperlink>
      <w:r w:rsidRPr="00EA0E8B">
        <w:rPr>
          <w:rFonts w:asciiTheme="minorEastAsia" w:hAnsiTheme="minorEastAsia"/>
        </w:rPr>
        <w:t>. International Journal of Mental Health Nursing 2018;27:1511–1521.</w:t>
      </w:r>
    </w:p>
    <w:p w14:paraId="6B97A328" w14:textId="77777777" w:rsidR="003B3FC7" w:rsidRPr="00EA0E8B" w:rsidRDefault="00000000" w:rsidP="00EA0E8B">
      <w:pPr>
        <w:pStyle w:val="Bibliography"/>
        <w:spacing w:line="480" w:lineRule="auto"/>
        <w:rPr>
          <w:rFonts w:asciiTheme="minorEastAsia" w:hAnsiTheme="minorEastAsia"/>
        </w:rPr>
      </w:pPr>
      <w:bookmarkStart w:id="80" w:name="ref-chieze2019effects"/>
      <w:bookmarkEnd w:id="79"/>
      <w:r w:rsidRPr="00EA0E8B">
        <w:rPr>
          <w:rFonts w:asciiTheme="minorEastAsia" w:hAnsiTheme="minorEastAsia"/>
        </w:rPr>
        <w:t xml:space="preserve">51. </w:t>
      </w:r>
      <w:r w:rsidRPr="00EA0E8B">
        <w:rPr>
          <w:rFonts w:asciiTheme="minorEastAsia" w:hAnsiTheme="minorEastAsia"/>
        </w:rPr>
        <w:tab/>
        <w:t xml:space="preserve">Chieze M, Hurst S, Kaiser S, Sentissi O. </w:t>
      </w:r>
      <w:hyperlink r:id="rId52">
        <w:r w:rsidRPr="00EA0E8B">
          <w:rPr>
            <w:rStyle w:val="Hyperlink"/>
            <w:rFonts w:asciiTheme="minorEastAsia" w:hAnsiTheme="minorEastAsia"/>
          </w:rPr>
          <w:t>Effects of seclusion and restraint in adult psychiatry: A systematic review</w:t>
        </w:r>
      </w:hyperlink>
      <w:r w:rsidRPr="00EA0E8B">
        <w:rPr>
          <w:rFonts w:asciiTheme="minorEastAsia" w:hAnsiTheme="minorEastAsia"/>
        </w:rPr>
        <w:t>. Frontiers in Psychiatry 2019;10.</w:t>
      </w:r>
    </w:p>
    <w:p w14:paraId="335B1418" w14:textId="77777777" w:rsidR="003B3FC7" w:rsidRPr="00EA0E8B" w:rsidRDefault="00000000" w:rsidP="00EA0E8B">
      <w:pPr>
        <w:pStyle w:val="Bibliography"/>
        <w:spacing w:line="480" w:lineRule="auto"/>
        <w:rPr>
          <w:rFonts w:asciiTheme="minorEastAsia" w:hAnsiTheme="minorEastAsia"/>
        </w:rPr>
      </w:pPr>
      <w:bookmarkStart w:id="81" w:name="ref-bendor2015how"/>
      <w:bookmarkEnd w:id="80"/>
      <w:r w:rsidRPr="00EA0E8B">
        <w:rPr>
          <w:rFonts w:asciiTheme="minorEastAsia" w:hAnsiTheme="minorEastAsia"/>
        </w:rPr>
        <w:t xml:space="preserve">52. </w:t>
      </w:r>
      <w:r w:rsidRPr="00EA0E8B">
        <w:rPr>
          <w:rFonts w:asciiTheme="minorEastAsia" w:hAnsiTheme="minorEastAsia"/>
        </w:rPr>
        <w:tab/>
        <w:t xml:space="preserve">Bendor AL, Sela T. </w:t>
      </w:r>
      <w:hyperlink r:id="rId53">
        <w:r w:rsidRPr="00EA0E8B">
          <w:rPr>
            <w:rStyle w:val="Hyperlink"/>
            <w:rFonts w:asciiTheme="minorEastAsia" w:hAnsiTheme="minorEastAsia"/>
          </w:rPr>
          <w:t>How proportional is proportionality?</w:t>
        </w:r>
      </w:hyperlink>
      <w:r w:rsidRPr="00EA0E8B">
        <w:rPr>
          <w:rFonts w:asciiTheme="minorEastAsia" w:hAnsiTheme="minorEastAsia"/>
        </w:rPr>
        <w:t xml:space="preserve"> International Journal of Constitutional Law 2015;13:530–544.</w:t>
      </w:r>
    </w:p>
    <w:p w14:paraId="481E9909" w14:textId="77777777" w:rsidR="003B3FC7" w:rsidRPr="00EA0E8B" w:rsidRDefault="00000000" w:rsidP="00EA0E8B">
      <w:pPr>
        <w:pStyle w:val="Bibliography"/>
        <w:spacing w:line="480" w:lineRule="auto"/>
        <w:rPr>
          <w:rFonts w:asciiTheme="minorEastAsia" w:hAnsiTheme="minorEastAsia"/>
        </w:rPr>
      </w:pPr>
      <w:bookmarkStart w:id="82" w:name="ref-sieckmann2018proportionality"/>
      <w:bookmarkEnd w:id="81"/>
      <w:r w:rsidRPr="00EA0E8B">
        <w:rPr>
          <w:rFonts w:asciiTheme="minorEastAsia" w:hAnsiTheme="minorEastAsia"/>
        </w:rPr>
        <w:t xml:space="preserve">53. </w:t>
      </w:r>
      <w:r w:rsidRPr="00EA0E8B">
        <w:rPr>
          <w:rFonts w:asciiTheme="minorEastAsia" w:hAnsiTheme="minorEastAsia"/>
        </w:rPr>
        <w:tab/>
        <w:t xml:space="preserve">Sieckmann J. </w:t>
      </w:r>
      <w:hyperlink r:id="rId54">
        <w:r w:rsidRPr="00EA0E8B">
          <w:rPr>
            <w:rStyle w:val="Hyperlink"/>
            <w:rFonts w:asciiTheme="minorEastAsia" w:hAnsiTheme="minorEastAsia"/>
          </w:rPr>
          <w:t>Proportionality as a universal human rights principle</w:t>
        </w:r>
      </w:hyperlink>
      <w:r w:rsidRPr="00EA0E8B">
        <w:rPr>
          <w:rFonts w:asciiTheme="minorEastAsia" w:hAnsiTheme="minorEastAsia"/>
        </w:rPr>
        <w:t>. Proportionality in Law 2018;3–24.</w:t>
      </w:r>
    </w:p>
    <w:p w14:paraId="58E1D093" w14:textId="77777777" w:rsidR="003B3FC7" w:rsidRPr="00EA0E8B" w:rsidRDefault="00000000" w:rsidP="00EA0E8B">
      <w:pPr>
        <w:pStyle w:val="Bibliography"/>
        <w:spacing w:line="480" w:lineRule="auto"/>
        <w:rPr>
          <w:rFonts w:asciiTheme="minorEastAsia" w:hAnsiTheme="minorEastAsia"/>
        </w:rPr>
      </w:pPr>
      <w:bookmarkStart w:id="83" w:name="ref-ECHR1992Herczegfalvy"/>
      <w:bookmarkEnd w:id="82"/>
      <w:r w:rsidRPr="00EA0E8B">
        <w:rPr>
          <w:rFonts w:asciiTheme="minorEastAsia" w:hAnsiTheme="minorEastAsia"/>
        </w:rPr>
        <w:t xml:space="preserve">54. </w:t>
      </w:r>
      <w:r w:rsidRPr="00EA0E8B">
        <w:rPr>
          <w:rFonts w:asciiTheme="minorEastAsia" w:hAnsiTheme="minorEastAsia"/>
        </w:rPr>
        <w:tab/>
        <w:t xml:space="preserve">European Court of Human Rights. Herczegfalvy v. austria. </w:t>
      </w:r>
      <w:hyperlink r:id="rId55">
        <w:r w:rsidRPr="00EA0E8B">
          <w:rPr>
            <w:rStyle w:val="Hyperlink"/>
            <w:rFonts w:asciiTheme="minorEastAsia" w:hAnsiTheme="minorEastAsia"/>
          </w:rPr>
          <w:t>https://hudoc.echr.coe.int/eng?i=001-57781</w:t>
        </w:r>
      </w:hyperlink>
      <w:r w:rsidRPr="00EA0E8B">
        <w:rPr>
          <w:rFonts w:asciiTheme="minorEastAsia" w:hAnsiTheme="minorEastAsia"/>
        </w:rPr>
        <w:t>; 1992.</w:t>
      </w:r>
    </w:p>
    <w:p w14:paraId="6A0B7D3A" w14:textId="77777777" w:rsidR="003B3FC7" w:rsidRPr="00EA0E8B" w:rsidRDefault="00000000" w:rsidP="00EA0E8B">
      <w:pPr>
        <w:pStyle w:val="Bibliography"/>
        <w:spacing w:line="480" w:lineRule="auto"/>
        <w:rPr>
          <w:rFonts w:asciiTheme="minorEastAsia" w:hAnsiTheme="minorEastAsia"/>
        </w:rPr>
      </w:pPr>
      <w:bookmarkStart w:id="84" w:name="ref-Bartlett2007Compulsory"/>
      <w:bookmarkEnd w:id="83"/>
      <w:r w:rsidRPr="00EA0E8B">
        <w:rPr>
          <w:rFonts w:asciiTheme="minorEastAsia" w:hAnsiTheme="minorEastAsia"/>
        </w:rPr>
        <w:t xml:space="preserve">55. </w:t>
      </w:r>
      <w:r w:rsidRPr="00EA0E8B">
        <w:rPr>
          <w:rFonts w:asciiTheme="minorEastAsia" w:hAnsiTheme="minorEastAsia"/>
        </w:rPr>
        <w:tab/>
        <w:t xml:space="preserve">Bartlett P. </w:t>
      </w:r>
      <w:hyperlink r:id="rId56">
        <w:r w:rsidRPr="00EA0E8B">
          <w:rPr>
            <w:rStyle w:val="Hyperlink"/>
            <w:rFonts w:asciiTheme="minorEastAsia" w:hAnsiTheme="minorEastAsia"/>
          </w:rPr>
          <w:t>The test of compulsion in mental health law: Capacity, therapeutic benefit and dangerousness as possible criteria</w:t>
        </w:r>
      </w:hyperlink>
      <w:r w:rsidRPr="00EA0E8B">
        <w:rPr>
          <w:rFonts w:asciiTheme="minorEastAsia" w:hAnsiTheme="minorEastAsia"/>
        </w:rPr>
        <w:t>. Medical Law Review 2007;15:86–114.</w:t>
      </w:r>
    </w:p>
    <w:p w14:paraId="55D01481" w14:textId="77777777" w:rsidR="003B3FC7" w:rsidRPr="00EA0E8B" w:rsidRDefault="00000000" w:rsidP="00EA0E8B">
      <w:pPr>
        <w:pStyle w:val="Bibliography"/>
        <w:spacing w:line="480" w:lineRule="auto"/>
        <w:rPr>
          <w:rFonts w:asciiTheme="minorEastAsia" w:hAnsiTheme="minorEastAsia"/>
        </w:rPr>
      </w:pPr>
      <w:bookmarkStart w:id="85" w:name="ref-oute2023conflict"/>
      <w:bookmarkEnd w:id="84"/>
      <w:r w:rsidRPr="00EA0E8B">
        <w:rPr>
          <w:rFonts w:asciiTheme="minorEastAsia" w:hAnsiTheme="minorEastAsia"/>
        </w:rPr>
        <w:lastRenderedPageBreak/>
        <w:t xml:space="preserve">56. </w:t>
      </w:r>
      <w:r w:rsidRPr="00EA0E8B">
        <w:rPr>
          <w:rFonts w:asciiTheme="minorEastAsia" w:hAnsiTheme="minorEastAsia"/>
        </w:rPr>
        <w:tab/>
        <w:t xml:space="preserve">Oute J, McPherson S. </w:t>
      </w:r>
      <w:hyperlink r:id="rId57">
        <w:r w:rsidRPr="00EA0E8B">
          <w:rPr>
            <w:rStyle w:val="Hyperlink"/>
            <w:rFonts w:asciiTheme="minorEastAsia" w:hAnsiTheme="minorEastAsia"/>
          </w:rPr>
          <w:t>Conflict and antagonism within global psychiatry: A discourse analysis of organisational responses to the UN reports on rights</w:t>
        </w:r>
        <w:r w:rsidRPr="00EA0E8B">
          <w:rPr>
            <w:rStyle w:val="Hyperlink"/>
            <w:rFonts w:ascii="Cambria Math" w:hAnsi="Cambria Math" w:cs="Cambria Math"/>
          </w:rPr>
          <w:t>‐</w:t>
        </w:r>
        <w:r w:rsidRPr="00EA0E8B">
          <w:rPr>
            <w:rStyle w:val="Hyperlink"/>
            <w:rFonts w:asciiTheme="minorEastAsia" w:hAnsiTheme="minorEastAsia"/>
          </w:rPr>
          <w:t>based approaches in mental health</w:t>
        </w:r>
      </w:hyperlink>
      <w:r w:rsidRPr="00EA0E8B">
        <w:rPr>
          <w:rFonts w:asciiTheme="minorEastAsia" w:hAnsiTheme="minorEastAsia"/>
        </w:rPr>
        <w:t>. Sociology of Health &amp;amp; Illness 2023;46:473–494.</w:t>
      </w:r>
    </w:p>
    <w:p w14:paraId="2AAF6B10" w14:textId="77777777" w:rsidR="003B3FC7" w:rsidRPr="00EA0E8B" w:rsidRDefault="00000000" w:rsidP="00EA0E8B">
      <w:pPr>
        <w:pStyle w:val="Bibliography"/>
        <w:spacing w:line="480" w:lineRule="auto"/>
        <w:rPr>
          <w:rFonts w:asciiTheme="minorEastAsia" w:hAnsiTheme="minorEastAsia"/>
        </w:rPr>
      </w:pPr>
      <w:bookmarkStart w:id="86" w:name="ref-gronholm2023assessing"/>
      <w:bookmarkEnd w:id="85"/>
      <w:r w:rsidRPr="00EA0E8B">
        <w:rPr>
          <w:rFonts w:asciiTheme="minorEastAsia" w:hAnsiTheme="minorEastAsia"/>
        </w:rPr>
        <w:t xml:space="preserve">57. </w:t>
      </w:r>
      <w:r w:rsidRPr="00EA0E8B">
        <w:rPr>
          <w:rFonts w:asciiTheme="minorEastAsia" w:hAnsiTheme="minorEastAsia"/>
        </w:rPr>
        <w:tab/>
        <w:t xml:space="preserve">Gronholm PC, Gill N, Carter G, Watson D, Helmchen H, Thornicroft G, et al. </w:t>
      </w:r>
      <w:hyperlink r:id="rId58">
        <w:r w:rsidRPr="00EA0E8B">
          <w:rPr>
            <w:rStyle w:val="Hyperlink"/>
            <w:rFonts w:asciiTheme="minorEastAsia" w:hAnsiTheme="minorEastAsia"/>
          </w:rPr>
          <w:t>Assessing the priority of human rights and mental health: The PHRAME approach</w:t>
        </w:r>
      </w:hyperlink>
      <w:r w:rsidRPr="00EA0E8B">
        <w:rPr>
          <w:rFonts w:asciiTheme="minorEastAsia" w:hAnsiTheme="minorEastAsia"/>
        </w:rPr>
        <w:t>. BJPsych Open 2023;9.</w:t>
      </w:r>
    </w:p>
    <w:p w14:paraId="26AB0241" w14:textId="77777777" w:rsidR="003B3FC7" w:rsidRPr="00EA0E8B" w:rsidRDefault="00000000" w:rsidP="00EA0E8B">
      <w:pPr>
        <w:pStyle w:val="Bibliography"/>
        <w:spacing w:line="480" w:lineRule="auto"/>
        <w:rPr>
          <w:rFonts w:asciiTheme="minorEastAsia" w:hAnsiTheme="minorEastAsia"/>
        </w:rPr>
      </w:pPr>
      <w:bookmarkStart w:id="87" w:name="ref-denis2016medical"/>
      <w:bookmarkEnd w:id="86"/>
      <w:r w:rsidRPr="00EA0E8B">
        <w:rPr>
          <w:rFonts w:asciiTheme="minorEastAsia" w:hAnsiTheme="minorEastAsia"/>
        </w:rPr>
        <w:t xml:space="preserve">58. </w:t>
      </w:r>
      <w:r w:rsidRPr="00EA0E8B">
        <w:rPr>
          <w:rFonts w:asciiTheme="minorEastAsia" w:hAnsiTheme="minorEastAsia"/>
        </w:rPr>
        <w:tab/>
        <w:t xml:space="preserve">Denis J-L, Gestel N van. </w:t>
      </w:r>
      <w:hyperlink r:id="rId59">
        <w:r w:rsidRPr="00EA0E8B">
          <w:rPr>
            <w:rStyle w:val="Hyperlink"/>
            <w:rFonts w:asciiTheme="minorEastAsia" w:hAnsiTheme="minorEastAsia"/>
          </w:rPr>
          <w:t>Medical doctors in healthcare leadership: Theoretical and practical challenges</w:t>
        </w:r>
      </w:hyperlink>
      <w:r w:rsidRPr="00EA0E8B">
        <w:rPr>
          <w:rFonts w:asciiTheme="minorEastAsia" w:hAnsiTheme="minorEastAsia"/>
        </w:rPr>
        <w:t>. BMC Health Services Research 2016;16.</w:t>
      </w:r>
    </w:p>
    <w:p w14:paraId="09824F5C" w14:textId="77777777" w:rsidR="003B3FC7" w:rsidRPr="00EA0E8B" w:rsidRDefault="00000000" w:rsidP="00EA0E8B">
      <w:pPr>
        <w:pStyle w:val="Bibliography"/>
        <w:spacing w:line="480" w:lineRule="auto"/>
        <w:rPr>
          <w:rFonts w:asciiTheme="minorEastAsia" w:hAnsiTheme="minorEastAsia"/>
        </w:rPr>
      </w:pPr>
      <w:bookmarkStart w:id="88" w:name="ref-bergan2024right"/>
      <w:bookmarkEnd w:id="87"/>
      <w:r w:rsidRPr="00EA0E8B">
        <w:rPr>
          <w:rFonts w:asciiTheme="minorEastAsia" w:hAnsiTheme="minorEastAsia"/>
        </w:rPr>
        <w:t xml:space="preserve">59. </w:t>
      </w:r>
      <w:r w:rsidRPr="00EA0E8B">
        <w:rPr>
          <w:rFonts w:asciiTheme="minorEastAsia" w:hAnsiTheme="minorEastAsia"/>
        </w:rPr>
        <w:tab/>
        <w:t>Bergan C. The right to choose and refuse mental health care: A human rights based approach to ending compulsory psychiatric intervention. Journal of Health Care Law &amp; Policy 2024;27:49–?</w:t>
      </w:r>
    </w:p>
    <w:p w14:paraId="672B246E" w14:textId="77777777" w:rsidR="003B3FC7" w:rsidRPr="00EA0E8B" w:rsidRDefault="00000000" w:rsidP="00EA0E8B">
      <w:pPr>
        <w:pStyle w:val="Bibliography"/>
        <w:spacing w:line="480" w:lineRule="auto"/>
        <w:rPr>
          <w:rFonts w:asciiTheme="minorEastAsia" w:hAnsiTheme="minorEastAsia"/>
        </w:rPr>
      </w:pPr>
      <w:bookmarkStart w:id="89" w:name="ref-goering2015rethinking"/>
      <w:bookmarkEnd w:id="88"/>
      <w:r w:rsidRPr="00EA0E8B">
        <w:rPr>
          <w:rFonts w:asciiTheme="minorEastAsia" w:hAnsiTheme="minorEastAsia"/>
        </w:rPr>
        <w:t xml:space="preserve">60. </w:t>
      </w:r>
      <w:r w:rsidRPr="00EA0E8B">
        <w:rPr>
          <w:rFonts w:asciiTheme="minorEastAsia" w:hAnsiTheme="minorEastAsia"/>
        </w:rPr>
        <w:tab/>
        <w:t xml:space="preserve">Goering S. </w:t>
      </w:r>
      <w:hyperlink r:id="rId60">
        <w:r w:rsidRPr="00EA0E8B">
          <w:rPr>
            <w:rStyle w:val="Hyperlink"/>
            <w:rFonts w:asciiTheme="minorEastAsia" w:hAnsiTheme="minorEastAsia"/>
          </w:rPr>
          <w:t>Rethinking disability: The social model of disability and chronic disease</w:t>
        </w:r>
      </w:hyperlink>
      <w:r w:rsidRPr="00EA0E8B">
        <w:rPr>
          <w:rFonts w:asciiTheme="minorEastAsia" w:hAnsiTheme="minorEastAsia"/>
        </w:rPr>
        <w:t>. Current Reviews in Musculoskeletal Medicine 2015;8:134–138.</w:t>
      </w:r>
    </w:p>
    <w:p w14:paraId="7D219003" w14:textId="77777777" w:rsidR="003B3FC7" w:rsidRPr="00EA0E8B" w:rsidRDefault="00000000" w:rsidP="00EA0E8B">
      <w:pPr>
        <w:pStyle w:val="Bibliography"/>
        <w:spacing w:line="480" w:lineRule="auto"/>
        <w:rPr>
          <w:rFonts w:asciiTheme="minorEastAsia" w:hAnsiTheme="minorEastAsia"/>
        </w:rPr>
      </w:pPr>
      <w:bookmarkStart w:id="90" w:name="ref-hogan2019social"/>
      <w:bookmarkEnd w:id="89"/>
      <w:r w:rsidRPr="00EA0E8B">
        <w:rPr>
          <w:rFonts w:asciiTheme="minorEastAsia" w:hAnsiTheme="minorEastAsia"/>
        </w:rPr>
        <w:lastRenderedPageBreak/>
        <w:t xml:space="preserve">61. </w:t>
      </w:r>
      <w:r w:rsidRPr="00EA0E8B">
        <w:rPr>
          <w:rFonts w:asciiTheme="minorEastAsia" w:hAnsiTheme="minorEastAsia"/>
        </w:rPr>
        <w:tab/>
        <w:t xml:space="preserve">Hogan AJ. </w:t>
      </w:r>
      <w:hyperlink r:id="rId61">
        <w:r w:rsidRPr="00EA0E8B">
          <w:rPr>
            <w:rStyle w:val="Hyperlink"/>
            <w:rFonts w:asciiTheme="minorEastAsia" w:hAnsiTheme="minorEastAsia"/>
          </w:rPr>
          <w:t>Social and medical models of disability and mental health: Evolution and renewal</w:t>
        </w:r>
      </w:hyperlink>
      <w:r w:rsidRPr="00EA0E8B">
        <w:rPr>
          <w:rFonts w:asciiTheme="minorEastAsia" w:hAnsiTheme="minorEastAsia"/>
        </w:rPr>
        <w:t>. Canadian Medical Association Journal 2019;191:E16–E18.</w:t>
      </w:r>
    </w:p>
    <w:p w14:paraId="0B9EAD31" w14:textId="77777777" w:rsidR="003B3FC7" w:rsidRPr="00EA0E8B" w:rsidRDefault="00000000" w:rsidP="00EA0E8B">
      <w:pPr>
        <w:pStyle w:val="Bibliography"/>
        <w:spacing w:line="480" w:lineRule="auto"/>
        <w:rPr>
          <w:rFonts w:asciiTheme="minorEastAsia" w:hAnsiTheme="minorEastAsia"/>
        </w:rPr>
      </w:pPr>
      <w:bookmarkStart w:id="91" w:name="ref-steinert2017ethics"/>
      <w:bookmarkEnd w:id="90"/>
      <w:r w:rsidRPr="00EA0E8B">
        <w:rPr>
          <w:rFonts w:asciiTheme="minorEastAsia" w:hAnsiTheme="minorEastAsia"/>
        </w:rPr>
        <w:t xml:space="preserve">62. </w:t>
      </w:r>
      <w:r w:rsidRPr="00EA0E8B">
        <w:rPr>
          <w:rFonts w:asciiTheme="minorEastAsia" w:hAnsiTheme="minorEastAsia"/>
        </w:rPr>
        <w:tab/>
        <w:t xml:space="preserve">Steinert T. </w:t>
      </w:r>
      <w:hyperlink r:id="rId62">
        <w:r w:rsidRPr="00EA0E8B">
          <w:rPr>
            <w:rStyle w:val="Hyperlink"/>
            <w:rFonts w:asciiTheme="minorEastAsia" w:hAnsiTheme="minorEastAsia"/>
          </w:rPr>
          <w:t>Ethics of coercive treatment and misuse of psychiatry</w:t>
        </w:r>
      </w:hyperlink>
      <w:r w:rsidRPr="00EA0E8B">
        <w:rPr>
          <w:rFonts w:asciiTheme="minorEastAsia" w:hAnsiTheme="minorEastAsia"/>
        </w:rPr>
        <w:t>. Psychiatric Services 2017;68:291–294.</w:t>
      </w:r>
    </w:p>
    <w:p w14:paraId="6166EC11" w14:textId="77777777" w:rsidR="003B3FC7" w:rsidRPr="00EA0E8B" w:rsidRDefault="00000000" w:rsidP="00EA0E8B">
      <w:pPr>
        <w:pStyle w:val="Bibliography"/>
        <w:spacing w:line="480" w:lineRule="auto"/>
        <w:rPr>
          <w:rFonts w:asciiTheme="minorEastAsia" w:hAnsiTheme="minorEastAsia"/>
        </w:rPr>
      </w:pPr>
      <w:bookmarkStart w:id="92" w:name="ref-bieber2020the"/>
      <w:bookmarkEnd w:id="91"/>
      <w:r w:rsidRPr="00EA0E8B">
        <w:rPr>
          <w:rFonts w:asciiTheme="minorEastAsia" w:hAnsiTheme="minorEastAsia"/>
        </w:rPr>
        <w:t xml:space="preserve">63. </w:t>
      </w:r>
      <w:r w:rsidRPr="00EA0E8B">
        <w:rPr>
          <w:rFonts w:asciiTheme="minorEastAsia" w:hAnsiTheme="minorEastAsia"/>
        </w:rPr>
        <w:tab/>
        <w:t xml:space="preserve">Bieber ED, Edelsohn GA, McGee ME, Shekunov J, Romanowicz M, Vande Voort JL, et al. </w:t>
      </w:r>
      <w:hyperlink r:id="rId63">
        <w:r w:rsidRPr="00EA0E8B">
          <w:rPr>
            <w:rStyle w:val="Hyperlink"/>
            <w:rFonts w:asciiTheme="minorEastAsia" w:hAnsiTheme="minorEastAsia"/>
          </w:rPr>
          <w:t>The role of parental capacity for medical decision-making in medical ethics and the care of psychiatrically ill youth: Case report</w:t>
        </w:r>
      </w:hyperlink>
      <w:r w:rsidRPr="00EA0E8B">
        <w:rPr>
          <w:rFonts w:asciiTheme="minorEastAsia" w:hAnsiTheme="minorEastAsia"/>
        </w:rPr>
        <w:t>. Frontiers in Psychiatry 2020;11.</w:t>
      </w:r>
    </w:p>
    <w:p w14:paraId="447B3C04" w14:textId="77777777" w:rsidR="003B3FC7" w:rsidRPr="00EA0E8B" w:rsidRDefault="00000000" w:rsidP="00EA0E8B">
      <w:pPr>
        <w:pStyle w:val="Bibliography"/>
        <w:spacing w:line="480" w:lineRule="auto"/>
        <w:rPr>
          <w:rFonts w:asciiTheme="minorEastAsia" w:hAnsiTheme="minorEastAsia"/>
        </w:rPr>
      </w:pPr>
      <w:bookmarkStart w:id="93" w:name="ref-yoon2018critique"/>
      <w:bookmarkEnd w:id="92"/>
      <w:r w:rsidRPr="00EA0E8B">
        <w:rPr>
          <w:rFonts w:asciiTheme="minorEastAsia" w:hAnsiTheme="minorEastAsia"/>
        </w:rPr>
        <w:t xml:space="preserve">64. </w:t>
      </w:r>
      <w:r w:rsidRPr="00EA0E8B">
        <w:rPr>
          <w:rFonts w:asciiTheme="minorEastAsia" w:hAnsiTheme="minorEastAsia"/>
        </w:rPr>
        <w:tab/>
        <w:t xml:space="preserve">Yoon JS, Kim CY, Ahn J-H. </w:t>
      </w:r>
      <w:hyperlink r:id="rId64">
        <w:r w:rsidRPr="00EA0E8B">
          <w:rPr>
            <w:rStyle w:val="Hyperlink"/>
            <w:rFonts w:asciiTheme="minorEastAsia" w:hAnsiTheme="minorEastAsia"/>
          </w:rPr>
          <w:t>Critique of mental health welfare law in korea : Focusing on involuntary hospitalization criteria</w:t>
        </w:r>
      </w:hyperlink>
      <w:r w:rsidRPr="00EA0E8B">
        <w:rPr>
          <w:rFonts w:asciiTheme="minorEastAsia" w:hAnsiTheme="minorEastAsia"/>
        </w:rPr>
        <w:t>. Journal of Korean Neuropsychiatric Association 2018;57:145.</w:t>
      </w:r>
    </w:p>
    <w:p w14:paraId="46BA3840" w14:textId="77777777" w:rsidR="003B3FC7" w:rsidRPr="00EA0E8B" w:rsidRDefault="00000000" w:rsidP="00EA0E8B">
      <w:pPr>
        <w:pStyle w:val="Bibliography"/>
        <w:spacing w:line="480" w:lineRule="auto"/>
        <w:rPr>
          <w:rFonts w:asciiTheme="minorEastAsia" w:hAnsiTheme="minorEastAsia"/>
        </w:rPr>
      </w:pPr>
      <w:bookmarkStart w:id="94" w:name="ref-shapiro2018pediatric"/>
      <w:bookmarkEnd w:id="93"/>
      <w:r w:rsidRPr="00EA0E8B">
        <w:rPr>
          <w:rFonts w:asciiTheme="minorEastAsia" w:hAnsiTheme="minorEastAsia"/>
        </w:rPr>
        <w:t xml:space="preserve">65. </w:t>
      </w:r>
      <w:r w:rsidRPr="00EA0E8B">
        <w:rPr>
          <w:rFonts w:asciiTheme="minorEastAsia" w:hAnsiTheme="minorEastAsia"/>
        </w:rPr>
        <w:tab/>
        <w:t xml:space="preserve">Shapiro M. </w:t>
      </w:r>
      <w:hyperlink r:id="rId65">
        <w:r w:rsidRPr="00EA0E8B">
          <w:rPr>
            <w:rStyle w:val="Hyperlink"/>
            <w:rFonts w:asciiTheme="minorEastAsia" w:hAnsiTheme="minorEastAsia"/>
          </w:rPr>
          <w:t>Pediatric depression: When does parental refusal for treatment constitute medical neglect?</w:t>
        </w:r>
      </w:hyperlink>
      <w:r w:rsidRPr="00EA0E8B">
        <w:rPr>
          <w:rFonts w:asciiTheme="minorEastAsia" w:hAnsiTheme="minorEastAsia"/>
        </w:rPr>
        <w:t xml:space="preserve"> Journal of the American Academy of Child &amp;amp; Adolescent Psychiatry 2018;57:363–365.</w:t>
      </w:r>
    </w:p>
    <w:p w14:paraId="710CBE12" w14:textId="77777777" w:rsidR="003B3FC7" w:rsidRPr="00EA0E8B" w:rsidRDefault="00000000" w:rsidP="00EA0E8B">
      <w:pPr>
        <w:pStyle w:val="Bibliography"/>
        <w:spacing w:line="480" w:lineRule="auto"/>
        <w:rPr>
          <w:rFonts w:asciiTheme="minorEastAsia" w:hAnsiTheme="minorEastAsia"/>
        </w:rPr>
      </w:pPr>
      <w:bookmarkStart w:id="95" w:name="ref-foucault2006history"/>
      <w:bookmarkEnd w:id="94"/>
      <w:r w:rsidRPr="00EA0E8B">
        <w:rPr>
          <w:rFonts w:asciiTheme="minorEastAsia" w:hAnsiTheme="minorEastAsia"/>
        </w:rPr>
        <w:t xml:space="preserve">66. </w:t>
      </w:r>
      <w:r w:rsidRPr="00EA0E8B">
        <w:rPr>
          <w:rFonts w:asciiTheme="minorEastAsia" w:hAnsiTheme="minorEastAsia"/>
        </w:rPr>
        <w:tab/>
        <w:t>Foucault M. History of madness. London; New York: Routledge; 2006.</w:t>
      </w:r>
    </w:p>
    <w:p w14:paraId="10E4BC0B" w14:textId="77777777" w:rsidR="003B3FC7" w:rsidRPr="00EA0E8B" w:rsidRDefault="00000000" w:rsidP="00EA0E8B">
      <w:pPr>
        <w:pStyle w:val="Bibliography"/>
        <w:spacing w:line="480" w:lineRule="auto"/>
        <w:rPr>
          <w:rFonts w:asciiTheme="minorEastAsia" w:hAnsiTheme="minorEastAsia"/>
        </w:rPr>
      </w:pPr>
      <w:bookmarkStart w:id="96" w:name="ref-aho2008medicalizing"/>
      <w:bookmarkEnd w:id="95"/>
      <w:r w:rsidRPr="00EA0E8B">
        <w:rPr>
          <w:rFonts w:asciiTheme="minorEastAsia" w:hAnsiTheme="minorEastAsia"/>
        </w:rPr>
        <w:lastRenderedPageBreak/>
        <w:t xml:space="preserve">67. </w:t>
      </w:r>
      <w:r w:rsidRPr="00EA0E8B">
        <w:rPr>
          <w:rFonts w:asciiTheme="minorEastAsia" w:hAnsiTheme="minorEastAsia"/>
        </w:rPr>
        <w:tab/>
        <w:t xml:space="preserve">Aho K. </w:t>
      </w:r>
      <w:hyperlink r:id="rId66">
        <w:r w:rsidRPr="00EA0E8B">
          <w:rPr>
            <w:rStyle w:val="Hyperlink"/>
            <w:rFonts w:asciiTheme="minorEastAsia" w:hAnsiTheme="minorEastAsia"/>
          </w:rPr>
          <w:t>Medicalizing mental health: A phenomenological alternative</w:t>
        </w:r>
      </w:hyperlink>
      <w:r w:rsidRPr="00EA0E8B">
        <w:rPr>
          <w:rFonts w:asciiTheme="minorEastAsia" w:hAnsiTheme="minorEastAsia"/>
        </w:rPr>
        <w:t>. Journal of Medical Humanities 2008;29:243–259.</w:t>
      </w:r>
    </w:p>
    <w:p w14:paraId="320E9D15" w14:textId="77777777" w:rsidR="003B3FC7" w:rsidRPr="00EA0E8B" w:rsidRDefault="00000000" w:rsidP="00EA0E8B">
      <w:pPr>
        <w:pStyle w:val="Bibliography"/>
        <w:spacing w:line="480" w:lineRule="auto"/>
        <w:rPr>
          <w:rFonts w:asciiTheme="minorEastAsia" w:hAnsiTheme="minorEastAsia"/>
        </w:rPr>
      </w:pPr>
      <w:bookmarkStart w:id="97" w:name="ref-frawley2025medicalization"/>
      <w:bookmarkEnd w:id="96"/>
      <w:r w:rsidRPr="00EA0E8B">
        <w:rPr>
          <w:rFonts w:asciiTheme="minorEastAsia" w:hAnsiTheme="minorEastAsia"/>
        </w:rPr>
        <w:t xml:space="preserve">68. </w:t>
      </w:r>
      <w:r w:rsidRPr="00EA0E8B">
        <w:rPr>
          <w:rFonts w:asciiTheme="minorEastAsia" w:hAnsiTheme="minorEastAsia"/>
        </w:rPr>
        <w:tab/>
        <w:t xml:space="preserve">Frawley A. </w:t>
      </w:r>
      <w:hyperlink r:id="rId67">
        <w:r w:rsidRPr="00EA0E8B">
          <w:rPr>
            <w:rStyle w:val="Hyperlink"/>
            <w:rFonts w:asciiTheme="minorEastAsia" w:hAnsiTheme="minorEastAsia"/>
          </w:rPr>
          <w:t>Medicalization of social problems</w:t>
        </w:r>
      </w:hyperlink>
      <w:r w:rsidRPr="00EA0E8B">
        <w:rPr>
          <w:rFonts w:asciiTheme="minorEastAsia" w:hAnsiTheme="minorEastAsia"/>
        </w:rPr>
        <w:t>. Handbook of the Philosophy of Medicine 2025;1487–1504.</w:t>
      </w:r>
    </w:p>
    <w:p w14:paraId="75ACF31C" w14:textId="77777777" w:rsidR="003B3FC7" w:rsidRPr="00EA0E8B" w:rsidRDefault="00000000" w:rsidP="00EA0E8B">
      <w:pPr>
        <w:pStyle w:val="Bibliography"/>
        <w:spacing w:line="480" w:lineRule="auto"/>
        <w:rPr>
          <w:rFonts w:asciiTheme="minorEastAsia" w:hAnsiTheme="minorEastAsia"/>
        </w:rPr>
      </w:pPr>
      <w:bookmarkStart w:id="98" w:name="ref-fricker2007epistemic"/>
      <w:bookmarkEnd w:id="97"/>
      <w:r w:rsidRPr="00EA0E8B">
        <w:rPr>
          <w:rFonts w:asciiTheme="minorEastAsia" w:hAnsiTheme="minorEastAsia"/>
        </w:rPr>
        <w:t xml:space="preserve">69. </w:t>
      </w:r>
      <w:r w:rsidRPr="00EA0E8B">
        <w:rPr>
          <w:rFonts w:asciiTheme="minorEastAsia" w:hAnsiTheme="minorEastAsia"/>
        </w:rPr>
        <w:tab/>
        <w:t xml:space="preserve">Fricker M. </w:t>
      </w:r>
      <w:hyperlink r:id="rId68">
        <w:r w:rsidRPr="00EA0E8B">
          <w:rPr>
            <w:rStyle w:val="Hyperlink"/>
            <w:rFonts w:asciiTheme="minorEastAsia" w:hAnsiTheme="minorEastAsia"/>
          </w:rPr>
          <w:t>Epistemic injustice</w:t>
        </w:r>
      </w:hyperlink>
      <w:r w:rsidRPr="00EA0E8B">
        <w:rPr>
          <w:rFonts w:asciiTheme="minorEastAsia" w:hAnsiTheme="minorEastAsia"/>
        </w:rPr>
        <w:t>. 2007;</w:t>
      </w:r>
    </w:p>
    <w:p w14:paraId="06F77A21" w14:textId="77777777" w:rsidR="003B3FC7" w:rsidRPr="00EA0E8B" w:rsidRDefault="00000000" w:rsidP="00EA0E8B">
      <w:pPr>
        <w:pStyle w:val="Bibliography"/>
        <w:spacing w:line="480" w:lineRule="auto"/>
        <w:rPr>
          <w:rFonts w:asciiTheme="minorEastAsia" w:hAnsiTheme="minorEastAsia"/>
        </w:rPr>
      </w:pPr>
      <w:bookmarkStart w:id="99" w:name="ref-crichton2017epistemic"/>
      <w:bookmarkEnd w:id="98"/>
      <w:r w:rsidRPr="00EA0E8B">
        <w:rPr>
          <w:rFonts w:asciiTheme="minorEastAsia" w:hAnsiTheme="minorEastAsia"/>
        </w:rPr>
        <w:t xml:space="preserve">70. </w:t>
      </w:r>
      <w:r w:rsidRPr="00EA0E8B">
        <w:rPr>
          <w:rFonts w:asciiTheme="minorEastAsia" w:hAnsiTheme="minorEastAsia"/>
        </w:rPr>
        <w:tab/>
        <w:t xml:space="preserve">Crichton P, Carel H, Kidd IJ. </w:t>
      </w:r>
      <w:hyperlink r:id="rId69">
        <w:r w:rsidRPr="00EA0E8B">
          <w:rPr>
            <w:rStyle w:val="Hyperlink"/>
            <w:rFonts w:asciiTheme="minorEastAsia" w:hAnsiTheme="minorEastAsia"/>
          </w:rPr>
          <w:t>Epistemic injustice in psychiatry</w:t>
        </w:r>
      </w:hyperlink>
      <w:r w:rsidRPr="00EA0E8B">
        <w:rPr>
          <w:rFonts w:asciiTheme="minorEastAsia" w:hAnsiTheme="minorEastAsia"/>
        </w:rPr>
        <w:t>. BJPsych Bulletin 2017;41:65–70.</w:t>
      </w:r>
    </w:p>
    <w:p w14:paraId="5F14E854" w14:textId="77777777" w:rsidR="003B3FC7" w:rsidRPr="00EA0E8B" w:rsidRDefault="00000000" w:rsidP="00EA0E8B">
      <w:pPr>
        <w:pStyle w:val="Bibliography"/>
        <w:spacing w:line="480" w:lineRule="auto"/>
        <w:rPr>
          <w:rFonts w:asciiTheme="minorEastAsia" w:hAnsiTheme="minorEastAsia"/>
        </w:rPr>
      </w:pPr>
      <w:bookmarkStart w:id="100" w:name="ref-russo2023psychiatrization"/>
      <w:bookmarkEnd w:id="99"/>
      <w:r w:rsidRPr="00EA0E8B">
        <w:rPr>
          <w:rFonts w:asciiTheme="minorEastAsia" w:hAnsiTheme="minorEastAsia"/>
        </w:rPr>
        <w:t xml:space="preserve">71. </w:t>
      </w:r>
      <w:r w:rsidRPr="00EA0E8B">
        <w:rPr>
          <w:rFonts w:asciiTheme="minorEastAsia" w:hAnsiTheme="minorEastAsia"/>
        </w:rPr>
        <w:tab/>
        <w:t xml:space="preserve">Russo J. </w:t>
      </w:r>
      <w:hyperlink r:id="rId70">
        <w:r w:rsidRPr="00EA0E8B">
          <w:rPr>
            <w:rStyle w:val="Hyperlink"/>
            <w:rFonts w:asciiTheme="minorEastAsia" w:hAnsiTheme="minorEastAsia"/>
          </w:rPr>
          <w:t>Psychiatrization, assertions of epistemic justice, and the question of agency</w:t>
        </w:r>
      </w:hyperlink>
      <w:r w:rsidRPr="00EA0E8B">
        <w:rPr>
          <w:rFonts w:asciiTheme="minorEastAsia" w:hAnsiTheme="minorEastAsia"/>
        </w:rPr>
        <w:t>. Frontiers in Sociology 2023;8.</w:t>
      </w:r>
    </w:p>
    <w:p w14:paraId="4021BC07" w14:textId="77777777" w:rsidR="003B3FC7" w:rsidRPr="00EA0E8B" w:rsidRDefault="00000000" w:rsidP="00EA0E8B">
      <w:pPr>
        <w:pStyle w:val="Bibliography"/>
        <w:spacing w:line="480" w:lineRule="auto"/>
        <w:rPr>
          <w:rFonts w:asciiTheme="minorEastAsia" w:hAnsiTheme="minorEastAsia"/>
        </w:rPr>
      </w:pPr>
      <w:bookmarkStart w:id="101" w:name="ref-beauchamp2019principles"/>
      <w:bookmarkEnd w:id="100"/>
      <w:r w:rsidRPr="00EA0E8B">
        <w:rPr>
          <w:rFonts w:asciiTheme="minorEastAsia" w:hAnsiTheme="minorEastAsia"/>
        </w:rPr>
        <w:t xml:space="preserve">72. </w:t>
      </w:r>
      <w:r w:rsidRPr="00EA0E8B">
        <w:rPr>
          <w:rFonts w:asciiTheme="minorEastAsia" w:hAnsiTheme="minorEastAsia"/>
        </w:rPr>
        <w:tab/>
        <w:t>Beauchamp TL, Childress JF. Principles of biomedical ethics. 8th ed. New York: Oxford University Press; 2019.</w:t>
      </w:r>
    </w:p>
    <w:p w14:paraId="69372664" w14:textId="77777777" w:rsidR="003B3FC7" w:rsidRPr="00EA0E8B" w:rsidRDefault="00000000" w:rsidP="00EA0E8B">
      <w:pPr>
        <w:pStyle w:val="Bibliography"/>
        <w:spacing w:line="480" w:lineRule="auto"/>
        <w:rPr>
          <w:rFonts w:asciiTheme="minorEastAsia" w:hAnsiTheme="minorEastAsia"/>
        </w:rPr>
      </w:pPr>
      <w:bookmarkStart w:id="102" w:name="ref-shea2020principlisms"/>
      <w:bookmarkEnd w:id="101"/>
      <w:r w:rsidRPr="00EA0E8B">
        <w:rPr>
          <w:rFonts w:asciiTheme="minorEastAsia" w:hAnsiTheme="minorEastAsia"/>
        </w:rPr>
        <w:t xml:space="preserve">73. </w:t>
      </w:r>
      <w:r w:rsidRPr="00EA0E8B">
        <w:rPr>
          <w:rFonts w:asciiTheme="minorEastAsia" w:hAnsiTheme="minorEastAsia"/>
        </w:rPr>
        <w:tab/>
        <w:t xml:space="preserve">Shea M. </w:t>
      </w:r>
      <w:hyperlink r:id="rId71">
        <w:r w:rsidRPr="00EA0E8B">
          <w:rPr>
            <w:rStyle w:val="Hyperlink"/>
            <w:rFonts w:asciiTheme="minorEastAsia" w:hAnsiTheme="minorEastAsia"/>
          </w:rPr>
          <w:t>Principlism’s balancing act: Why the principles of biomedical ethics need a theory of the good</w:t>
        </w:r>
      </w:hyperlink>
      <w:r w:rsidRPr="00EA0E8B">
        <w:rPr>
          <w:rFonts w:asciiTheme="minorEastAsia" w:hAnsiTheme="minorEastAsia"/>
        </w:rPr>
        <w:t>. The Journal of Medicine and Philosophy: A Forum for Bioethics and Philosophy of Medicine 2020;45:441–470.</w:t>
      </w:r>
    </w:p>
    <w:p w14:paraId="03C8BFF8" w14:textId="77777777" w:rsidR="003B3FC7" w:rsidRPr="00EA0E8B" w:rsidRDefault="00000000" w:rsidP="00EA0E8B">
      <w:pPr>
        <w:pStyle w:val="Bibliography"/>
        <w:spacing w:line="480" w:lineRule="auto"/>
        <w:rPr>
          <w:rFonts w:asciiTheme="minorEastAsia" w:hAnsiTheme="minorEastAsia"/>
        </w:rPr>
      </w:pPr>
      <w:bookmarkStart w:id="103" w:name="ref-appelbaum2007assessment"/>
      <w:bookmarkEnd w:id="102"/>
      <w:r w:rsidRPr="00EA0E8B">
        <w:rPr>
          <w:rFonts w:asciiTheme="minorEastAsia" w:hAnsiTheme="minorEastAsia"/>
        </w:rPr>
        <w:lastRenderedPageBreak/>
        <w:t xml:space="preserve">74. </w:t>
      </w:r>
      <w:r w:rsidRPr="00EA0E8B">
        <w:rPr>
          <w:rFonts w:asciiTheme="minorEastAsia" w:hAnsiTheme="minorEastAsia"/>
        </w:rPr>
        <w:tab/>
        <w:t xml:space="preserve">Appelbaum PS. </w:t>
      </w:r>
      <w:hyperlink r:id="rId72">
        <w:r w:rsidRPr="00EA0E8B">
          <w:rPr>
            <w:rStyle w:val="Hyperlink"/>
            <w:rFonts w:asciiTheme="minorEastAsia" w:hAnsiTheme="minorEastAsia"/>
          </w:rPr>
          <w:t>Assessment of patients’ competence to consent to treatment</w:t>
        </w:r>
      </w:hyperlink>
      <w:r w:rsidRPr="00EA0E8B">
        <w:rPr>
          <w:rFonts w:asciiTheme="minorEastAsia" w:hAnsiTheme="minorEastAsia"/>
        </w:rPr>
        <w:t>. New England Journal of Medicine 2007;357:1834–1840.</w:t>
      </w:r>
    </w:p>
    <w:p w14:paraId="47794750" w14:textId="77777777" w:rsidR="003B3FC7" w:rsidRPr="00EA0E8B" w:rsidRDefault="00000000" w:rsidP="00EA0E8B">
      <w:pPr>
        <w:pStyle w:val="Bibliography"/>
        <w:spacing w:line="480" w:lineRule="auto"/>
        <w:rPr>
          <w:rFonts w:asciiTheme="minorEastAsia" w:hAnsiTheme="minorEastAsia"/>
        </w:rPr>
      </w:pPr>
      <w:bookmarkStart w:id="104" w:name="ref-franks2021physical"/>
      <w:bookmarkEnd w:id="103"/>
      <w:r w:rsidRPr="00EA0E8B">
        <w:rPr>
          <w:rFonts w:asciiTheme="minorEastAsia" w:hAnsiTheme="minorEastAsia"/>
        </w:rPr>
        <w:t xml:space="preserve">75. </w:t>
      </w:r>
      <w:r w:rsidRPr="00EA0E8B">
        <w:rPr>
          <w:rFonts w:asciiTheme="minorEastAsia" w:hAnsiTheme="minorEastAsia"/>
        </w:rPr>
        <w:tab/>
        <w:t xml:space="preserve">Franks ZM, Alcock JA, Lam T, Haines KJ, Arora N, Ramanan M. </w:t>
      </w:r>
      <w:hyperlink r:id="rId73">
        <w:r w:rsidRPr="00EA0E8B">
          <w:rPr>
            <w:rStyle w:val="Hyperlink"/>
            <w:rFonts w:asciiTheme="minorEastAsia" w:hAnsiTheme="minorEastAsia"/>
          </w:rPr>
          <w:t>Physical restraints and post-traumatic stress disorder in survivors of critical illness. A systematic review and meta-analysis</w:t>
        </w:r>
      </w:hyperlink>
      <w:r w:rsidRPr="00EA0E8B">
        <w:rPr>
          <w:rFonts w:asciiTheme="minorEastAsia" w:hAnsiTheme="minorEastAsia"/>
        </w:rPr>
        <w:t>. Annals of the American Thoracic Society 2021;18:689–697.</w:t>
      </w:r>
    </w:p>
    <w:p w14:paraId="12B1A713" w14:textId="77777777" w:rsidR="003B3FC7" w:rsidRPr="00EA0E8B" w:rsidRDefault="00000000" w:rsidP="00EA0E8B">
      <w:pPr>
        <w:pStyle w:val="Bibliography"/>
        <w:spacing w:line="480" w:lineRule="auto"/>
        <w:rPr>
          <w:rFonts w:asciiTheme="minorEastAsia" w:hAnsiTheme="minorEastAsia"/>
        </w:rPr>
      </w:pPr>
      <w:bookmarkStart w:id="105" w:name="ref-chieze2021"/>
      <w:bookmarkEnd w:id="104"/>
      <w:r w:rsidRPr="00EA0E8B">
        <w:rPr>
          <w:rFonts w:asciiTheme="minorEastAsia" w:hAnsiTheme="minorEastAsia"/>
        </w:rPr>
        <w:t xml:space="preserve">76. </w:t>
      </w:r>
      <w:r w:rsidRPr="00EA0E8B">
        <w:rPr>
          <w:rFonts w:asciiTheme="minorEastAsia" w:hAnsiTheme="minorEastAsia"/>
        </w:rPr>
        <w:tab/>
        <w:t xml:space="preserve">Chieze M, Clavien C, Kaiser S, Hurst S. </w:t>
      </w:r>
      <w:hyperlink r:id="rId74">
        <w:r w:rsidRPr="00EA0E8B">
          <w:rPr>
            <w:rStyle w:val="Hyperlink"/>
            <w:rFonts w:asciiTheme="minorEastAsia" w:hAnsiTheme="minorEastAsia"/>
          </w:rPr>
          <w:t>Coercive measures in psychiatry: A review of ethical arguments</w:t>
        </w:r>
      </w:hyperlink>
      <w:r w:rsidRPr="00EA0E8B">
        <w:rPr>
          <w:rFonts w:asciiTheme="minorEastAsia" w:hAnsiTheme="minorEastAsia"/>
        </w:rPr>
        <w:t>. Frontiers in Psychiatry 2021;12.</w:t>
      </w:r>
    </w:p>
    <w:p w14:paraId="446343AB" w14:textId="77777777" w:rsidR="003B3FC7" w:rsidRPr="00EA0E8B" w:rsidRDefault="00000000" w:rsidP="00EA0E8B">
      <w:pPr>
        <w:pStyle w:val="Bibliography"/>
        <w:spacing w:line="480" w:lineRule="auto"/>
        <w:rPr>
          <w:rFonts w:asciiTheme="minorEastAsia" w:hAnsiTheme="minorEastAsia"/>
        </w:rPr>
      </w:pPr>
      <w:bookmarkStart w:id="106" w:name="ref-hem2016"/>
      <w:bookmarkEnd w:id="105"/>
      <w:r w:rsidRPr="00EA0E8B">
        <w:rPr>
          <w:rFonts w:asciiTheme="minorEastAsia" w:hAnsiTheme="minorEastAsia"/>
        </w:rPr>
        <w:t xml:space="preserve">77. </w:t>
      </w:r>
      <w:r w:rsidRPr="00EA0E8B">
        <w:rPr>
          <w:rFonts w:asciiTheme="minorEastAsia" w:hAnsiTheme="minorEastAsia"/>
        </w:rPr>
        <w:tab/>
        <w:t xml:space="preserve">Hem MH, Gjerberg E, Husum TL, Pedersen R. </w:t>
      </w:r>
      <w:hyperlink r:id="rId75">
        <w:r w:rsidRPr="00EA0E8B">
          <w:rPr>
            <w:rStyle w:val="Hyperlink"/>
            <w:rFonts w:asciiTheme="minorEastAsia" w:hAnsiTheme="minorEastAsia"/>
          </w:rPr>
          <w:t>Ethical challenges when using coercion in mental healthcare: A systematic literature review</w:t>
        </w:r>
      </w:hyperlink>
      <w:r w:rsidRPr="00EA0E8B">
        <w:rPr>
          <w:rFonts w:asciiTheme="minorEastAsia" w:hAnsiTheme="minorEastAsia"/>
        </w:rPr>
        <w:t>. Nursing Ethics 2016;25:92–110.</w:t>
      </w:r>
    </w:p>
    <w:p w14:paraId="2F27C0B4" w14:textId="77777777" w:rsidR="003B3FC7" w:rsidRPr="00EA0E8B" w:rsidRDefault="00000000" w:rsidP="00EA0E8B">
      <w:pPr>
        <w:pStyle w:val="Bibliography"/>
        <w:spacing w:line="480" w:lineRule="auto"/>
        <w:rPr>
          <w:rFonts w:asciiTheme="minorEastAsia" w:hAnsiTheme="minorEastAsia"/>
        </w:rPr>
      </w:pPr>
      <w:bookmarkStart w:id="107" w:name="ref-crutchfield2022the"/>
      <w:bookmarkEnd w:id="106"/>
      <w:r w:rsidRPr="00EA0E8B">
        <w:rPr>
          <w:rFonts w:asciiTheme="minorEastAsia" w:hAnsiTheme="minorEastAsia"/>
        </w:rPr>
        <w:t xml:space="preserve">78. </w:t>
      </w:r>
      <w:r w:rsidRPr="00EA0E8B">
        <w:rPr>
          <w:rFonts w:asciiTheme="minorEastAsia" w:hAnsiTheme="minorEastAsia"/>
        </w:rPr>
        <w:tab/>
        <w:t xml:space="preserve">Crutchfield P, Redinger M. </w:t>
      </w:r>
      <w:hyperlink r:id="rId76">
        <w:r w:rsidRPr="00EA0E8B">
          <w:rPr>
            <w:rStyle w:val="Hyperlink"/>
            <w:rFonts w:asciiTheme="minorEastAsia" w:hAnsiTheme="minorEastAsia"/>
          </w:rPr>
          <w:t>The conditions for ethical chemical restraints</w:t>
        </w:r>
      </w:hyperlink>
      <w:r w:rsidRPr="00EA0E8B">
        <w:rPr>
          <w:rFonts w:asciiTheme="minorEastAsia" w:hAnsiTheme="minorEastAsia"/>
        </w:rPr>
        <w:t>. AJOB Neuroscience 2022;15:3–16.</w:t>
      </w:r>
    </w:p>
    <w:p w14:paraId="23187B1B" w14:textId="77777777" w:rsidR="003B3FC7" w:rsidRPr="00EA0E8B" w:rsidRDefault="00000000" w:rsidP="00EA0E8B">
      <w:pPr>
        <w:pStyle w:val="Bibliography"/>
        <w:spacing w:line="480" w:lineRule="auto"/>
        <w:rPr>
          <w:rFonts w:asciiTheme="minorEastAsia" w:hAnsiTheme="minorEastAsia"/>
        </w:rPr>
      </w:pPr>
      <w:bookmarkStart w:id="108" w:name="ref-steinert2023using"/>
      <w:bookmarkEnd w:id="107"/>
      <w:r w:rsidRPr="00EA0E8B">
        <w:rPr>
          <w:rFonts w:asciiTheme="minorEastAsia" w:hAnsiTheme="minorEastAsia"/>
        </w:rPr>
        <w:lastRenderedPageBreak/>
        <w:t xml:space="preserve">79. </w:t>
      </w:r>
      <w:r w:rsidRPr="00EA0E8B">
        <w:rPr>
          <w:rFonts w:asciiTheme="minorEastAsia" w:hAnsiTheme="minorEastAsia"/>
        </w:rPr>
        <w:tab/>
        <w:t xml:space="preserve">Steinert T. </w:t>
      </w:r>
      <w:hyperlink r:id="rId77">
        <w:r w:rsidRPr="00EA0E8B">
          <w:rPr>
            <w:rStyle w:val="Hyperlink"/>
            <w:rFonts w:asciiTheme="minorEastAsia" w:hAnsiTheme="minorEastAsia"/>
          </w:rPr>
          <w:t>Using coercion in mental disorders or risking the patient’s death? An analysis of the protocols of a clinical ethics committee and a derived decision algorithm</w:t>
        </w:r>
      </w:hyperlink>
      <w:r w:rsidRPr="00EA0E8B">
        <w:rPr>
          <w:rFonts w:asciiTheme="minorEastAsia" w:hAnsiTheme="minorEastAsia"/>
        </w:rPr>
        <w:t>. Journal of Medical Ethics 2023;50:552–556.</w:t>
      </w:r>
    </w:p>
    <w:p w14:paraId="7D3779BF" w14:textId="77777777" w:rsidR="003B3FC7" w:rsidRPr="00EA0E8B" w:rsidRDefault="00000000" w:rsidP="00EA0E8B">
      <w:pPr>
        <w:pStyle w:val="Bibliography"/>
        <w:spacing w:line="480" w:lineRule="auto"/>
        <w:rPr>
          <w:rFonts w:asciiTheme="minorEastAsia" w:hAnsiTheme="minorEastAsia"/>
        </w:rPr>
      </w:pPr>
      <w:bookmarkStart w:id="109" w:name="ref-szmukler2019capacity"/>
      <w:bookmarkEnd w:id="108"/>
      <w:r w:rsidRPr="00EA0E8B">
        <w:rPr>
          <w:rFonts w:asciiTheme="minorEastAsia" w:hAnsiTheme="minorEastAsia"/>
        </w:rPr>
        <w:t xml:space="preserve">80. </w:t>
      </w:r>
      <w:r w:rsidRPr="00EA0E8B">
        <w:rPr>
          <w:rFonts w:asciiTheme="minorEastAsia" w:hAnsiTheme="minorEastAsia"/>
        </w:rPr>
        <w:tab/>
        <w:t xml:space="preserve">Szmukler G. </w:t>
      </w:r>
      <w:hyperlink r:id="rId78">
        <w:r w:rsidRPr="00EA0E8B">
          <w:rPr>
            <w:rStyle w:val="Hyperlink"/>
            <w:rFonts w:asciiTheme="minorEastAsia" w:hAnsiTheme="minorEastAsia"/>
          </w:rPr>
          <w:t>‘Capacity’, ‘best interests’, ‘will and preferences’ and the UN convention on the rights of persons with disabilities</w:t>
        </w:r>
      </w:hyperlink>
      <w:r w:rsidRPr="00EA0E8B">
        <w:rPr>
          <w:rFonts w:asciiTheme="minorEastAsia" w:hAnsiTheme="minorEastAsia"/>
        </w:rPr>
        <w:t>. World Psychiatry 2019;18:34–41.</w:t>
      </w:r>
    </w:p>
    <w:p w14:paraId="54468467" w14:textId="77777777" w:rsidR="003B3FC7" w:rsidRPr="00EA0E8B" w:rsidRDefault="00000000" w:rsidP="00EA0E8B">
      <w:pPr>
        <w:pStyle w:val="Bibliography"/>
        <w:spacing w:line="480" w:lineRule="auto"/>
        <w:rPr>
          <w:rFonts w:asciiTheme="minorEastAsia" w:hAnsiTheme="minorEastAsia"/>
        </w:rPr>
      </w:pPr>
      <w:bookmarkStart w:id="110" w:name="ref-swanson2006facilitated"/>
      <w:bookmarkEnd w:id="109"/>
      <w:r w:rsidRPr="00EA0E8B">
        <w:rPr>
          <w:rFonts w:asciiTheme="minorEastAsia" w:hAnsiTheme="minorEastAsia"/>
        </w:rPr>
        <w:t xml:space="preserve">81. </w:t>
      </w:r>
      <w:r w:rsidRPr="00EA0E8B">
        <w:rPr>
          <w:rFonts w:asciiTheme="minorEastAsia" w:hAnsiTheme="minorEastAsia"/>
        </w:rPr>
        <w:tab/>
        <w:t xml:space="preserve">Swanson JW, Swartz MS, Elbogen EB, Van Dorn RA, Ferron J, Wagner HR, et al. </w:t>
      </w:r>
      <w:hyperlink r:id="rId79">
        <w:r w:rsidRPr="00EA0E8B">
          <w:rPr>
            <w:rStyle w:val="Hyperlink"/>
            <w:rFonts w:asciiTheme="minorEastAsia" w:hAnsiTheme="minorEastAsia"/>
          </w:rPr>
          <w:t>Facilitated psychiatric advance directives: A randomized trial of an intervention to foster advance treatment planning among persons with severe mental illness</w:t>
        </w:r>
      </w:hyperlink>
      <w:r w:rsidRPr="00EA0E8B">
        <w:rPr>
          <w:rFonts w:asciiTheme="minorEastAsia" w:hAnsiTheme="minorEastAsia"/>
        </w:rPr>
        <w:t>. American Journal of Psychiatry 2006;163:1943–1951.</w:t>
      </w:r>
    </w:p>
    <w:p w14:paraId="3052528A" w14:textId="77777777" w:rsidR="003B3FC7" w:rsidRPr="00EA0E8B" w:rsidRDefault="00000000" w:rsidP="00EA0E8B">
      <w:pPr>
        <w:pStyle w:val="Bibliography"/>
        <w:spacing w:line="480" w:lineRule="auto"/>
        <w:rPr>
          <w:rFonts w:asciiTheme="minorEastAsia" w:hAnsiTheme="minorEastAsia"/>
        </w:rPr>
      </w:pPr>
      <w:bookmarkStart w:id="111" w:name="ref-gaillard2023the"/>
      <w:bookmarkEnd w:id="110"/>
      <w:r w:rsidRPr="00EA0E8B">
        <w:rPr>
          <w:rFonts w:asciiTheme="minorEastAsia" w:hAnsiTheme="minorEastAsia"/>
        </w:rPr>
        <w:t xml:space="preserve">82. </w:t>
      </w:r>
      <w:r w:rsidRPr="00EA0E8B">
        <w:rPr>
          <w:rFonts w:asciiTheme="minorEastAsia" w:hAnsiTheme="minorEastAsia"/>
        </w:rPr>
        <w:tab/>
        <w:t xml:space="preserve">Gaillard A-S, Braun E, Vollmann J, Gather J, Scholten M. </w:t>
      </w:r>
      <w:hyperlink r:id="rId80">
        <w:r w:rsidRPr="00EA0E8B">
          <w:rPr>
            <w:rStyle w:val="Hyperlink"/>
            <w:rFonts w:asciiTheme="minorEastAsia" w:hAnsiTheme="minorEastAsia"/>
          </w:rPr>
          <w:t>The content of psychiatric advance directives: A systematic review</w:t>
        </w:r>
      </w:hyperlink>
      <w:r w:rsidRPr="00EA0E8B">
        <w:rPr>
          <w:rFonts w:asciiTheme="minorEastAsia" w:hAnsiTheme="minorEastAsia"/>
        </w:rPr>
        <w:t>. Psychiatric Services 2023;74:44–55.</w:t>
      </w:r>
    </w:p>
    <w:p w14:paraId="613539EB" w14:textId="77777777" w:rsidR="003B3FC7" w:rsidRPr="00EA0E8B" w:rsidRDefault="00000000" w:rsidP="00EA0E8B">
      <w:pPr>
        <w:pStyle w:val="Bibliography"/>
        <w:spacing w:line="480" w:lineRule="auto"/>
        <w:rPr>
          <w:rFonts w:asciiTheme="minorEastAsia" w:hAnsiTheme="minorEastAsia"/>
        </w:rPr>
      </w:pPr>
      <w:bookmarkStart w:id="112" w:name="ref-stephenson2023selfbinding"/>
      <w:bookmarkEnd w:id="111"/>
      <w:r w:rsidRPr="00EA0E8B">
        <w:rPr>
          <w:rFonts w:asciiTheme="minorEastAsia" w:hAnsiTheme="minorEastAsia"/>
        </w:rPr>
        <w:lastRenderedPageBreak/>
        <w:t xml:space="preserve">83. </w:t>
      </w:r>
      <w:r w:rsidRPr="00EA0E8B">
        <w:rPr>
          <w:rFonts w:asciiTheme="minorEastAsia" w:hAnsiTheme="minorEastAsia"/>
        </w:rPr>
        <w:tab/>
        <w:t xml:space="preserve">Stephenson L, Gieselmann A, Gergel T, Owen G, Gather J, Scholten M. </w:t>
      </w:r>
      <w:hyperlink r:id="rId81">
        <w:r w:rsidRPr="00EA0E8B">
          <w:rPr>
            <w:rStyle w:val="Hyperlink"/>
            <w:rFonts w:asciiTheme="minorEastAsia" w:hAnsiTheme="minorEastAsia"/>
          </w:rPr>
          <w:t>Self-binding directives in psychiatric practice: A systematic review of reasons</w:t>
        </w:r>
      </w:hyperlink>
      <w:r w:rsidRPr="00EA0E8B">
        <w:rPr>
          <w:rFonts w:asciiTheme="minorEastAsia" w:hAnsiTheme="minorEastAsia"/>
        </w:rPr>
        <w:t>. The Lancet Psychiatry 2023;10:887–895.</w:t>
      </w:r>
    </w:p>
    <w:p w14:paraId="51FBD8A4" w14:textId="77777777" w:rsidR="003B3FC7" w:rsidRPr="00EA0E8B" w:rsidRDefault="00000000" w:rsidP="00EA0E8B">
      <w:pPr>
        <w:pStyle w:val="Bibliography"/>
        <w:spacing w:line="480" w:lineRule="auto"/>
        <w:rPr>
          <w:rFonts w:asciiTheme="minorEastAsia" w:hAnsiTheme="minorEastAsia"/>
        </w:rPr>
      </w:pPr>
      <w:bookmarkStart w:id="113" w:name="ref-cox1994advance"/>
      <w:bookmarkEnd w:id="112"/>
      <w:r w:rsidRPr="00EA0E8B">
        <w:rPr>
          <w:rFonts w:asciiTheme="minorEastAsia" w:hAnsiTheme="minorEastAsia"/>
        </w:rPr>
        <w:t xml:space="preserve">84. </w:t>
      </w:r>
      <w:r w:rsidRPr="00EA0E8B">
        <w:rPr>
          <w:rFonts w:asciiTheme="minorEastAsia" w:hAnsiTheme="minorEastAsia"/>
        </w:rPr>
        <w:tab/>
        <w:t xml:space="preserve">Cox DM, Sachs GA. </w:t>
      </w:r>
      <w:hyperlink r:id="rId82">
        <w:r w:rsidRPr="00EA0E8B">
          <w:rPr>
            <w:rStyle w:val="Hyperlink"/>
            <w:rFonts w:asciiTheme="minorEastAsia" w:hAnsiTheme="minorEastAsia"/>
          </w:rPr>
          <w:t>Advance directives and the patient self-determination act</w:t>
        </w:r>
      </w:hyperlink>
      <w:r w:rsidRPr="00EA0E8B">
        <w:rPr>
          <w:rFonts w:asciiTheme="minorEastAsia" w:hAnsiTheme="minorEastAsia"/>
        </w:rPr>
        <w:t>. Clinics in Geriatric Medicine 1994;10:431–443.</w:t>
      </w:r>
    </w:p>
    <w:p w14:paraId="45B2F77A" w14:textId="77777777" w:rsidR="003B3FC7" w:rsidRPr="00EA0E8B" w:rsidRDefault="00000000" w:rsidP="00EA0E8B">
      <w:pPr>
        <w:pStyle w:val="Bibliography"/>
        <w:spacing w:line="480" w:lineRule="auto"/>
        <w:rPr>
          <w:rFonts w:asciiTheme="minorEastAsia" w:hAnsiTheme="minorEastAsia"/>
        </w:rPr>
      </w:pPr>
      <w:bookmarkStart w:id="114" w:name="ref-zelle2015advance"/>
      <w:bookmarkEnd w:id="113"/>
      <w:r w:rsidRPr="00EA0E8B">
        <w:rPr>
          <w:rFonts w:asciiTheme="minorEastAsia" w:hAnsiTheme="minorEastAsia"/>
        </w:rPr>
        <w:t xml:space="preserve">85. </w:t>
      </w:r>
      <w:r w:rsidRPr="00EA0E8B">
        <w:rPr>
          <w:rFonts w:asciiTheme="minorEastAsia" w:hAnsiTheme="minorEastAsia"/>
        </w:rPr>
        <w:tab/>
        <w:t xml:space="preserve">Zelle H, Kemp K, Bonnie RJ. </w:t>
      </w:r>
      <w:hyperlink r:id="rId83">
        <w:r w:rsidRPr="00EA0E8B">
          <w:rPr>
            <w:rStyle w:val="Hyperlink"/>
            <w:rFonts w:asciiTheme="minorEastAsia" w:hAnsiTheme="minorEastAsia"/>
          </w:rPr>
          <w:t>Advance directives in mental health care: Evidence, challenges and promise</w:t>
        </w:r>
      </w:hyperlink>
      <w:r w:rsidRPr="00EA0E8B">
        <w:rPr>
          <w:rFonts w:asciiTheme="minorEastAsia" w:hAnsiTheme="minorEastAsia"/>
        </w:rPr>
        <w:t>. World Psychiatry 2015;14:278–280.</w:t>
      </w:r>
    </w:p>
    <w:p w14:paraId="7DCCCC5F" w14:textId="77777777" w:rsidR="003B3FC7" w:rsidRPr="00EA0E8B" w:rsidRDefault="00000000" w:rsidP="00EA0E8B">
      <w:pPr>
        <w:pStyle w:val="Bibliography"/>
        <w:spacing w:line="480" w:lineRule="auto"/>
        <w:rPr>
          <w:rFonts w:asciiTheme="minorEastAsia" w:hAnsiTheme="minorEastAsia"/>
        </w:rPr>
      </w:pPr>
      <w:bookmarkStart w:id="115" w:name="ref-halliday2009advance"/>
      <w:bookmarkEnd w:id="114"/>
      <w:r w:rsidRPr="00EA0E8B">
        <w:rPr>
          <w:rFonts w:asciiTheme="minorEastAsia" w:hAnsiTheme="minorEastAsia"/>
        </w:rPr>
        <w:t xml:space="preserve">86. </w:t>
      </w:r>
      <w:r w:rsidRPr="00EA0E8B">
        <w:rPr>
          <w:rFonts w:asciiTheme="minorEastAsia" w:hAnsiTheme="minorEastAsia"/>
        </w:rPr>
        <w:tab/>
        <w:t xml:space="preserve">Halliday S. </w:t>
      </w:r>
      <w:hyperlink r:id="rId84">
        <w:r w:rsidRPr="00EA0E8B">
          <w:rPr>
            <w:rStyle w:val="Hyperlink"/>
            <w:rFonts w:asciiTheme="minorEastAsia" w:hAnsiTheme="minorEastAsia"/>
          </w:rPr>
          <w:t>Advance decisions and the mental capacity act</w:t>
        </w:r>
      </w:hyperlink>
      <w:r w:rsidRPr="00EA0E8B">
        <w:rPr>
          <w:rFonts w:asciiTheme="minorEastAsia" w:hAnsiTheme="minorEastAsia"/>
        </w:rPr>
        <w:t>. British Journal of Nursing 2009;18:697–699.</w:t>
      </w:r>
    </w:p>
    <w:p w14:paraId="34C95C89" w14:textId="77777777" w:rsidR="003B3FC7" w:rsidRPr="00EA0E8B" w:rsidRDefault="00000000" w:rsidP="00EA0E8B">
      <w:pPr>
        <w:pStyle w:val="Bibliography"/>
        <w:spacing w:line="480" w:lineRule="auto"/>
        <w:rPr>
          <w:rFonts w:asciiTheme="minorEastAsia" w:hAnsiTheme="minorEastAsia"/>
        </w:rPr>
      </w:pPr>
      <w:bookmarkStart w:id="116" w:name="ref-farrelly2015improving"/>
      <w:bookmarkEnd w:id="115"/>
      <w:r w:rsidRPr="00EA0E8B">
        <w:rPr>
          <w:rFonts w:asciiTheme="minorEastAsia" w:hAnsiTheme="minorEastAsia"/>
        </w:rPr>
        <w:t xml:space="preserve">87. </w:t>
      </w:r>
      <w:r w:rsidRPr="00EA0E8B">
        <w:rPr>
          <w:rFonts w:asciiTheme="minorEastAsia" w:hAnsiTheme="minorEastAsia"/>
        </w:rPr>
        <w:tab/>
        <w:t xml:space="preserve">Farrelly S, Lester H, Rose D, Birchwood M, Marshall M, Waheed W, et al. </w:t>
      </w:r>
      <w:hyperlink r:id="rId85">
        <w:r w:rsidRPr="00EA0E8B">
          <w:rPr>
            <w:rStyle w:val="Hyperlink"/>
            <w:rFonts w:asciiTheme="minorEastAsia" w:hAnsiTheme="minorEastAsia"/>
          </w:rPr>
          <w:t>Improving therapeutic relationships</w:t>
        </w:r>
      </w:hyperlink>
      <w:r w:rsidRPr="00EA0E8B">
        <w:rPr>
          <w:rFonts w:asciiTheme="minorEastAsia" w:hAnsiTheme="minorEastAsia"/>
        </w:rPr>
        <w:t>. Qualitative Health Research 2015;25:1637–1647.</w:t>
      </w:r>
    </w:p>
    <w:p w14:paraId="2BEFCF8F" w14:textId="77777777" w:rsidR="003B3FC7" w:rsidRPr="00EA0E8B" w:rsidRDefault="00000000" w:rsidP="00EA0E8B">
      <w:pPr>
        <w:pStyle w:val="Bibliography"/>
        <w:spacing w:line="480" w:lineRule="auto"/>
        <w:rPr>
          <w:rFonts w:asciiTheme="minorEastAsia" w:hAnsiTheme="minorEastAsia"/>
        </w:rPr>
      </w:pPr>
      <w:bookmarkStart w:id="117" w:name="ref-gloeckler2025an"/>
      <w:bookmarkEnd w:id="116"/>
      <w:r w:rsidRPr="00EA0E8B">
        <w:rPr>
          <w:rFonts w:asciiTheme="minorEastAsia" w:hAnsiTheme="minorEastAsia"/>
        </w:rPr>
        <w:t xml:space="preserve">88. </w:t>
      </w:r>
      <w:r w:rsidRPr="00EA0E8B">
        <w:rPr>
          <w:rFonts w:asciiTheme="minorEastAsia" w:hAnsiTheme="minorEastAsia"/>
        </w:rPr>
        <w:tab/>
        <w:t xml:space="preserve">Gloeckler S, Scholten M, Weller P, Keene AR, Pathare S, Pillutla R, et al. </w:t>
      </w:r>
      <w:hyperlink r:id="rId86">
        <w:r w:rsidRPr="00EA0E8B">
          <w:rPr>
            <w:rStyle w:val="Hyperlink"/>
            <w:rFonts w:asciiTheme="minorEastAsia" w:hAnsiTheme="minorEastAsia"/>
          </w:rPr>
          <w:t xml:space="preserve">An international comparison of psychiatric advance directive policy: Across eleven </w:t>
        </w:r>
        <w:r w:rsidRPr="00EA0E8B">
          <w:rPr>
            <w:rStyle w:val="Hyperlink"/>
            <w:rFonts w:asciiTheme="minorEastAsia" w:hAnsiTheme="minorEastAsia"/>
          </w:rPr>
          <w:lastRenderedPageBreak/>
          <w:t>jurisdictions and alongside advance directive policy</w:t>
        </w:r>
      </w:hyperlink>
      <w:r w:rsidRPr="00EA0E8B">
        <w:rPr>
          <w:rFonts w:asciiTheme="minorEastAsia" w:hAnsiTheme="minorEastAsia"/>
        </w:rPr>
        <w:t>. International Journal of Law and Psychiatry 2025;101:102098.</w:t>
      </w:r>
    </w:p>
    <w:p w14:paraId="29FA67FC" w14:textId="77777777" w:rsidR="003B3FC7" w:rsidRPr="00EA0E8B" w:rsidRDefault="00000000" w:rsidP="00EA0E8B">
      <w:pPr>
        <w:pStyle w:val="Bibliography"/>
        <w:spacing w:line="480" w:lineRule="auto"/>
        <w:rPr>
          <w:rFonts w:asciiTheme="minorEastAsia" w:hAnsiTheme="minorEastAsia"/>
        </w:rPr>
      </w:pPr>
      <w:bookmarkStart w:id="118" w:name="ref-brock1993a"/>
      <w:bookmarkEnd w:id="117"/>
      <w:r w:rsidRPr="00EA0E8B">
        <w:rPr>
          <w:rFonts w:asciiTheme="minorEastAsia" w:hAnsiTheme="minorEastAsia"/>
        </w:rPr>
        <w:t xml:space="preserve">89. </w:t>
      </w:r>
      <w:r w:rsidRPr="00EA0E8B">
        <w:rPr>
          <w:rFonts w:asciiTheme="minorEastAsia" w:hAnsiTheme="minorEastAsia"/>
        </w:rPr>
        <w:tab/>
        <w:t xml:space="preserve">BROCK DW. </w:t>
      </w:r>
      <w:hyperlink r:id="rId87">
        <w:r w:rsidRPr="00EA0E8B">
          <w:rPr>
            <w:rStyle w:val="Hyperlink"/>
            <w:rFonts w:asciiTheme="minorEastAsia" w:hAnsiTheme="minorEastAsia"/>
          </w:rPr>
          <w:t>A PROPOSAL FOR THE USE OF ADVANCE DIRECTIVES IN THE TREATMENT OF INCOMPETENT MENTALLY ILL PERSONS</w:t>
        </w:r>
      </w:hyperlink>
      <w:r w:rsidRPr="00EA0E8B">
        <w:rPr>
          <w:rFonts w:asciiTheme="minorEastAsia" w:hAnsiTheme="minorEastAsia"/>
        </w:rPr>
        <w:t>. Bioethics 1993;7:247–256.</w:t>
      </w:r>
    </w:p>
    <w:p w14:paraId="0673E985" w14:textId="77777777" w:rsidR="003B3FC7" w:rsidRPr="00EA0E8B" w:rsidRDefault="00000000" w:rsidP="00EA0E8B">
      <w:pPr>
        <w:pStyle w:val="Bibliography"/>
        <w:spacing w:line="480" w:lineRule="auto"/>
        <w:rPr>
          <w:rFonts w:asciiTheme="minorEastAsia" w:hAnsiTheme="minorEastAsia"/>
        </w:rPr>
      </w:pPr>
      <w:bookmarkStart w:id="119" w:name="ref-spellecy2003reviving"/>
      <w:bookmarkEnd w:id="118"/>
      <w:r w:rsidRPr="00EA0E8B">
        <w:rPr>
          <w:rFonts w:asciiTheme="minorEastAsia" w:hAnsiTheme="minorEastAsia"/>
        </w:rPr>
        <w:t xml:space="preserve">90. </w:t>
      </w:r>
      <w:r w:rsidRPr="00EA0E8B">
        <w:rPr>
          <w:rFonts w:asciiTheme="minorEastAsia" w:hAnsiTheme="minorEastAsia"/>
        </w:rPr>
        <w:tab/>
        <w:t xml:space="preserve">Spellecy R. </w:t>
      </w:r>
      <w:hyperlink r:id="rId88">
        <w:r w:rsidRPr="00EA0E8B">
          <w:rPr>
            <w:rStyle w:val="Hyperlink"/>
            <w:rFonts w:asciiTheme="minorEastAsia" w:hAnsiTheme="minorEastAsia"/>
          </w:rPr>
          <w:t>Reviving ulysses contracts</w:t>
        </w:r>
      </w:hyperlink>
      <w:r w:rsidRPr="00EA0E8B">
        <w:rPr>
          <w:rFonts w:asciiTheme="minorEastAsia" w:hAnsiTheme="minorEastAsia"/>
        </w:rPr>
        <w:t>. Kennedy Institute of Ethics Journal 2003;13:373–392.</w:t>
      </w:r>
    </w:p>
    <w:p w14:paraId="27D244EC" w14:textId="77777777" w:rsidR="003B3FC7" w:rsidRPr="00EA0E8B" w:rsidRDefault="00000000" w:rsidP="00EA0E8B">
      <w:pPr>
        <w:pStyle w:val="Bibliography"/>
        <w:spacing w:line="480" w:lineRule="auto"/>
        <w:rPr>
          <w:rFonts w:asciiTheme="minorEastAsia" w:hAnsiTheme="minorEastAsia"/>
        </w:rPr>
      </w:pPr>
      <w:bookmarkStart w:id="120" w:name="ref-davis2008how"/>
      <w:bookmarkEnd w:id="119"/>
      <w:r w:rsidRPr="00EA0E8B">
        <w:rPr>
          <w:rFonts w:asciiTheme="minorEastAsia" w:hAnsiTheme="minorEastAsia"/>
        </w:rPr>
        <w:t xml:space="preserve">91. </w:t>
      </w:r>
      <w:r w:rsidRPr="00EA0E8B">
        <w:rPr>
          <w:rFonts w:asciiTheme="minorEastAsia" w:hAnsiTheme="minorEastAsia"/>
        </w:rPr>
        <w:tab/>
        <w:t xml:space="preserve">Davis JK. </w:t>
      </w:r>
      <w:hyperlink r:id="rId89">
        <w:r w:rsidRPr="00EA0E8B">
          <w:rPr>
            <w:rStyle w:val="Hyperlink"/>
            <w:rFonts w:asciiTheme="minorEastAsia" w:hAnsiTheme="minorEastAsia"/>
          </w:rPr>
          <w:t>How to justify enforcing a ulysses contract when ulysses is competent to refuse</w:t>
        </w:r>
      </w:hyperlink>
      <w:r w:rsidRPr="00EA0E8B">
        <w:rPr>
          <w:rFonts w:asciiTheme="minorEastAsia" w:hAnsiTheme="minorEastAsia"/>
        </w:rPr>
        <w:t>. Kennedy Institute of Ethics Journal 2008;18:87–106.</w:t>
      </w:r>
    </w:p>
    <w:p w14:paraId="48AACEA7" w14:textId="77777777" w:rsidR="003B3FC7" w:rsidRPr="00EA0E8B" w:rsidRDefault="00000000" w:rsidP="00EA0E8B">
      <w:pPr>
        <w:pStyle w:val="Bibliography"/>
        <w:spacing w:line="480" w:lineRule="auto"/>
        <w:rPr>
          <w:rFonts w:asciiTheme="minorEastAsia" w:hAnsiTheme="minorEastAsia"/>
        </w:rPr>
      </w:pPr>
      <w:bookmarkStart w:id="121" w:name="ref-SAMHSA2019PAD"/>
      <w:bookmarkEnd w:id="120"/>
      <w:r w:rsidRPr="00EA0E8B">
        <w:rPr>
          <w:rFonts w:asciiTheme="minorEastAsia" w:hAnsiTheme="minorEastAsia"/>
        </w:rPr>
        <w:t xml:space="preserve">92. </w:t>
      </w:r>
      <w:r w:rsidRPr="00EA0E8B">
        <w:rPr>
          <w:rFonts w:asciiTheme="minorEastAsia" w:hAnsiTheme="minorEastAsia"/>
        </w:rPr>
        <w:tab/>
        <w:t xml:space="preserve">Substance Abuse and Mental Health Services Administration. </w:t>
      </w:r>
      <w:hyperlink r:id="rId90">
        <w:r w:rsidRPr="00EA0E8B">
          <w:rPr>
            <w:rStyle w:val="Hyperlink"/>
            <w:rFonts w:asciiTheme="minorEastAsia" w:hAnsiTheme="minorEastAsia"/>
          </w:rPr>
          <w:t>A practical guide to psychiatric advance directives</w:t>
        </w:r>
      </w:hyperlink>
      <w:r w:rsidRPr="00EA0E8B">
        <w:rPr>
          <w:rFonts w:asciiTheme="minorEastAsia" w:hAnsiTheme="minorEastAsia"/>
        </w:rPr>
        <w:t>. Rockville, MD: Center for Mental Health Services, Substance Abuse; Mental Health Services Administration, U.S. Department of Health; Human Services; 2019.</w:t>
      </w:r>
    </w:p>
    <w:p w14:paraId="5BC6A9FE" w14:textId="77777777" w:rsidR="003B3FC7" w:rsidRPr="00EA0E8B" w:rsidRDefault="00000000" w:rsidP="00EA0E8B">
      <w:pPr>
        <w:pStyle w:val="Bibliography"/>
        <w:spacing w:line="480" w:lineRule="auto"/>
        <w:rPr>
          <w:rFonts w:asciiTheme="minorEastAsia" w:hAnsiTheme="minorEastAsia"/>
          <w:lang w:eastAsia="ko-KR"/>
        </w:rPr>
      </w:pPr>
      <w:bookmarkStart w:id="122" w:name="ref-poremski2019psychiatric"/>
      <w:bookmarkEnd w:id="121"/>
      <w:r w:rsidRPr="00EA0E8B">
        <w:rPr>
          <w:rFonts w:asciiTheme="minorEastAsia" w:hAnsiTheme="minorEastAsia"/>
        </w:rPr>
        <w:lastRenderedPageBreak/>
        <w:t xml:space="preserve">93. </w:t>
      </w:r>
      <w:r w:rsidRPr="00EA0E8B">
        <w:rPr>
          <w:rFonts w:asciiTheme="minorEastAsia" w:hAnsiTheme="minorEastAsia"/>
        </w:rPr>
        <w:tab/>
        <w:t xml:space="preserve">Poremski D, Alexander M, Fang T, Tan GM, Ong S, Su A, et al. </w:t>
      </w:r>
      <w:hyperlink r:id="rId91">
        <w:r w:rsidRPr="00EA0E8B">
          <w:rPr>
            <w:rStyle w:val="Hyperlink"/>
            <w:rFonts w:asciiTheme="minorEastAsia" w:hAnsiTheme="minorEastAsia"/>
          </w:rPr>
          <w:t>Psychiatric advance directives and their relevance to improving psychiatric care in asian countries</w:t>
        </w:r>
      </w:hyperlink>
      <w:r w:rsidRPr="00EA0E8B">
        <w:rPr>
          <w:rFonts w:asciiTheme="minorEastAsia" w:hAnsiTheme="minorEastAsia"/>
        </w:rPr>
        <w:t xml:space="preserve">. </w:t>
      </w:r>
      <w:r w:rsidRPr="00EA0E8B">
        <w:rPr>
          <w:rFonts w:asciiTheme="minorEastAsia" w:hAnsiTheme="minorEastAsia"/>
          <w:lang w:eastAsia="ko-KR"/>
        </w:rPr>
        <w:t>Asia-Pacific Psychiatry 2019;12.</w:t>
      </w:r>
    </w:p>
    <w:p w14:paraId="6F74607E" w14:textId="77777777" w:rsidR="003B3FC7" w:rsidRPr="00EA0E8B" w:rsidRDefault="00000000" w:rsidP="00EA0E8B">
      <w:pPr>
        <w:pStyle w:val="Bibliography"/>
        <w:spacing w:line="480" w:lineRule="auto"/>
        <w:rPr>
          <w:rFonts w:asciiTheme="minorEastAsia" w:hAnsiTheme="minorEastAsia"/>
          <w:lang w:eastAsia="ko-KR"/>
        </w:rPr>
      </w:pPr>
      <w:bookmarkStart w:id="123" w:name="ref-lee2020life"/>
      <w:bookmarkEnd w:id="122"/>
      <w:r w:rsidRPr="00EA0E8B">
        <w:rPr>
          <w:rFonts w:asciiTheme="minorEastAsia" w:hAnsiTheme="minorEastAsia"/>
          <w:lang w:eastAsia="ko-KR"/>
        </w:rPr>
        <w:t xml:space="preserve">94. </w:t>
      </w:r>
      <w:r w:rsidRPr="00EA0E8B">
        <w:rPr>
          <w:rFonts w:asciiTheme="minorEastAsia" w:hAnsiTheme="minorEastAsia"/>
          <w:lang w:eastAsia="ko-KR"/>
        </w:rPr>
        <w:tab/>
      </w:r>
      <w:proofErr w:type="spellStart"/>
      <w:r w:rsidRPr="00EA0E8B">
        <w:rPr>
          <w:rFonts w:asciiTheme="minorEastAsia" w:hAnsiTheme="minorEastAsia"/>
          <w:lang w:eastAsia="ko-KR"/>
        </w:rPr>
        <w:t>이부하</w:t>
      </w:r>
      <w:proofErr w:type="spellEnd"/>
      <w:r w:rsidRPr="00EA0E8B">
        <w:rPr>
          <w:rFonts w:asciiTheme="minorEastAsia" w:hAnsiTheme="minorEastAsia"/>
          <w:lang w:eastAsia="ko-KR"/>
        </w:rPr>
        <w:t xml:space="preserve">. </w:t>
      </w:r>
      <w:hyperlink r:id="rId92">
        <w:r w:rsidRPr="00EA0E8B">
          <w:rPr>
            <w:rStyle w:val="Hyperlink"/>
            <w:rFonts w:asciiTheme="minorEastAsia" w:hAnsiTheme="minorEastAsia"/>
            <w:lang w:eastAsia="ko-KR"/>
          </w:rPr>
          <w:t>연명의료결정법의 법적 쟁점 및 개선방안</w:t>
        </w:r>
      </w:hyperlink>
      <w:r w:rsidRPr="00EA0E8B">
        <w:rPr>
          <w:rFonts w:asciiTheme="minorEastAsia" w:hAnsiTheme="minorEastAsia"/>
          <w:lang w:eastAsia="ko-KR"/>
        </w:rPr>
        <w:t>. 법제 2020;688:231–256.</w:t>
      </w:r>
    </w:p>
    <w:p w14:paraId="5EA6BF34" w14:textId="77777777" w:rsidR="003B3FC7" w:rsidRPr="00EA0E8B" w:rsidRDefault="00000000" w:rsidP="00EA0E8B">
      <w:pPr>
        <w:pStyle w:val="Bibliography"/>
        <w:spacing w:line="480" w:lineRule="auto"/>
        <w:rPr>
          <w:rFonts w:asciiTheme="minorEastAsia" w:hAnsiTheme="minorEastAsia"/>
          <w:lang w:eastAsia="ko-KR"/>
        </w:rPr>
      </w:pPr>
      <w:bookmarkStart w:id="124" w:name="ref-park2026pad"/>
      <w:bookmarkEnd w:id="123"/>
      <w:r w:rsidRPr="00EA0E8B">
        <w:rPr>
          <w:rFonts w:asciiTheme="minorEastAsia" w:hAnsiTheme="minorEastAsia"/>
          <w:lang w:eastAsia="ko-KR"/>
        </w:rPr>
        <w:t xml:space="preserve">95. </w:t>
      </w:r>
      <w:r w:rsidRPr="00EA0E8B">
        <w:rPr>
          <w:rFonts w:asciiTheme="minorEastAsia" w:hAnsiTheme="minorEastAsia"/>
          <w:lang w:eastAsia="ko-KR"/>
        </w:rPr>
        <w:tab/>
      </w:r>
      <w:proofErr w:type="spellStart"/>
      <w:r w:rsidRPr="00EA0E8B">
        <w:rPr>
          <w:rFonts w:asciiTheme="minorEastAsia" w:hAnsiTheme="minorEastAsia"/>
          <w:lang w:eastAsia="ko-KR"/>
        </w:rPr>
        <w:t>박종은</w:t>
      </w:r>
      <w:proofErr w:type="spellEnd"/>
      <w:r w:rsidRPr="00EA0E8B">
        <w:rPr>
          <w:rFonts w:asciiTheme="minorEastAsia" w:hAnsiTheme="minorEastAsia"/>
          <w:lang w:eastAsia="ko-KR"/>
        </w:rPr>
        <w:t xml:space="preserve">. </w:t>
      </w:r>
      <w:hyperlink r:id="rId93">
        <w:r w:rsidRPr="00EA0E8B">
          <w:rPr>
            <w:rStyle w:val="Hyperlink"/>
            <w:rFonts w:asciiTheme="minorEastAsia" w:hAnsiTheme="minorEastAsia"/>
            <w:lang w:eastAsia="ko-KR"/>
          </w:rPr>
          <w:t>정신건강 사전의향지시서의 국내 적용에 대한 경험과 인식: 정신장애인 당사자와 서비스 제공자의 관점을 중심으로</w:t>
        </w:r>
      </w:hyperlink>
      <w:r w:rsidRPr="00EA0E8B">
        <w:rPr>
          <w:rFonts w:asciiTheme="minorEastAsia" w:hAnsiTheme="minorEastAsia"/>
          <w:lang w:eastAsia="ko-KR"/>
        </w:rPr>
        <w:t>. 한국장애인복지학 2026;71:221–252.</w:t>
      </w:r>
    </w:p>
    <w:p w14:paraId="3E020A47" w14:textId="77777777" w:rsidR="003B3FC7" w:rsidRPr="00EA0E8B" w:rsidRDefault="00000000" w:rsidP="00EA0E8B">
      <w:pPr>
        <w:pStyle w:val="Bibliography"/>
        <w:spacing w:line="480" w:lineRule="auto"/>
        <w:rPr>
          <w:rFonts w:asciiTheme="minorEastAsia" w:hAnsiTheme="minorEastAsia"/>
        </w:rPr>
      </w:pPr>
      <w:bookmarkStart w:id="125" w:name="ref-mangal2024the"/>
      <w:bookmarkEnd w:id="124"/>
      <w:r w:rsidRPr="00EA0E8B">
        <w:rPr>
          <w:rFonts w:asciiTheme="minorEastAsia" w:hAnsiTheme="minorEastAsia"/>
        </w:rPr>
        <w:t xml:space="preserve">96. </w:t>
      </w:r>
      <w:r w:rsidRPr="00EA0E8B">
        <w:rPr>
          <w:rFonts w:asciiTheme="minorEastAsia" w:hAnsiTheme="minorEastAsia"/>
        </w:rPr>
        <w:tab/>
        <w:t xml:space="preserve">Mangal JP, Scheiner NS. </w:t>
      </w:r>
      <w:hyperlink r:id="rId94">
        <w:r w:rsidRPr="00EA0E8B">
          <w:rPr>
            <w:rStyle w:val="Hyperlink"/>
            <w:rFonts w:asciiTheme="minorEastAsia" w:hAnsiTheme="minorEastAsia"/>
          </w:rPr>
          <w:t>The limitations of principlism</w:t>
        </w:r>
      </w:hyperlink>
      <w:r w:rsidRPr="00EA0E8B">
        <w:rPr>
          <w:rFonts w:asciiTheme="minorEastAsia" w:hAnsiTheme="minorEastAsia"/>
        </w:rPr>
        <w:t>. AJOB Neuroscience 2024;15:17–19.</w:t>
      </w:r>
      <w:bookmarkEnd w:id="28"/>
      <w:bookmarkEnd w:id="30"/>
      <w:bookmarkEnd w:id="125"/>
    </w:p>
    <w:sectPr w:rsidR="003B3FC7" w:rsidRPr="00EA0E8B" w:rsidSect="00EA0E8B">
      <w:footnotePr>
        <w:numRestart w:val="eachSect"/>
      </w:footnotePr>
      <w:pgSz w:w="12240" w:h="15840"/>
      <w:pgMar w:top="1701" w:right="1418" w:bottom="170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B6A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AB84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D968E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1706C2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57099841">
    <w:abstractNumId w:val="0"/>
  </w:num>
  <w:num w:numId="2" w16cid:durableId="675614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5578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6369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58490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B3FC7"/>
    <w:rsid w:val="003B3FC7"/>
    <w:rsid w:val="005E0378"/>
    <w:rsid w:val="008A69B1"/>
    <w:rsid w:val="00EA0E8B"/>
    <w:rsid w:val="00F24540"/>
    <w:rsid w:val="00F75E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55C8"/>
  <w15:docId w15:val="{ECCC3A02-D73D-9349-A290-569FDD10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EA0E8B"/>
  </w:style>
  <w:style w:type="character" w:customStyle="1" w:styleId="FirstParagraphChar">
    <w:name w:val="First Paragraph Char"/>
    <w:basedOn w:val="BodyTextChar"/>
    <w:link w:val="FirstParagraph"/>
    <w:rsid w:val="00EA0E8B"/>
  </w:style>
  <w:style w:type="paragraph" w:styleId="NormalWeb">
    <w:name w:val="Normal (Web)"/>
    <w:basedOn w:val="Normal"/>
    <w:uiPriority w:val="99"/>
    <w:unhideWhenUsed/>
    <w:rsid w:val="005E0378"/>
    <w:pPr>
      <w:spacing w:before="100" w:beforeAutospacing="1" w:after="100" w:afterAutospacing="1"/>
    </w:pPr>
    <w:rPr>
      <w:rFonts w:ascii="Times New Roman" w:eastAsia="Times New Roman" w:hAnsi="Times New Roman" w:cs="Times New Roman"/>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emep.2019.03.003" TargetMode="External"/><Relationship Id="rId21" Type="http://schemas.openxmlformats.org/officeDocument/2006/relationships/hyperlink" Target="https://doi.org/10.1177/0957154x13512573" TargetMode="External"/><Relationship Id="rId42" Type="http://schemas.openxmlformats.org/officeDocument/2006/relationships/hyperlink" Target="https://www.ncbi.nlm.nih.gov/pmc/articles/PMC7348457" TargetMode="External"/><Relationship Id="rId47" Type="http://schemas.openxmlformats.org/officeDocument/2006/relationships/hyperlink" Target="https://doi.org/10.1093/law/9780198846178.003.0018" TargetMode="External"/><Relationship Id="rId63" Type="http://schemas.openxmlformats.org/officeDocument/2006/relationships/hyperlink" Target="https://doi.org/10.3389/fpsyt.2020.559263" TargetMode="External"/><Relationship Id="rId68" Type="http://schemas.openxmlformats.org/officeDocument/2006/relationships/hyperlink" Target="https://doi.org/10.1093/acprof:oso/9780198237907.001.0001" TargetMode="External"/><Relationship Id="rId84" Type="http://schemas.openxmlformats.org/officeDocument/2006/relationships/hyperlink" Target="https://doi.org/10.12968/bjon.2009.18.11.42723" TargetMode="External"/><Relationship Id="rId89" Type="http://schemas.openxmlformats.org/officeDocument/2006/relationships/hyperlink" Target="https://doi.org/10.1353/ken.0.0001" TargetMode="External"/><Relationship Id="rId16" Type="http://schemas.openxmlformats.org/officeDocument/2006/relationships/hyperlink" Target="https://doi.org/10.3389/fpsyt.2019.00631" TargetMode="External"/><Relationship Id="rId11" Type="http://schemas.openxmlformats.org/officeDocument/2006/relationships/hyperlink" Target="https://doi.org/10.1016/j.avb.2024.101926" TargetMode="External"/><Relationship Id="rId32" Type="http://schemas.openxmlformats.org/officeDocument/2006/relationships/hyperlink" Target="https://doi.org/10.1007/978-3-319-17960-5_10" TargetMode="External"/><Relationship Id="rId37" Type="http://schemas.openxmlformats.org/officeDocument/2006/relationships/hyperlink" Target="https://www.ncbi.nlm.nih.gov/pmc/articles/PMC8694306" TargetMode="External"/><Relationship Id="rId53" Type="http://schemas.openxmlformats.org/officeDocument/2006/relationships/hyperlink" Target="https://doi.org/10.1093/icon/mov028" TargetMode="External"/><Relationship Id="rId58" Type="http://schemas.openxmlformats.org/officeDocument/2006/relationships/hyperlink" Target="https://doi.org/10.1192/bjo.2023.41" TargetMode="External"/><Relationship Id="rId74" Type="http://schemas.openxmlformats.org/officeDocument/2006/relationships/hyperlink" Target="https://doi.org/10.3389/fpsyt.2021.790886" TargetMode="External"/><Relationship Id="rId79" Type="http://schemas.openxmlformats.org/officeDocument/2006/relationships/hyperlink" Target="https://doi.org/10.1176/ajp.2006.163.11.1943" TargetMode="External"/><Relationship Id="rId5" Type="http://schemas.openxmlformats.org/officeDocument/2006/relationships/hyperlink" Target="mailto:kys@snu.ac.kr" TargetMode="External"/><Relationship Id="rId90" Type="http://schemas.openxmlformats.org/officeDocument/2006/relationships/hyperlink" Target="https://library.samhsa.gov/sites/default/files/psychiatric-advance-directives-pep19-pl-guide-4.pdf" TargetMode="External"/><Relationship Id="rId95" Type="http://schemas.openxmlformats.org/officeDocument/2006/relationships/fontTable" Target="fontTable.xml"/><Relationship Id="rId22" Type="http://schemas.openxmlformats.org/officeDocument/2006/relationships/hyperlink" Target="https://doi.org/10.1176/ajp.128.5.640" TargetMode="External"/><Relationship Id="rId27" Type="http://schemas.openxmlformats.org/officeDocument/2006/relationships/hyperlink" Target="https://doi.org/10.1007/s11126-011-9178-y" TargetMode="External"/><Relationship Id="rId43" Type="http://schemas.openxmlformats.org/officeDocument/2006/relationships/hyperlink" Target="https://undocs.org/A/HRC/22/53" TargetMode="External"/><Relationship Id="rId48" Type="http://schemas.openxmlformats.org/officeDocument/2006/relationships/hyperlink" Target="https://doi.org/10.1016/j.ijlp.2019.03.001" TargetMode="External"/><Relationship Id="rId64" Type="http://schemas.openxmlformats.org/officeDocument/2006/relationships/hyperlink" Target="https://doi.org/10.4306/jknpa.2018.57.2.145" TargetMode="External"/><Relationship Id="rId69" Type="http://schemas.openxmlformats.org/officeDocument/2006/relationships/hyperlink" Target="https://doi.org/10.1192/pb.bp.115.050682" TargetMode="External"/><Relationship Id="rId8" Type="http://schemas.openxmlformats.org/officeDocument/2006/relationships/hyperlink" Target="https://doi.org/10.1016/j.pnpbp.2006.01.015" TargetMode="External"/><Relationship Id="rId51" Type="http://schemas.openxmlformats.org/officeDocument/2006/relationships/hyperlink" Target="https://doi.org/10.1111/inm.12451" TargetMode="External"/><Relationship Id="rId72" Type="http://schemas.openxmlformats.org/officeDocument/2006/relationships/hyperlink" Target="https://doi.org/10.1056/NEJMcp074045" TargetMode="External"/><Relationship Id="rId80" Type="http://schemas.openxmlformats.org/officeDocument/2006/relationships/hyperlink" Target="https://doi.org/10.1176/appi.ps.202200002" TargetMode="External"/><Relationship Id="rId85" Type="http://schemas.openxmlformats.org/officeDocument/2006/relationships/hyperlink" Target="https://doi.org/10.1177/1049732314566320" TargetMode="External"/><Relationship Id="rId93" Type="http://schemas.openxmlformats.org/officeDocument/2006/relationships/hyperlink" Target="https://doi.org/10.22779/kadw.2026.71.71.221" TargetMode="External"/><Relationship Id="rId3" Type="http://schemas.openxmlformats.org/officeDocument/2006/relationships/settings" Target="settings.xml"/><Relationship Id="rId12" Type="http://schemas.openxmlformats.org/officeDocument/2006/relationships/hyperlink" Target="https://doi.org/10.1097/00131746-200301000-00006" TargetMode="External"/><Relationship Id="rId17" Type="http://schemas.openxmlformats.org/officeDocument/2006/relationships/hyperlink" Target="https://www.cms.gov/Medicare/Provider-Enrollment-and-Certification/SurveyCertificationGenInfo/downloads/scletter08-18.pdf" TargetMode="External"/><Relationship Id="rId25" Type="http://schemas.openxmlformats.org/officeDocument/2006/relationships/hyperlink" Target="https://doi.org/10.3389/fpsyt.2019.00400" TargetMode="External"/><Relationship Id="rId33" Type="http://schemas.openxmlformats.org/officeDocument/2006/relationships/hyperlink" Target="https://www.ncbi.nlm.nih.gov/pubmed/12041109" TargetMode="External"/><Relationship Id="rId38" Type="http://schemas.openxmlformats.org/officeDocument/2006/relationships/hyperlink" Target="https://doi.org/10.1192/bji.2020.21" TargetMode="External"/><Relationship Id="rId46" Type="http://schemas.openxmlformats.org/officeDocument/2006/relationships/hyperlink" Target="https://undocs.org/CAT/C/GC/2" TargetMode="External"/><Relationship Id="rId59" Type="http://schemas.openxmlformats.org/officeDocument/2006/relationships/hyperlink" Target="https://doi.org/10.1186/s12913-016-1392-8" TargetMode="External"/><Relationship Id="rId67" Type="http://schemas.openxmlformats.org/officeDocument/2006/relationships/hyperlink" Target="https://doi.org/10.1007/978-94-024-2252-8_74" TargetMode="External"/><Relationship Id="rId20" Type="http://schemas.openxmlformats.org/officeDocument/2006/relationships/hyperlink" Target="https://doi.org/10.1111/jpm.13129" TargetMode="External"/><Relationship Id="rId41" Type="http://schemas.openxmlformats.org/officeDocument/2006/relationships/hyperlink" Target="https://doi.org/10.1016/j.ijlp.2024.101965" TargetMode="External"/><Relationship Id="rId54" Type="http://schemas.openxmlformats.org/officeDocument/2006/relationships/hyperlink" Target="https://doi.org/10.1007/978-3-319-89647-2_1" TargetMode="External"/><Relationship Id="rId62" Type="http://schemas.openxmlformats.org/officeDocument/2006/relationships/hyperlink" Target="https://doi.org/10.1176/appi.ps.201600066" TargetMode="External"/><Relationship Id="rId70" Type="http://schemas.openxmlformats.org/officeDocument/2006/relationships/hyperlink" Target="https://doi.org/10.3389/fsoc.2023.1092298" TargetMode="External"/><Relationship Id="rId75" Type="http://schemas.openxmlformats.org/officeDocument/2006/relationships/hyperlink" Target="https://doi.org/10.1177/0969733016629770" TargetMode="External"/><Relationship Id="rId83" Type="http://schemas.openxmlformats.org/officeDocument/2006/relationships/hyperlink" Target="https://doi.org/10.1002/wps.20268" TargetMode="External"/><Relationship Id="rId88" Type="http://schemas.openxmlformats.org/officeDocument/2006/relationships/hyperlink" Target="https://doi.org/10.1353/ken.2004.0010" TargetMode="External"/><Relationship Id="rId91" Type="http://schemas.openxmlformats.org/officeDocument/2006/relationships/hyperlink" Target="https://doi.org/10.1111/appy.12374"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97/01.pra.0000398410.21374.7d" TargetMode="External"/><Relationship Id="rId15" Type="http://schemas.openxmlformats.org/officeDocument/2006/relationships/hyperlink" Target="https://doi.org/10.3389/fpsyt.2020.00127" TargetMode="External"/><Relationship Id="rId23" Type="http://schemas.openxmlformats.org/officeDocument/2006/relationships/hyperlink" Target="https://doi.org/10.1097/00005053-195704000-00017" TargetMode="External"/><Relationship Id="rId28" Type="http://schemas.openxmlformats.org/officeDocument/2006/relationships/hyperlink" Target="https://doi.org/10.1111/jpm.12585" TargetMode="External"/><Relationship Id="rId36" Type="http://schemas.openxmlformats.org/officeDocument/2006/relationships/hyperlink" Target="https://doi.org/10.1016/j.ijlp.2021.101685" TargetMode="External"/><Relationship Id="rId49" Type="http://schemas.openxmlformats.org/officeDocument/2006/relationships/hyperlink" Target="https://doi.org/10.1192/bjo.2023.50" TargetMode="External"/><Relationship Id="rId57" Type="http://schemas.openxmlformats.org/officeDocument/2006/relationships/hyperlink" Target="https://doi.org/10.1111/1467-9566.13717" TargetMode="External"/><Relationship Id="rId10" Type="http://schemas.openxmlformats.org/officeDocument/2006/relationships/hyperlink" Target="https://doi.org/10.3390/healthcare12040445" TargetMode="External"/><Relationship Id="rId31" Type="http://schemas.openxmlformats.org/officeDocument/2006/relationships/hyperlink" Target="https://www.ncbi.nlm.nih.gov/pmc/articles/PMC3392176" TargetMode="External"/><Relationship Id="rId44" Type="http://schemas.openxmlformats.org/officeDocument/2006/relationships/hyperlink" Target="https://doi.org/10.1016/j.ijlp.2019.101497" TargetMode="External"/><Relationship Id="rId52" Type="http://schemas.openxmlformats.org/officeDocument/2006/relationships/hyperlink" Target="https://doi.org/10.3389/fpsyt.2019.00491" TargetMode="External"/><Relationship Id="rId60" Type="http://schemas.openxmlformats.org/officeDocument/2006/relationships/hyperlink" Target="https://doi.org/10.1007/s12178-015-9273-z" TargetMode="External"/><Relationship Id="rId65" Type="http://schemas.openxmlformats.org/officeDocument/2006/relationships/hyperlink" Target="https://doi.org/10.1016/j.jaac.2018.02.014" TargetMode="External"/><Relationship Id="rId73" Type="http://schemas.openxmlformats.org/officeDocument/2006/relationships/hyperlink" Target="https://doi.org/10.1513/AnnalsATS.202006-738OC" TargetMode="External"/><Relationship Id="rId78" Type="http://schemas.openxmlformats.org/officeDocument/2006/relationships/hyperlink" Target="https://doi.org/10.1002/wps.20584" TargetMode="External"/><Relationship Id="rId81" Type="http://schemas.openxmlformats.org/officeDocument/2006/relationships/hyperlink" Target="https://doi.org/10.1016/S2215-0366(23)00221-3" TargetMode="External"/><Relationship Id="rId86" Type="http://schemas.openxmlformats.org/officeDocument/2006/relationships/hyperlink" Target="https://doi.org/10.1016/j.ijlp.2025.102098" TargetMode="External"/><Relationship Id="rId94" Type="http://schemas.openxmlformats.org/officeDocument/2006/relationships/hyperlink" Target="https://doi.org/10.1080/21507740.2023.2292507" TargetMode="External"/><Relationship Id="rId4" Type="http://schemas.openxmlformats.org/officeDocument/2006/relationships/webSettings" Target="webSettings.xml"/><Relationship Id="rId9" Type="http://schemas.openxmlformats.org/officeDocument/2006/relationships/hyperlink" Target="https://doi.org/10.1192/bjo.2022.574" TargetMode="External"/><Relationship Id="rId13" Type="http://schemas.openxmlformats.org/officeDocument/2006/relationships/hyperlink" Target="https://doi.org/10.5811/westjem.2011.9.6864" TargetMode="External"/><Relationship Id="rId18" Type="http://schemas.openxmlformats.org/officeDocument/2006/relationships/hyperlink" Target="https://doi.org/10.1007/s00127-024-02739-6" TargetMode="External"/><Relationship Id="rId39" Type="http://schemas.openxmlformats.org/officeDocument/2006/relationships/hyperlink" Target="https://undocs.org/A/HRC/35/21" TargetMode="External"/><Relationship Id="rId34" Type="http://schemas.openxmlformats.org/officeDocument/2006/relationships/hyperlink" Target="https://doi.org/10.1371/journal.pone.0128536" TargetMode="External"/><Relationship Id="rId50" Type="http://schemas.openxmlformats.org/officeDocument/2006/relationships/hyperlink" Target="https://doi.org/10.1111/jpm.12410" TargetMode="External"/><Relationship Id="rId55" Type="http://schemas.openxmlformats.org/officeDocument/2006/relationships/hyperlink" Target="https://hudoc.echr.coe.int/eng?i=001-57781" TargetMode="External"/><Relationship Id="rId76" Type="http://schemas.openxmlformats.org/officeDocument/2006/relationships/hyperlink" Target="https://doi.org/10.1080/21507740.2022.2126539" TargetMode="External"/><Relationship Id="rId7" Type="http://schemas.openxmlformats.org/officeDocument/2006/relationships/hyperlink" Target="https://doi.org/10.2174/1745017901612010075" TargetMode="External"/><Relationship Id="rId71" Type="http://schemas.openxmlformats.org/officeDocument/2006/relationships/hyperlink" Target="https://doi.org/10.1093/jmp/jhaa014" TargetMode="External"/><Relationship Id="rId92" Type="http://schemas.openxmlformats.org/officeDocument/2006/relationships/hyperlink" Target="https://doi.org/10.23028/moleg.2020.688..007" TargetMode="External"/><Relationship Id="rId2" Type="http://schemas.openxmlformats.org/officeDocument/2006/relationships/styles" Target="styles.xml"/><Relationship Id="rId29" Type="http://schemas.openxmlformats.org/officeDocument/2006/relationships/hyperlink" Target="https://doi.org/10.1111/jocn.17041" TargetMode="External"/><Relationship Id="rId24" Type="http://schemas.openxmlformats.org/officeDocument/2006/relationships/hyperlink" Target="https://doi.org/10.1176/appi.ps.56.9.1123" TargetMode="External"/><Relationship Id="rId40" Type="http://schemas.openxmlformats.org/officeDocument/2006/relationships/hyperlink" Target="https://www.ncbi.nlm.nih.gov/pmc/articles/PMC9790957" TargetMode="External"/><Relationship Id="rId45" Type="http://schemas.openxmlformats.org/officeDocument/2006/relationships/hyperlink" Target="https://undocs.org/CCPR/C/GC/35" TargetMode="External"/><Relationship Id="rId66" Type="http://schemas.openxmlformats.org/officeDocument/2006/relationships/hyperlink" Target="https://doi.org/10.1007/s10912-008-9065-1" TargetMode="External"/><Relationship Id="rId87" Type="http://schemas.openxmlformats.org/officeDocument/2006/relationships/hyperlink" Target="https://doi.org/10.1111/j.1467-8519.1993.tb00291.x" TargetMode="External"/><Relationship Id="rId61" Type="http://schemas.openxmlformats.org/officeDocument/2006/relationships/hyperlink" Target="https://doi.org/10.1503/cmaj.181008" TargetMode="External"/><Relationship Id="rId82" Type="http://schemas.openxmlformats.org/officeDocument/2006/relationships/hyperlink" Target="https://doi.org/10.1016/S0749-0690(18)30331-8" TargetMode="External"/><Relationship Id="rId19" Type="http://schemas.openxmlformats.org/officeDocument/2006/relationships/hyperlink" Target="https://doi.org/10.4159/9780674038455" TargetMode="External"/><Relationship Id="rId14" Type="http://schemas.openxmlformats.org/officeDocument/2006/relationships/hyperlink" Target="https://doi.org/10.1176/appi.focus.20190022" TargetMode="External"/><Relationship Id="rId30" Type="http://schemas.openxmlformats.org/officeDocument/2006/relationships/hyperlink" Target="https://doi.org/10.1016/s0277-9536(98)00147-6" TargetMode="External"/><Relationship Id="rId35" Type="http://schemas.openxmlformats.org/officeDocument/2006/relationships/hyperlink" Target="https://doi.org/10.1016/j.ijlp.2015.01.006" TargetMode="External"/><Relationship Id="rId56" Type="http://schemas.openxmlformats.org/officeDocument/2006/relationships/hyperlink" Target="https://doi.org/10.1093/medlaw/fwl024" TargetMode="External"/><Relationship Id="rId77" Type="http://schemas.openxmlformats.org/officeDocument/2006/relationships/hyperlink" Target="https://doi.org/10.1136/jme-2023-109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63</Pages>
  <Words>7954</Words>
  <Characters>36673</Characters>
  <Application>Microsoft Office Word</Application>
  <DocSecurity>0</DocSecurity>
  <Lines>1047</Lines>
  <Paragraphs>391</Paragraphs>
  <ScaleCrop>false</ScaleCrop>
  <Company/>
  <LinksUpToDate>false</LinksUpToDate>
  <CharactersWithSpaces>44236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
  <cp:keywords/>
  <cp:lastModifiedBy>정성훈</cp:lastModifiedBy>
  <cp:revision>5</cp:revision>
  <dcterms:created xsi:type="dcterms:W3CDTF">2026-05-02T02:14:00Z</dcterms:created>
  <dcterms:modified xsi:type="dcterms:W3CDTF">2026-05-02T02:27:00Z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schizophrenia_korean.csl</vt:lpwstr>
  </property>
  <property fmtid="{D5CDD505-2E9C-101B-9397-08002B2CF9AE}" pid="5" name="date">
    <vt:lpwstr>2026-05-02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