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F7B94" w14:textId="77777777" w:rsidR="00A00B40" w:rsidRPr="00F2098E" w:rsidRDefault="00000000" w:rsidP="00F2098E">
      <w:pPr>
        <w:pStyle w:val="2"/>
        <w:jc w:val="both"/>
        <w:rPr>
          <w:rFonts w:asciiTheme="minorEastAsia" w:eastAsiaTheme="minorEastAsia" w:hAnsiTheme="minorEastAsia"/>
          <w:sz w:val="22"/>
          <w:szCs w:val="22"/>
          <w:lang w:eastAsia="ko-KR"/>
        </w:rPr>
      </w:pPr>
      <w:bookmarkStart w:id="0" w:name="Xdf8aa9fadeb2b1b66a26b7e9212687fbe244ea8"/>
      <w:r w:rsidRPr="00F2098E">
        <w:rPr>
          <w:rFonts w:asciiTheme="minorEastAsia" w:eastAsiaTheme="minorEastAsia" w:hAnsiTheme="minorEastAsia"/>
          <w:sz w:val="22"/>
          <w:szCs w:val="22"/>
          <w:lang w:eastAsia="ko-KR"/>
        </w:rPr>
        <w:t>화학적 강박을 둘러싼 윤리적 논란: 화학적 강박의 정당화 조건과 정신건강 사전의향서의 역할</w:t>
      </w:r>
    </w:p>
    <w:p w14:paraId="7B349EC6" w14:textId="77777777" w:rsidR="00A00B40" w:rsidRPr="00F2098E" w:rsidRDefault="00000000" w:rsidP="00F2098E">
      <w:pPr>
        <w:pStyle w:val="3"/>
        <w:jc w:val="both"/>
        <w:rPr>
          <w:rFonts w:asciiTheme="minorEastAsia" w:eastAsiaTheme="minorEastAsia" w:hAnsiTheme="minorEastAsia"/>
          <w:sz w:val="22"/>
          <w:szCs w:val="22"/>
        </w:rPr>
      </w:pPr>
      <w:bookmarkStart w:id="1" w:name="X0c0d9647ab9925d281bd88b1a528ee3363a8776"/>
      <w:r w:rsidRPr="00F2098E">
        <w:rPr>
          <w:rFonts w:asciiTheme="minorEastAsia" w:eastAsiaTheme="minorEastAsia" w:hAnsiTheme="minorEastAsia"/>
          <w:sz w:val="22"/>
          <w:szCs w:val="22"/>
        </w:rPr>
        <w:t>Ethical Debates on Chemical Restraint: Conditions for Justification and the Role of Psychiatric Advance Directives</w:t>
      </w:r>
    </w:p>
    <w:p w14:paraId="2CBC131C" w14:textId="77777777" w:rsidR="00A00B40" w:rsidRPr="00F2098E" w:rsidRDefault="00000000" w:rsidP="00F2098E">
      <w:pPr>
        <w:pStyle w:val="2"/>
        <w:jc w:val="both"/>
        <w:rPr>
          <w:rFonts w:asciiTheme="minorEastAsia" w:eastAsiaTheme="minorEastAsia" w:hAnsiTheme="minorEastAsia"/>
          <w:sz w:val="22"/>
          <w:szCs w:val="22"/>
          <w:lang w:eastAsia="ko-KR"/>
        </w:rPr>
      </w:pPr>
      <w:bookmarkStart w:id="2" w:name="서론"/>
      <w:bookmarkEnd w:id="0"/>
      <w:bookmarkEnd w:id="1"/>
      <w:r w:rsidRPr="00F2098E">
        <w:rPr>
          <w:rFonts w:asciiTheme="minorEastAsia" w:eastAsiaTheme="minorEastAsia" w:hAnsiTheme="minorEastAsia"/>
          <w:sz w:val="22"/>
          <w:szCs w:val="22"/>
          <w:lang w:eastAsia="ko-KR"/>
        </w:rPr>
        <w:t>서론</w:t>
      </w:r>
    </w:p>
    <w:p w14:paraId="4635D258"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정신과 치료 환경에서 발생하는 급성 초조 및 폭력(agitation and violence)은 환자, 다른 환자, 가족, 의료진 모두의 안전을 동시에 위협하는 임상적 응급상황이다.[</w:t>
      </w:r>
      <w:proofErr w:type="spellStart"/>
      <w:r w:rsidRPr="00F2098E">
        <w:rPr>
          <w:rFonts w:asciiTheme="minorEastAsia" w:hAnsiTheme="minorEastAsia"/>
          <w:sz w:val="20"/>
          <w:szCs w:val="20"/>
          <w:lang w:eastAsia="ko-KR"/>
        </w:rPr>
        <w:t>Hankin</w:t>
      </w:r>
      <w:proofErr w:type="spellEnd"/>
      <w:r w:rsidRPr="00F2098E">
        <w:rPr>
          <w:rFonts w:asciiTheme="minorEastAsia" w:hAnsiTheme="minorEastAsia"/>
          <w:sz w:val="20"/>
          <w:szCs w:val="20"/>
          <w:lang w:eastAsia="ko-KR"/>
        </w:rPr>
        <w:t xml:space="preserve">, </w:t>
      </w:r>
      <w:proofErr w:type="spellStart"/>
      <w:r w:rsidRPr="00F2098E">
        <w:rPr>
          <w:rFonts w:asciiTheme="minorEastAsia" w:hAnsiTheme="minorEastAsia"/>
          <w:sz w:val="20"/>
          <w:szCs w:val="20"/>
          <w:lang w:eastAsia="ko-KR"/>
        </w:rPr>
        <w:t>Bronstone</w:t>
      </w:r>
      <w:proofErr w:type="spellEnd"/>
      <w:r w:rsidRPr="00F2098E">
        <w:rPr>
          <w:rFonts w:asciiTheme="minorEastAsia" w:hAnsiTheme="minorEastAsia"/>
          <w:sz w:val="20"/>
          <w:szCs w:val="20"/>
          <w:lang w:eastAsia="ko-KR"/>
        </w:rPr>
        <w:t>, and Koran (2011</w:t>
      </w:r>
      <w:proofErr w:type="gramStart"/>
      <w:r w:rsidRPr="00F2098E">
        <w:rPr>
          <w:rFonts w:asciiTheme="minorEastAsia" w:hAnsiTheme="minorEastAsia"/>
          <w:sz w:val="20"/>
          <w:szCs w:val="20"/>
          <w:lang w:eastAsia="ko-KR"/>
        </w:rPr>
        <w:t>)](</w:t>
      </w:r>
      <w:proofErr w:type="gramEnd"/>
      <w:r w:rsidRPr="00F2098E">
        <w:rPr>
          <w:rFonts w:asciiTheme="minorEastAsia" w:hAnsiTheme="minorEastAsia"/>
          <w:sz w:val="20"/>
          <w:szCs w:val="20"/>
          <w:lang w:eastAsia="ko-KR"/>
        </w:rPr>
        <w:t xml:space="preserve">San et al. 2016) 이러한 상황은 예기치 못한 순간에 빠르게 악화될 수 있으며, 의료진이 충분히 숙고할만한 시간적 여유를 허락하지 않는다.(Rocca, </w:t>
      </w:r>
      <w:proofErr w:type="spellStart"/>
      <w:r w:rsidRPr="00F2098E">
        <w:rPr>
          <w:rFonts w:asciiTheme="minorEastAsia" w:hAnsiTheme="minorEastAsia"/>
          <w:sz w:val="20"/>
          <w:szCs w:val="20"/>
          <w:lang w:eastAsia="ko-KR"/>
        </w:rPr>
        <w:t>Villari</w:t>
      </w:r>
      <w:proofErr w:type="spellEnd"/>
      <w:r w:rsidRPr="00F2098E">
        <w:rPr>
          <w:rFonts w:asciiTheme="minorEastAsia" w:hAnsiTheme="minorEastAsia"/>
          <w:sz w:val="20"/>
          <w:szCs w:val="20"/>
          <w:lang w:eastAsia="ko-KR"/>
        </w:rPr>
        <w:t xml:space="preserve">, and </w:t>
      </w:r>
      <w:proofErr w:type="spellStart"/>
      <w:r w:rsidRPr="00F2098E">
        <w:rPr>
          <w:rFonts w:asciiTheme="minorEastAsia" w:hAnsiTheme="minorEastAsia"/>
          <w:sz w:val="20"/>
          <w:szCs w:val="20"/>
          <w:lang w:eastAsia="ko-KR"/>
        </w:rPr>
        <w:t>Bogetto</w:t>
      </w:r>
      <w:proofErr w:type="spellEnd"/>
      <w:r w:rsidRPr="00F2098E">
        <w:rPr>
          <w:rFonts w:asciiTheme="minorEastAsia" w:hAnsiTheme="minorEastAsia"/>
          <w:sz w:val="20"/>
          <w:szCs w:val="20"/>
          <w:lang w:eastAsia="ko-KR"/>
        </w:rPr>
        <w:t xml:space="preserve"> 2006) 게다가 환자의 자율성 및 존엄성 보장이라는 윤리적 요구와 임박한 신체적 </w:t>
      </w:r>
      <w:proofErr w:type="spellStart"/>
      <w:r w:rsidRPr="00F2098E">
        <w:rPr>
          <w:rFonts w:asciiTheme="minorEastAsia" w:hAnsiTheme="minorEastAsia"/>
          <w:sz w:val="20"/>
          <w:szCs w:val="20"/>
          <w:lang w:eastAsia="ko-KR"/>
        </w:rPr>
        <w:t>위해를</w:t>
      </w:r>
      <w:proofErr w:type="spellEnd"/>
      <w:r w:rsidRPr="00F2098E">
        <w:rPr>
          <w:rFonts w:asciiTheme="minorEastAsia" w:hAnsiTheme="minorEastAsia"/>
          <w:sz w:val="20"/>
          <w:szCs w:val="20"/>
          <w:lang w:eastAsia="ko-KR"/>
        </w:rPr>
        <w:t xml:space="preserve"> 예방해야 할 임상적 의무가 충돌하는 상항에서 의료진에게 가해지는 부담은 더욱 </w:t>
      </w:r>
      <w:proofErr w:type="spellStart"/>
      <w:r w:rsidRPr="00F2098E">
        <w:rPr>
          <w:rFonts w:asciiTheme="minorEastAsia" w:hAnsiTheme="minorEastAsia"/>
          <w:sz w:val="20"/>
          <w:szCs w:val="20"/>
          <w:lang w:eastAsia="ko-KR"/>
        </w:rPr>
        <w:t>커져가기만</w:t>
      </w:r>
      <w:proofErr w:type="spellEnd"/>
      <w:r w:rsidRPr="00F2098E">
        <w:rPr>
          <w:rFonts w:asciiTheme="minorEastAsia" w:hAnsiTheme="minorEastAsia"/>
          <w:sz w:val="20"/>
          <w:szCs w:val="20"/>
          <w:lang w:eastAsia="ko-KR"/>
        </w:rPr>
        <w:t xml:space="preserve"> 한다.[Butterworth, Wood, and Rowe (2022)](Laureano et al. 2024)</w:t>
      </w:r>
    </w:p>
    <w:p w14:paraId="19D34427" w14:textId="0527C061" w:rsidR="00A00B40" w:rsidRPr="00F2098E" w:rsidRDefault="00F2098E" w:rsidP="00F2098E">
      <w:pPr>
        <w:pStyle w:val="a0"/>
        <w:jc w:val="both"/>
        <w:rPr>
          <w:rFonts w:asciiTheme="minorEastAsia" w:hAnsiTheme="minorEastAsia"/>
          <w:sz w:val="20"/>
          <w:szCs w:val="20"/>
          <w:lang w:eastAsia="ko-KR"/>
        </w:rPr>
      </w:pPr>
      <w:r>
        <w:rPr>
          <w:rFonts w:asciiTheme="minorEastAsia" w:hAnsiTheme="minorEastAsia" w:hint="eastAsia"/>
          <w:sz w:val="20"/>
          <w:szCs w:val="20"/>
          <w:lang w:eastAsia="ko-KR"/>
        </w:rPr>
        <w:t>(</w:t>
      </w:r>
      <w:r w:rsidRPr="00F2098E">
        <w:rPr>
          <w:rFonts w:asciiTheme="minorEastAsia" w:hAnsiTheme="minorEastAsia" w:hint="eastAsia"/>
          <w:color w:val="0432FF"/>
          <w:sz w:val="20"/>
          <w:szCs w:val="20"/>
          <w:lang w:eastAsia="ko-KR"/>
        </w:rPr>
        <w:t>이와 같은</w:t>
      </w:r>
      <w:r>
        <w:rPr>
          <w:rFonts w:asciiTheme="minorEastAsia" w:hAnsiTheme="minorEastAsia" w:hint="eastAsia"/>
          <w:sz w:val="20"/>
          <w:szCs w:val="20"/>
          <w:lang w:eastAsia="ko-KR"/>
        </w:rPr>
        <w:t>)</w:t>
      </w:r>
      <w:r>
        <w:rPr>
          <w:rFonts w:asciiTheme="minorEastAsia" w:hAnsiTheme="minorEastAsia"/>
          <w:sz w:val="20"/>
          <w:szCs w:val="20"/>
          <w:lang w:eastAsia="ko-KR"/>
        </w:rPr>
        <w:t xml:space="preserve"> </w:t>
      </w:r>
      <w:r w:rsidR="00000000" w:rsidRPr="00F2098E">
        <w:rPr>
          <w:rFonts w:asciiTheme="minorEastAsia" w:hAnsiTheme="minorEastAsia"/>
          <w:sz w:val="20"/>
          <w:szCs w:val="20"/>
          <w:lang w:eastAsia="ko-KR"/>
        </w:rPr>
        <w:t xml:space="preserve">위기 상황을 진정시키기 위해 흔히 약물을 </w:t>
      </w:r>
      <w:proofErr w:type="spellStart"/>
      <w:r w:rsidR="00000000" w:rsidRPr="00F2098E">
        <w:rPr>
          <w:rFonts w:asciiTheme="minorEastAsia" w:hAnsiTheme="minorEastAsia"/>
          <w:sz w:val="20"/>
          <w:szCs w:val="20"/>
          <w:lang w:eastAsia="ko-KR"/>
        </w:rPr>
        <w:t>비경구적으로</w:t>
      </w:r>
      <w:proofErr w:type="spellEnd"/>
      <w:r w:rsidR="00000000" w:rsidRPr="00F2098E">
        <w:rPr>
          <w:rFonts w:asciiTheme="minorEastAsia" w:hAnsiTheme="minorEastAsia"/>
          <w:sz w:val="20"/>
          <w:szCs w:val="20"/>
          <w:lang w:eastAsia="ko-KR"/>
        </w:rPr>
        <w:t xml:space="preserve"> 투여하는 방법이 사용되는데 이를 “화학적 강박(chemical restraint)”이라고 부른다.(</w:t>
      </w:r>
      <w:proofErr w:type="spellStart"/>
      <w:r w:rsidR="00000000" w:rsidRPr="00F2098E">
        <w:rPr>
          <w:rFonts w:asciiTheme="minorEastAsia" w:hAnsiTheme="minorEastAsia"/>
          <w:sz w:val="20"/>
          <w:szCs w:val="20"/>
          <w:lang w:eastAsia="ko-KR"/>
        </w:rPr>
        <w:t>Hupé</w:t>
      </w:r>
      <w:proofErr w:type="spellEnd"/>
      <w:r w:rsidR="00000000" w:rsidRPr="00F2098E">
        <w:rPr>
          <w:rFonts w:asciiTheme="minorEastAsia" w:hAnsiTheme="minorEastAsia"/>
          <w:sz w:val="20"/>
          <w:szCs w:val="20"/>
          <w:lang w:eastAsia="ko-KR"/>
        </w:rPr>
        <w:t xml:space="preserve">, Larue, and </w:t>
      </w:r>
      <w:proofErr w:type="spellStart"/>
      <w:r w:rsidR="00000000" w:rsidRPr="00F2098E">
        <w:rPr>
          <w:rFonts w:asciiTheme="minorEastAsia" w:hAnsiTheme="minorEastAsia"/>
          <w:sz w:val="20"/>
          <w:szCs w:val="20"/>
          <w:lang w:eastAsia="ko-KR"/>
        </w:rPr>
        <w:t>Contandriopoulos</w:t>
      </w:r>
      <w:proofErr w:type="spellEnd"/>
      <w:r w:rsidR="00000000" w:rsidRPr="00F2098E">
        <w:rPr>
          <w:rFonts w:asciiTheme="minorEastAsia" w:hAnsiTheme="minorEastAsia"/>
          <w:sz w:val="20"/>
          <w:szCs w:val="20"/>
          <w:lang w:eastAsia="ko-KR"/>
        </w:rPr>
        <w:t xml:space="preserve"> 2024) 그런데 이 용어는 의학적 치료, 행동 통제, 자율성 제한이라는 서로 다른 층위의 의미를 복합적으로 포함한다. 비판가들은 경청, 언어를 통한 진정, </w:t>
      </w:r>
      <w:proofErr w:type="spellStart"/>
      <w:r w:rsidR="00000000" w:rsidRPr="00F2098E">
        <w:rPr>
          <w:rFonts w:asciiTheme="minorEastAsia" w:hAnsiTheme="minorEastAsia"/>
          <w:sz w:val="20"/>
          <w:szCs w:val="20"/>
          <w:lang w:eastAsia="ko-KR"/>
        </w:rPr>
        <w:t>저자극</w:t>
      </w:r>
      <w:proofErr w:type="spellEnd"/>
      <w:r w:rsidR="00000000" w:rsidRPr="00F2098E">
        <w:rPr>
          <w:rFonts w:asciiTheme="minorEastAsia" w:hAnsiTheme="minorEastAsia"/>
          <w:sz w:val="20"/>
          <w:szCs w:val="20"/>
          <w:lang w:eastAsia="ko-KR"/>
        </w:rPr>
        <w:t xml:space="preserve"> 환경, 감각 조절 등과 같은 덜 침습적인 방법으로도 충분한 상황에서, 의료진이 편의나 권위 유지를 위해 남용할 수 있다고 우려한다.[CURRIER (2003</w:t>
      </w:r>
      <w:proofErr w:type="gramStart"/>
      <w:r w:rsidR="00000000" w:rsidRPr="00F2098E">
        <w:rPr>
          <w:rFonts w:asciiTheme="minorEastAsia" w:hAnsiTheme="minorEastAsia"/>
          <w:sz w:val="20"/>
          <w:szCs w:val="20"/>
          <w:lang w:eastAsia="ko-KR"/>
        </w:rPr>
        <w:t>)](</w:t>
      </w:r>
      <w:proofErr w:type="gramEnd"/>
      <w:r w:rsidR="00000000" w:rsidRPr="00F2098E">
        <w:rPr>
          <w:rFonts w:asciiTheme="minorEastAsia" w:hAnsiTheme="minorEastAsia"/>
          <w:sz w:val="20"/>
          <w:szCs w:val="20"/>
          <w:lang w:eastAsia="ko-KR"/>
        </w:rPr>
        <w:t>Richmond et al. 2012) 반대로 임상 현장에서는 비약물적 개입이 성공할 여지가 보이지 않거나, 아예 시도할 시간조차 없는 긴박한 상황에서</w:t>
      </w:r>
      <w:r>
        <w:rPr>
          <w:rFonts w:asciiTheme="minorEastAsia" w:hAnsiTheme="minorEastAsia" w:hint="eastAsia"/>
          <w:sz w:val="20"/>
          <w:szCs w:val="20"/>
          <w:lang w:eastAsia="ko-KR"/>
        </w:rPr>
        <w:t xml:space="preserve"> </w:t>
      </w:r>
      <w:r w:rsidR="00000000" w:rsidRPr="00F2098E">
        <w:rPr>
          <w:rFonts w:asciiTheme="minorEastAsia" w:hAnsiTheme="minorEastAsia"/>
          <w:sz w:val="20"/>
          <w:szCs w:val="20"/>
          <w:lang w:eastAsia="ko-KR"/>
        </w:rPr>
        <w:t xml:space="preserve">조차 </w:t>
      </w:r>
      <w:r w:rsidR="00162084">
        <w:rPr>
          <w:rFonts w:asciiTheme="minorEastAsia" w:hAnsiTheme="minorEastAsia"/>
          <w:sz w:val="20"/>
          <w:szCs w:val="20"/>
          <w:lang w:eastAsia="ko-KR"/>
        </w:rPr>
        <w:t>“</w:t>
      </w:r>
      <w:r w:rsidR="00000000" w:rsidRPr="00F2098E">
        <w:rPr>
          <w:rFonts w:asciiTheme="minorEastAsia" w:hAnsiTheme="minorEastAsia"/>
          <w:sz w:val="20"/>
          <w:szCs w:val="20"/>
          <w:lang w:eastAsia="ko-KR"/>
        </w:rPr>
        <w:t>화학적 강박</w:t>
      </w:r>
      <w:r w:rsidR="00162084">
        <w:rPr>
          <w:rFonts w:asciiTheme="minorEastAsia" w:hAnsiTheme="minorEastAsia"/>
          <w:sz w:val="20"/>
          <w:szCs w:val="20"/>
          <w:lang w:eastAsia="ko-KR"/>
        </w:rPr>
        <w:t>” (</w:t>
      </w:r>
      <w:r w:rsidR="00162084" w:rsidRPr="00162084">
        <w:rPr>
          <w:rFonts w:asciiTheme="minorEastAsia" w:hAnsiTheme="minorEastAsia"/>
          <w:color w:val="00B050"/>
          <w:sz w:val="20"/>
          <w:szCs w:val="20"/>
          <w:lang w:eastAsia="ko-KR"/>
        </w:rPr>
        <w:t xml:space="preserve">KYS: </w:t>
      </w:r>
      <w:r w:rsidR="00162084" w:rsidRPr="00162084">
        <w:rPr>
          <w:rFonts w:asciiTheme="minorEastAsia" w:hAnsiTheme="minorEastAsia" w:hint="eastAsia"/>
          <w:color w:val="00B050"/>
          <w:sz w:val="20"/>
          <w:szCs w:val="20"/>
          <w:lang w:eastAsia="ko-KR"/>
        </w:rPr>
        <w:t xml:space="preserve">형식적인데 </w:t>
      </w:r>
      <w:r w:rsidR="00BE1C92">
        <w:rPr>
          <w:rFonts w:asciiTheme="minorEastAsia" w:hAnsiTheme="minorEastAsia" w:hint="eastAsia"/>
          <w:color w:val="00B050"/>
          <w:sz w:val="20"/>
          <w:szCs w:val="20"/>
          <w:lang w:eastAsia="ko-KR"/>
        </w:rPr>
        <w:t>여기서</w:t>
      </w:r>
      <w:r w:rsidR="00162084" w:rsidRPr="00162084">
        <w:rPr>
          <w:rFonts w:asciiTheme="minorEastAsia" w:hAnsiTheme="minorEastAsia"/>
          <w:color w:val="00B050"/>
          <w:sz w:val="20"/>
          <w:szCs w:val="20"/>
          <w:lang w:eastAsia="ko-KR"/>
        </w:rPr>
        <w:t>“ “</w:t>
      </w:r>
      <w:r w:rsidR="00162084" w:rsidRPr="00162084">
        <w:rPr>
          <w:rFonts w:asciiTheme="minorEastAsia" w:hAnsiTheme="minorEastAsia" w:hint="eastAsia"/>
          <w:color w:val="00B050"/>
          <w:sz w:val="20"/>
          <w:szCs w:val="20"/>
          <w:lang w:eastAsia="ko-KR"/>
        </w:rPr>
        <w:t>을 붙</w:t>
      </w:r>
      <w:r w:rsidR="00BE1C92">
        <w:rPr>
          <w:rFonts w:asciiTheme="minorEastAsia" w:hAnsiTheme="minorEastAsia" w:hint="eastAsia"/>
          <w:color w:val="00B050"/>
          <w:sz w:val="20"/>
          <w:szCs w:val="20"/>
          <w:lang w:eastAsia="ko-KR"/>
        </w:rPr>
        <w:t>여서 문제 있는 용어이다 라는 것을 표시하</w:t>
      </w:r>
      <w:r w:rsidR="00162084" w:rsidRPr="00162084">
        <w:rPr>
          <w:rFonts w:asciiTheme="minorEastAsia" w:hAnsiTheme="minorEastAsia" w:hint="eastAsia"/>
          <w:color w:val="00B050"/>
          <w:sz w:val="20"/>
          <w:szCs w:val="20"/>
          <w:lang w:eastAsia="ko-KR"/>
        </w:rPr>
        <w:t xml:space="preserve">는 것은 </w:t>
      </w:r>
      <w:proofErr w:type="spellStart"/>
      <w:r w:rsidR="00162084" w:rsidRPr="00162084">
        <w:rPr>
          <w:rFonts w:asciiTheme="minorEastAsia" w:hAnsiTheme="minorEastAsia" w:hint="eastAsia"/>
          <w:color w:val="00B050"/>
          <w:sz w:val="20"/>
          <w:szCs w:val="20"/>
          <w:lang w:eastAsia="ko-KR"/>
        </w:rPr>
        <w:t>어떨지요</w:t>
      </w:r>
      <w:proofErr w:type="spellEnd"/>
      <w:r w:rsidR="00162084" w:rsidRPr="00162084">
        <w:rPr>
          <w:rFonts w:asciiTheme="minorEastAsia" w:hAnsiTheme="minorEastAsia" w:hint="eastAsia"/>
          <w:color w:val="00B050"/>
          <w:sz w:val="20"/>
          <w:szCs w:val="20"/>
          <w:lang w:eastAsia="ko-KR"/>
        </w:rPr>
        <w:t>?</w:t>
      </w:r>
      <w:r w:rsidR="00162084">
        <w:rPr>
          <w:rFonts w:asciiTheme="minorEastAsia" w:hAnsiTheme="minorEastAsia"/>
          <w:color w:val="00B050"/>
          <w:sz w:val="20"/>
          <w:szCs w:val="20"/>
          <w:lang w:eastAsia="ko-KR"/>
        </w:rPr>
        <w:t xml:space="preserve"> </w:t>
      </w:r>
      <w:r w:rsidR="00162084">
        <w:rPr>
          <w:rFonts w:asciiTheme="minorEastAsia" w:hAnsiTheme="minorEastAsia" w:hint="eastAsia"/>
          <w:color w:val="00B050"/>
          <w:sz w:val="20"/>
          <w:szCs w:val="20"/>
          <w:lang w:eastAsia="ko-KR"/>
        </w:rPr>
        <w:t>조금 유치 할 것 같기도 합니다만?</w:t>
      </w:r>
      <w:r w:rsidR="00162084" w:rsidRPr="00162084">
        <w:rPr>
          <w:rFonts w:asciiTheme="minorEastAsia" w:hAnsiTheme="minorEastAsia"/>
          <w:color w:val="00B050"/>
          <w:sz w:val="20"/>
          <w:szCs w:val="20"/>
          <w:lang w:eastAsia="ko-KR"/>
        </w:rPr>
        <w:t xml:space="preserve">) </w:t>
      </w:r>
      <w:r w:rsidR="00000000" w:rsidRPr="00F2098E">
        <w:rPr>
          <w:rFonts w:asciiTheme="minorEastAsia" w:hAnsiTheme="minorEastAsia"/>
          <w:sz w:val="20"/>
          <w:szCs w:val="20"/>
          <w:lang w:eastAsia="ko-KR"/>
        </w:rPr>
        <w:t>을 전면적으로 금지하는 것은, 환자와 제3자의 안전을 방치하는 무책임한 조치라고 본다.[Resnick and Saxton (2019)](Becker and Forman 2020)</w:t>
      </w:r>
    </w:p>
    <w:p w14:paraId="58EA38E6" w14:textId="4C9D128B"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본 논문은 화학적 강박의 전면적 금지를 요구하는 인권 담론과, 예외적 허용을 주장하는 의료진의 입장을 법적, 의료윤리적 관점에서 검토하고자 한다. 특히 두 입장 중 어느 한쪽에 치우치지 않으면서, 제한적 허용의 가중적 조건과 정신건강 사전 의향서(psychiatric advance directives, PAD)</w:t>
      </w:r>
      <w:proofErr w:type="spellStart"/>
      <w:r w:rsidRPr="00F2098E">
        <w:rPr>
          <w:rFonts w:asciiTheme="minorEastAsia" w:hAnsiTheme="minorEastAsia"/>
          <w:sz w:val="20"/>
          <w:szCs w:val="20"/>
          <w:lang w:eastAsia="ko-KR"/>
        </w:rPr>
        <w:t>를</w:t>
      </w:r>
      <w:proofErr w:type="spellEnd"/>
      <w:r w:rsidRPr="00F2098E">
        <w:rPr>
          <w:rFonts w:asciiTheme="minorEastAsia" w:hAnsiTheme="minorEastAsia"/>
          <w:sz w:val="20"/>
          <w:szCs w:val="20"/>
          <w:lang w:eastAsia="ko-KR"/>
        </w:rPr>
        <w:t xml:space="preserve"> 통한 절차적 보완이라는 두 방향에서 타협 가능성을 모색하고자 한다.(Scholten et al. 2019) 이를 위해 먼저 화학적 강박의 역사와 이에 가해진 비판을 살펴보고, 국제 인권법의 절대주의적 해석과 법조계와 의료계의 </w:t>
      </w:r>
      <w:proofErr w:type="spellStart"/>
      <w:r w:rsidRPr="00162084">
        <w:rPr>
          <w:rFonts w:asciiTheme="minorEastAsia" w:hAnsiTheme="minorEastAsia"/>
          <w:sz w:val="20"/>
          <w:szCs w:val="20"/>
          <w:highlight w:val="cyan"/>
          <w:lang w:eastAsia="ko-KR"/>
        </w:rPr>
        <w:t>비례성</w:t>
      </w:r>
      <w:proofErr w:type="spellEnd"/>
      <w:r w:rsidRPr="00162084">
        <w:rPr>
          <w:rFonts w:asciiTheme="minorEastAsia" w:hAnsiTheme="minorEastAsia"/>
          <w:sz w:val="20"/>
          <w:szCs w:val="20"/>
          <w:highlight w:val="cyan"/>
          <w:lang w:eastAsia="ko-KR"/>
        </w:rPr>
        <w:t xml:space="preserve"> 기반</w:t>
      </w:r>
      <w:r w:rsidR="00162084">
        <w:rPr>
          <w:rFonts w:asciiTheme="minorEastAsia" w:hAnsiTheme="minorEastAsia" w:hint="eastAsia"/>
          <w:sz w:val="20"/>
          <w:szCs w:val="20"/>
          <w:lang w:eastAsia="ko-KR"/>
        </w:rPr>
        <w:t xml:space="preserve"> </w:t>
      </w:r>
      <w:r w:rsidR="00162084">
        <w:rPr>
          <w:rFonts w:asciiTheme="minorEastAsia" w:hAnsiTheme="minorEastAsia"/>
          <w:sz w:val="20"/>
          <w:szCs w:val="20"/>
          <w:lang w:eastAsia="ko-KR"/>
        </w:rPr>
        <w:t xml:space="preserve">(KYS: </w:t>
      </w:r>
      <w:r w:rsidR="00162084">
        <w:rPr>
          <w:rFonts w:asciiTheme="minorEastAsia" w:hAnsiTheme="minorEastAsia" w:hint="eastAsia"/>
          <w:sz w:val="20"/>
          <w:szCs w:val="20"/>
          <w:lang w:eastAsia="ko-KR"/>
        </w:rPr>
        <w:t xml:space="preserve">제가 맞는지 모르겠습니다만 </w:t>
      </w:r>
      <w:proofErr w:type="spellStart"/>
      <w:r w:rsidR="00162084" w:rsidRPr="00162084">
        <w:rPr>
          <w:rFonts w:asciiTheme="minorEastAsia" w:hAnsiTheme="minorEastAsia" w:hint="eastAsia"/>
          <w:color w:val="00B050"/>
          <w:sz w:val="20"/>
          <w:szCs w:val="20"/>
          <w:lang w:eastAsia="ko-KR"/>
        </w:rPr>
        <w:t>비례성</w:t>
      </w:r>
      <w:proofErr w:type="spellEnd"/>
      <w:r w:rsidR="00162084" w:rsidRPr="00162084">
        <w:rPr>
          <w:rFonts w:asciiTheme="minorEastAsia" w:hAnsiTheme="minorEastAsia" w:hint="eastAsia"/>
          <w:color w:val="00B050"/>
          <w:sz w:val="20"/>
          <w:szCs w:val="20"/>
          <w:lang w:eastAsia="ko-KR"/>
        </w:rPr>
        <w:t xml:space="preserve"> 원칙에 기반한</w:t>
      </w:r>
      <w:r w:rsidR="00162084">
        <w:rPr>
          <w:rFonts w:asciiTheme="minorEastAsia" w:hAnsiTheme="minorEastAsia" w:hint="eastAsia"/>
          <w:sz w:val="20"/>
          <w:szCs w:val="20"/>
          <w:lang w:eastAsia="ko-KR"/>
        </w:rPr>
        <w:t>)</w:t>
      </w:r>
      <w:r w:rsidRPr="00F2098E">
        <w:rPr>
          <w:rFonts w:asciiTheme="minorEastAsia" w:hAnsiTheme="minorEastAsia"/>
          <w:sz w:val="20"/>
          <w:szCs w:val="20"/>
          <w:lang w:eastAsia="ko-KR"/>
        </w:rPr>
        <w:t xml:space="preserve"> 해석의 차이를 검토한다. </w:t>
      </w:r>
      <w:r w:rsidRPr="003104C9">
        <w:rPr>
          <w:rFonts w:asciiTheme="minorEastAsia" w:hAnsiTheme="minorEastAsia"/>
          <w:sz w:val="20"/>
          <w:szCs w:val="20"/>
          <w:lang w:eastAsia="ko-KR"/>
        </w:rPr>
        <w:t>이어 의료윤리학의 주요 이론 중</w:t>
      </w:r>
      <w:r w:rsidRPr="00F2098E">
        <w:rPr>
          <w:rFonts w:asciiTheme="minorEastAsia" w:hAnsiTheme="minorEastAsia"/>
          <w:sz w:val="20"/>
          <w:szCs w:val="20"/>
          <w:lang w:eastAsia="ko-KR"/>
        </w:rPr>
        <w:t xml:space="preserve"> 하나인 원칙주의(</w:t>
      </w:r>
      <w:proofErr w:type="spellStart"/>
      <w:r w:rsidRPr="00F2098E">
        <w:rPr>
          <w:rFonts w:asciiTheme="minorEastAsia" w:hAnsiTheme="minorEastAsia"/>
          <w:sz w:val="20"/>
          <w:szCs w:val="20"/>
          <w:lang w:eastAsia="ko-KR"/>
        </w:rPr>
        <w:t>principlism</w:t>
      </w:r>
      <w:proofErr w:type="spellEnd"/>
      <w:r w:rsidRPr="00F2098E">
        <w:rPr>
          <w:rFonts w:asciiTheme="minorEastAsia" w:hAnsiTheme="minorEastAsia"/>
          <w:sz w:val="20"/>
          <w:szCs w:val="20"/>
          <w:lang w:eastAsia="ko-KR"/>
        </w:rPr>
        <w:t>)의 틀</w:t>
      </w:r>
      <w:r w:rsidR="003104C9">
        <w:rPr>
          <w:rFonts w:asciiTheme="minorEastAsia" w:hAnsiTheme="minorEastAsia" w:hint="eastAsia"/>
          <w:sz w:val="20"/>
          <w:szCs w:val="20"/>
          <w:lang w:eastAsia="ko-KR"/>
        </w:rPr>
        <w:t xml:space="preserve"> </w:t>
      </w:r>
      <w:r w:rsidR="003104C9" w:rsidRPr="003104C9">
        <w:rPr>
          <w:rFonts w:asciiTheme="minorEastAsia" w:hAnsiTheme="minorEastAsia"/>
          <w:sz w:val="20"/>
          <w:szCs w:val="20"/>
          <w:highlight w:val="cyan"/>
          <w:lang w:eastAsia="ko-KR"/>
        </w:rPr>
        <w:t>(</w:t>
      </w:r>
      <w:r w:rsidR="003104C9" w:rsidRPr="003104C9">
        <w:rPr>
          <w:rFonts w:asciiTheme="minorEastAsia" w:hAnsiTheme="minorEastAsia" w:hint="eastAsia"/>
          <w:sz w:val="20"/>
          <w:szCs w:val="20"/>
          <w:highlight w:val="cyan"/>
          <w:lang w:eastAsia="ko-KR"/>
        </w:rPr>
        <w:t>이어 의료윤리학에서 널리 사용되는 규범적 틀인 원칙주의(</w:t>
      </w:r>
      <w:proofErr w:type="spellStart"/>
      <w:r w:rsidR="003104C9" w:rsidRPr="003104C9">
        <w:rPr>
          <w:rFonts w:asciiTheme="minorEastAsia" w:hAnsiTheme="minorEastAsia" w:hint="eastAsia"/>
          <w:sz w:val="20"/>
          <w:szCs w:val="20"/>
          <w:highlight w:val="cyan"/>
          <w:lang w:eastAsia="ko-KR"/>
        </w:rPr>
        <w:t>principlism</w:t>
      </w:r>
      <w:proofErr w:type="spellEnd"/>
      <w:r w:rsidR="003104C9" w:rsidRPr="003104C9">
        <w:rPr>
          <w:rFonts w:asciiTheme="minorEastAsia" w:hAnsiTheme="minorEastAsia" w:hint="eastAsia"/>
          <w:sz w:val="20"/>
          <w:szCs w:val="20"/>
          <w:highlight w:val="cyan"/>
          <w:lang w:eastAsia="ko-KR"/>
        </w:rPr>
        <w:t>)의 관점</w:t>
      </w:r>
      <w:r w:rsidR="003104C9" w:rsidRPr="003104C9">
        <w:rPr>
          <w:rFonts w:asciiTheme="minorEastAsia" w:hAnsiTheme="minorEastAsia" w:hint="eastAsia"/>
          <w:sz w:val="20"/>
          <w:szCs w:val="20"/>
          <w:highlight w:val="cyan"/>
          <w:lang w:eastAsia="ko-KR"/>
        </w:rPr>
        <w:t>)</w:t>
      </w:r>
      <w:r w:rsidRPr="00F2098E">
        <w:rPr>
          <w:rFonts w:asciiTheme="minorEastAsia" w:hAnsiTheme="minorEastAsia"/>
          <w:sz w:val="20"/>
          <w:szCs w:val="20"/>
          <w:lang w:eastAsia="ko-KR"/>
        </w:rPr>
        <w:t>에서 응급상황에서 충돌하는 윤리 원칙들을 분석한 뒤, PAD가 안정 상태에서 환자가 표현한 의사와 위기 상황에서 의료진이 내리는 판단을 연결하는 제도적 장치가 될 수 있는지를 논의한다.</w:t>
      </w:r>
    </w:p>
    <w:p w14:paraId="2C95BA41" w14:textId="77777777" w:rsidR="00A00B40" w:rsidRPr="00F2098E" w:rsidRDefault="00000000" w:rsidP="00F2098E">
      <w:pPr>
        <w:pStyle w:val="2"/>
        <w:jc w:val="both"/>
        <w:rPr>
          <w:rFonts w:asciiTheme="minorEastAsia" w:eastAsiaTheme="minorEastAsia" w:hAnsiTheme="minorEastAsia"/>
          <w:sz w:val="20"/>
          <w:szCs w:val="20"/>
          <w:lang w:eastAsia="ko-KR"/>
        </w:rPr>
      </w:pPr>
      <w:bookmarkStart w:id="3" w:name="화학적-강박"/>
      <w:bookmarkEnd w:id="2"/>
      <w:r w:rsidRPr="00F2098E">
        <w:rPr>
          <w:rFonts w:asciiTheme="minorEastAsia" w:eastAsiaTheme="minorEastAsia" w:hAnsiTheme="minorEastAsia"/>
          <w:sz w:val="20"/>
          <w:szCs w:val="20"/>
          <w:lang w:eastAsia="ko-KR"/>
        </w:rPr>
        <w:t>화학적 강박</w:t>
      </w:r>
    </w:p>
    <w:p w14:paraId="07171C45"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미국 연방 보건복지부 산하 메디케어 및 메디케이드 서비스 센터 지침에 따르면, 화학적 강박은 “환자 상태에 맞는 표준적인 치료나 용량이 아니면서, 환자의 행동을 관리하거나 이동의 자유를 제한하기 위해 사용되는 약물 또는 투약”</w:t>
      </w:r>
      <w:proofErr w:type="spellStart"/>
      <w:r w:rsidRPr="00F2098E">
        <w:rPr>
          <w:rFonts w:asciiTheme="minorEastAsia" w:hAnsiTheme="minorEastAsia"/>
          <w:sz w:val="20"/>
          <w:szCs w:val="20"/>
          <w:lang w:eastAsia="ko-KR"/>
        </w:rPr>
        <w:t>으로</w:t>
      </w:r>
      <w:proofErr w:type="spellEnd"/>
      <w:r w:rsidRPr="00F2098E">
        <w:rPr>
          <w:rFonts w:asciiTheme="minorEastAsia" w:hAnsiTheme="minorEastAsia"/>
          <w:sz w:val="20"/>
          <w:szCs w:val="20"/>
          <w:lang w:eastAsia="ko-KR"/>
        </w:rPr>
        <w:t xml:space="preserve"> 정의된다.(Centers for Medicare &amp; Medicaid Services, Survey and </w:t>
      </w:r>
      <w:r w:rsidRPr="00F2098E">
        <w:rPr>
          <w:rFonts w:asciiTheme="minorEastAsia" w:hAnsiTheme="minorEastAsia"/>
          <w:sz w:val="20"/>
          <w:szCs w:val="20"/>
          <w:lang w:eastAsia="ko-KR"/>
        </w:rPr>
        <w:lastRenderedPageBreak/>
        <w:t xml:space="preserve">Certification Group 2008) 이 정의는 세 가지 축을 포함한다. 첫째, 약물의 종류나 용량이 환자 상태에 적합한 표준 치료인지 여부, 둘째, 투여 방식이 의학적으로 정당화되는지 여부, 셋째, 투약의 주된 목적이 치료인지 행동 통제 또는 자유 제한인지 여부이다. 따라서 동일한 약물이라도 표준 용량으로 증상을 치료하기 위해 사용될 때와, 환자를 통제하기 위해 </w:t>
      </w:r>
      <w:proofErr w:type="spellStart"/>
      <w:r w:rsidRPr="00F2098E">
        <w:rPr>
          <w:rFonts w:asciiTheme="minorEastAsia" w:hAnsiTheme="minorEastAsia"/>
          <w:sz w:val="20"/>
          <w:szCs w:val="20"/>
          <w:lang w:eastAsia="ko-KR"/>
        </w:rPr>
        <w:t>비경구적으로</w:t>
      </w:r>
      <w:proofErr w:type="spellEnd"/>
      <w:r w:rsidRPr="00F2098E">
        <w:rPr>
          <w:rFonts w:asciiTheme="minorEastAsia" w:hAnsiTheme="minorEastAsia"/>
          <w:sz w:val="20"/>
          <w:szCs w:val="20"/>
          <w:lang w:eastAsia="ko-KR"/>
        </w:rPr>
        <w:t xml:space="preserve"> 사용될 때 그 규범적 의미가 달라질 수 있다.</w:t>
      </w:r>
    </w:p>
    <w:p w14:paraId="1CA42F94"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이러한 정의는 화학적 강박의 남용을 예방하는 데는 유용할 수 있지만, 정신과 응급상황에 적용하기에는 매우 모호한 기준이다. 급성 초조/폭력을 보이는 환자에게 항정신병 약물이나 </w:t>
      </w:r>
      <w:proofErr w:type="spellStart"/>
      <w:r w:rsidRPr="00F2098E">
        <w:rPr>
          <w:rFonts w:asciiTheme="minorEastAsia" w:hAnsiTheme="minorEastAsia"/>
          <w:sz w:val="20"/>
          <w:szCs w:val="20"/>
          <w:lang w:eastAsia="ko-KR"/>
        </w:rPr>
        <w:t>벤조디아제핀을</w:t>
      </w:r>
      <w:proofErr w:type="spellEnd"/>
      <w:r w:rsidRPr="00F2098E">
        <w:rPr>
          <w:rFonts w:asciiTheme="minorEastAsia" w:hAnsiTheme="minorEastAsia"/>
          <w:sz w:val="20"/>
          <w:szCs w:val="20"/>
          <w:lang w:eastAsia="ko-KR"/>
        </w:rPr>
        <w:t xml:space="preserve"> 비경구로 투여하는 조치는, 증상 완화, 위해 예방, 치료 환경 안정화라는 목적을 동시에 달성할 수 있다.(Muluneh et al. 2024) </w:t>
      </w:r>
      <w:proofErr w:type="spellStart"/>
      <w:r w:rsidRPr="00F2098E">
        <w:rPr>
          <w:rFonts w:asciiTheme="minorEastAsia" w:hAnsiTheme="minorEastAsia"/>
          <w:sz w:val="20"/>
          <w:szCs w:val="20"/>
          <w:lang w:eastAsia="ko-KR"/>
        </w:rPr>
        <w:t>Hupé</w:t>
      </w:r>
      <w:proofErr w:type="spellEnd"/>
      <w:r w:rsidRPr="00F2098E">
        <w:rPr>
          <w:rFonts w:asciiTheme="minorEastAsia" w:hAnsiTheme="minorEastAsia"/>
          <w:sz w:val="20"/>
          <w:szCs w:val="20"/>
          <w:lang w:eastAsia="ko-KR"/>
        </w:rPr>
        <w:t xml:space="preserve"> </w:t>
      </w:r>
      <w:proofErr w:type="gramStart"/>
      <w:r w:rsidRPr="00F2098E">
        <w:rPr>
          <w:rFonts w:asciiTheme="minorEastAsia" w:hAnsiTheme="minorEastAsia"/>
          <w:sz w:val="20"/>
          <w:szCs w:val="20"/>
          <w:lang w:eastAsia="ko-KR"/>
        </w:rPr>
        <w:t>등(</w:t>
      </w:r>
      <w:proofErr w:type="gramEnd"/>
      <w:r w:rsidRPr="00F2098E">
        <w:rPr>
          <w:rFonts w:asciiTheme="minorEastAsia" w:hAnsiTheme="minorEastAsia"/>
          <w:sz w:val="20"/>
          <w:szCs w:val="20"/>
          <w:lang w:eastAsia="ko-KR"/>
        </w:rPr>
        <w:t>(</w:t>
      </w:r>
      <w:proofErr w:type="spellStart"/>
      <w:r w:rsidRPr="00F2098E">
        <w:rPr>
          <w:rFonts w:asciiTheme="minorEastAsia" w:hAnsiTheme="minorEastAsia"/>
          <w:sz w:val="20"/>
          <w:szCs w:val="20"/>
          <w:lang w:eastAsia="ko-KR"/>
        </w:rPr>
        <w:t>Hupé</w:t>
      </w:r>
      <w:proofErr w:type="spellEnd"/>
      <w:r w:rsidRPr="00F2098E">
        <w:rPr>
          <w:rFonts w:asciiTheme="minorEastAsia" w:hAnsiTheme="minorEastAsia"/>
          <w:sz w:val="20"/>
          <w:szCs w:val="20"/>
          <w:lang w:eastAsia="ko-KR"/>
        </w:rPr>
        <w:t xml:space="preserve">, Larue, and </w:t>
      </w:r>
      <w:proofErr w:type="spellStart"/>
      <w:r w:rsidRPr="00F2098E">
        <w:rPr>
          <w:rFonts w:asciiTheme="minorEastAsia" w:hAnsiTheme="minorEastAsia"/>
          <w:sz w:val="20"/>
          <w:szCs w:val="20"/>
          <w:lang w:eastAsia="ko-KR"/>
        </w:rPr>
        <w:t>Contandriopoulos</w:t>
      </w:r>
      <w:proofErr w:type="spellEnd"/>
      <w:r w:rsidRPr="00F2098E">
        <w:rPr>
          <w:rFonts w:asciiTheme="minorEastAsia" w:hAnsiTheme="minorEastAsia"/>
          <w:sz w:val="20"/>
          <w:szCs w:val="20"/>
          <w:lang w:eastAsia="ko-KR"/>
        </w:rPr>
        <w:t xml:space="preserve"> 2024))은 화학적 강박에 대한 공통된 정의가 없는 현상황이, 유병률 추정, 질 평가, 규제 정책 수립을 근본적으로 저해한다고 지적하였다. Muluneh 등((Muluneh et al. 2024)) 역시 체계적 고찰을 통해, 화학적 강박을 정의하고자 하였던 문헌들 사이에서도 상당한 개념적 이질성이 발견된다고 하였다.</w:t>
      </w:r>
    </w:p>
    <w:p w14:paraId="61C1F032"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4" w:name="초창기의-화학적-강박"/>
      <w:r w:rsidRPr="00F2098E">
        <w:rPr>
          <w:rFonts w:asciiTheme="minorEastAsia" w:eastAsiaTheme="minorEastAsia" w:hAnsiTheme="minorEastAsia"/>
          <w:sz w:val="20"/>
          <w:szCs w:val="20"/>
          <w:lang w:eastAsia="ko-KR"/>
        </w:rPr>
        <w:t>초창기의 화학적 강박</w:t>
      </w:r>
    </w:p>
    <w:p w14:paraId="6828872D" w14:textId="525B6420" w:rsidR="00A00B40" w:rsidRPr="005717CB" w:rsidRDefault="00000000" w:rsidP="005717CB">
      <w:pPr>
        <w:pStyle w:val="FirstParagraph"/>
        <w:jc w:val="both"/>
        <w:rPr>
          <w:rFonts w:asciiTheme="minorEastAsia" w:hAnsiTheme="minorEastAsia" w:hint="eastAsia"/>
          <w:sz w:val="20"/>
          <w:szCs w:val="20"/>
          <w:lang w:eastAsia="ko-KR"/>
        </w:rPr>
      </w:pPr>
      <w:r w:rsidRPr="00F2098E">
        <w:rPr>
          <w:rFonts w:asciiTheme="minorEastAsia" w:hAnsiTheme="minorEastAsia"/>
          <w:sz w:val="20"/>
          <w:szCs w:val="20"/>
          <w:lang w:eastAsia="ko-KR"/>
        </w:rPr>
        <w:t xml:space="preserve">항정신병 약물이 등장하기 전에는 아편이나 모르핀 같은 중독성 </w:t>
      </w:r>
      <w:proofErr w:type="spellStart"/>
      <w:r w:rsidRPr="00F2098E">
        <w:rPr>
          <w:rFonts w:asciiTheme="minorEastAsia" w:hAnsiTheme="minorEastAsia"/>
          <w:sz w:val="20"/>
          <w:szCs w:val="20"/>
          <w:lang w:eastAsia="ko-KR"/>
        </w:rPr>
        <w:t>물질뿐</w:t>
      </w:r>
      <w:proofErr w:type="spellEnd"/>
      <w:r w:rsidRPr="00F2098E">
        <w:rPr>
          <w:rFonts w:asciiTheme="minorEastAsia" w:hAnsiTheme="minorEastAsia"/>
          <w:sz w:val="20"/>
          <w:szCs w:val="20"/>
          <w:lang w:eastAsia="ko-KR"/>
        </w:rPr>
        <w:t xml:space="preserve"> 아니라 장뇌(camphor), 브롬화물(bromide), </w:t>
      </w:r>
      <w:proofErr w:type="spellStart"/>
      <w:r w:rsidRPr="00F2098E">
        <w:rPr>
          <w:rFonts w:asciiTheme="minorEastAsia" w:hAnsiTheme="minorEastAsia"/>
          <w:sz w:val="20"/>
          <w:szCs w:val="20"/>
          <w:lang w:eastAsia="ko-KR"/>
        </w:rPr>
        <w:t>하이오신</w:t>
      </w:r>
      <w:proofErr w:type="spellEnd"/>
      <w:r w:rsidRPr="00F2098E">
        <w:rPr>
          <w:rFonts w:asciiTheme="minorEastAsia" w:hAnsiTheme="minorEastAsia"/>
          <w:sz w:val="20"/>
          <w:szCs w:val="20"/>
          <w:lang w:eastAsia="ko-KR"/>
        </w:rPr>
        <w:t xml:space="preserve">(hyoscine), </w:t>
      </w:r>
      <w:proofErr w:type="spellStart"/>
      <w:r w:rsidRPr="00F2098E">
        <w:rPr>
          <w:rFonts w:asciiTheme="minorEastAsia" w:hAnsiTheme="minorEastAsia"/>
          <w:sz w:val="20"/>
          <w:szCs w:val="20"/>
          <w:lang w:eastAsia="ko-KR"/>
        </w:rPr>
        <w:t>파랄데히드</w:t>
      </w:r>
      <w:proofErr w:type="spellEnd"/>
      <w:r w:rsidRPr="00F2098E">
        <w:rPr>
          <w:rFonts w:asciiTheme="minorEastAsia" w:hAnsiTheme="minorEastAsia"/>
          <w:sz w:val="20"/>
          <w:szCs w:val="20"/>
          <w:lang w:eastAsia="ko-KR"/>
        </w:rPr>
        <w:t xml:space="preserve">(paraldehyde) 등이 진정과 행동 통제를 위해 사용되었다. 19세기 중반 </w:t>
      </w:r>
      <w:proofErr w:type="spellStart"/>
      <w:r w:rsidRPr="00F2098E">
        <w:rPr>
          <w:rFonts w:asciiTheme="minorEastAsia" w:hAnsiTheme="minorEastAsia"/>
          <w:sz w:val="20"/>
          <w:szCs w:val="20"/>
          <w:lang w:eastAsia="ko-KR"/>
        </w:rPr>
        <w:t>클로랄</w:t>
      </w:r>
      <w:proofErr w:type="spellEnd"/>
      <w:r w:rsidRPr="00F2098E">
        <w:rPr>
          <w:rFonts w:asciiTheme="minorEastAsia" w:hAnsiTheme="minorEastAsia"/>
          <w:sz w:val="20"/>
          <w:szCs w:val="20"/>
          <w:lang w:eastAsia="ko-KR"/>
        </w:rPr>
        <w:t xml:space="preserve"> </w:t>
      </w:r>
      <w:proofErr w:type="spellStart"/>
      <w:r w:rsidRPr="00F2098E">
        <w:rPr>
          <w:rFonts w:asciiTheme="minorEastAsia" w:hAnsiTheme="minorEastAsia"/>
          <w:sz w:val="20"/>
          <w:szCs w:val="20"/>
          <w:lang w:eastAsia="ko-KR"/>
        </w:rPr>
        <w:t>하이드레이트</w:t>
      </w:r>
      <w:proofErr w:type="spellEnd"/>
      <w:r w:rsidRPr="00F2098E">
        <w:rPr>
          <w:rFonts w:asciiTheme="minorEastAsia" w:hAnsiTheme="minorEastAsia"/>
          <w:sz w:val="20"/>
          <w:szCs w:val="20"/>
          <w:lang w:eastAsia="ko-KR"/>
        </w:rPr>
        <w:t xml:space="preserve">(chloral hydrate)가, 20세기 초 </w:t>
      </w:r>
      <w:proofErr w:type="spellStart"/>
      <w:r w:rsidRPr="00F2098E">
        <w:rPr>
          <w:rFonts w:asciiTheme="minorEastAsia" w:hAnsiTheme="minorEastAsia"/>
          <w:sz w:val="20"/>
          <w:szCs w:val="20"/>
          <w:lang w:eastAsia="ko-KR"/>
        </w:rPr>
        <w:t>바르비투르염</w:t>
      </w:r>
      <w:proofErr w:type="spellEnd"/>
      <w:r w:rsidRPr="00F2098E">
        <w:rPr>
          <w:rFonts w:asciiTheme="minorEastAsia" w:hAnsiTheme="minorEastAsia"/>
          <w:sz w:val="20"/>
          <w:szCs w:val="20"/>
          <w:lang w:eastAsia="ko-KR"/>
        </w:rPr>
        <w:t xml:space="preserve">(barbiturates)과 </w:t>
      </w:r>
      <w:proofErr w:type="spellStart"/>
      <w:r w:rsidRPr="00F2098E">
        <w:rPr>
          <w:rFonts w:asciiTheme="minorEastAsia" w:hAnsiTheme="minorEastAsia"/>
          <w:sz w:val="20"/>
          <w:szCs w:val="20"/>
          <w:lang w:eastAsia="ko-KR"/>
        </w:rPr>
        <w:t>페노바르비탈</w:t>
      </w:r>
      <w:proofErr w:type="spellEnd"/>
      <w:r w:rsidRPr="00F2098E">
        <w:rPr>
          <w:rFonts w:asciiTheme="minorEastAsia" w:hAnsiTheme="minorEastAsia"/>
          <w:sz w:val="20"/>
          <w:szCs w:val="20"/>
          <w:lang w:eastAsia="ko-KR"/>
        </w:rPr>
        <w:t>(phenobarbital)이 개발된 이후에는 이들 진정제가 동일한 목적으로 널리 사용되었다.(Shorter 1997) 그러나 이들 약물은 치료 지수(therapeutic index)가 낮아 심각한 부작용과 생명 위협을 초래할 수 있었다.</w:t>
      </w:r>
      <w:r w:rsidR="005717CB">
        <w:rPr>
          <w:rFonts w:asciiTheme="minorEastAsia" w:hAnsiTheme="minorEastAsia"/>
          <w:sz w:val="20"/>
          <w:szCs w:val="20"/>
          <w:lang w:eastAsia="ko-KR"/>
        </w:rPr>
        <w:t xml:space="preserve"> (</w:t>
      </w:r>
      <w:r w:rsidR="005717CB" w:rsidRPr="005717CB">
        <w:rPr>
          <w:rFonts w:asciiTheme="minorEastAsia" w:hAnsiTheme="minorEastAsia" w:hint="eastAsia"/>
          <w:color w:val="00B050"/>
          <w:sz w:val="20"/>
          <w:szCs w:val="20"/>
          <w:lang w:eastAsia="ko-KR"/>
        </w:rPr>
        <w:t xml:space="preserve">참고 문헌으로 </w:t>
      </w:r>
      <w:r w:rsidR="005717CB" w:rsidRPr="005717CB">
        <w:rPr>
          <w:rFonts w:asciiTheme="minorEastAsia" w:hAnsiTheme="minorEastAsia"/>
          <w:color w:val="00B050"/>
          <w:sz w:val="20"/>
          <w:szCs w:val="20"/>
          <w:lang w:eastAsia="ko-KR"/>
        </w:rPr>
        <w:t>Healy, D. (2002).</w:t>
      </w:r>
      <w:r w:rsidR="005717CB" w:rsidRPr="005717CB">
        <w:rPr>
          <w:rFonts w:asciiTheme="minorEastAsia" w:hAnsiTheme="minorEastAsia"/>
          <w:color w:val="00B050"/>
          <w:sz w:val="20"/>
          <w:szCs w:val="20"/>
          <w:lang w:eastAsia="ko-KR"/>
        </w:rPr>
        <w:t xml:space="preserve"> </w:t>
      </w:r>
      <w:r w:rsidR="005717CB" w:rsidRPr="005717CB">
        <w:rPr>
          <w:rFonts w:asciiTheme="minorEastAsia" w:hAnsiTheme="minorEastAsia"/>
          <w:color w:val="00B050"/>
          <w:sz w:val="20"/>
          <w:szCs w:val="20"/>
          <w:lang w:eastAsia="ko-KR"/>
        </w:rPr>
        <w:t>The creation of psychopharmacology.</w:t>
      </w:r>
      <w:r w:rsidR="005717CB" w:rsidRPr="005717CB">
        <w:rPr>
          <w:rFonts w:asciiTheme="minorEastAsia" w:hAnsiTheme="minorEastAsia"/>
          <w:color w:val="00B050"/>
          <w:sz w:val="20"/>
          <w:szCs w:val="20"/>
          <w:lang w:eastAsia="ko-KR"/>
        </w:rPr>
        <w:t xml:space="preserve"> </w:t>
      </w:r>
      <w:r w:rsidR="005717CB" w:rsidRPr="005717CB">
        <w:rPr>
          <w:rFonts w:asciiTheme="minorEastAsia" w:hAnsiTheme="minorEastAsia"/>
          <w:color w:val="00B050"/>
          <w:sz w:val="20"/>
          <w:szCs w:val="20"/>
          <w:lang w:eastAsia="ko-KR"/>
        </w:rPr>
        <w:t>Harvard University Press</w:t>
      </w:r>
      <w:r w:rsidR="005717CB" w:rsidRPr="005717CB">
        <w:rPr>
          <w:rFonts w:asciiTheme="minorEastAsia" w:hAnsiTheme="minorEastAsia" w:hint="eastAsia"/>
          <w:color w:val="00B050"/>
          <w:sz w:val="20"/>
          <w:szCs w:val="20"/>
          <w:lang w:eastAsia="ko-KR"/>
        </w:rPr>
        <w:t xml:space="preserve">가 </w:t>
      </w:r>
      <w:r w:rsidR="005717CB">
        <w:rPr>
          <w:rFonts w:asciiTheme="minorEastAsia" w:hAnsiTheme="minorEastAsia" w:hint="eastAsia"/>
          <w:color w:val="00B050"/>
          <w:sz w:val="20"/>
          <w:szCs w:val="20"/>
          <w:lang w:eastAsia="ko-KR"/>
        </w:rPr>
        <w:t xml:space="preserve">추가로 </w:t>
      </w:r>
      <w:r w:rsidR="005717CB" w:rsidRPr="005717CB">
        <w:rPr>
          <w:rFonts w:asciiTheme="minorEastAsia" w:hAnsiTheme="minorEastAsia" w:hint="eastAsia"/>
          <w:color w:val="00B050"/>
          <w:sz w:val="20"/>
          <w:szCs w:val="20"/>
          <w:lang w:eastAsia="ko-KR"/>
        </w:rPr>
        <w:t>들어 가는 것이 좋을 것 같습니다.</w:t>
      </w:r>
      <w:r w:rsidR="005717CB" w:rsidRPr="005717CB">
        <w:rPr>
          <w:rFonts w:asciiTheme="minorEastAsia" w:hAnsiTheme="minorEastAsia"/>
          <w:color w:val="00B050"/>
          <w:sz w:val="20"/>
          <w:szCs w:val="20"/>
          <w:lang w:eastAsia="ko-KR"/>
        </w:rPr>
        <w:t xml:space="preserve"> </w:t>
      </w:r>
      <w:r w:rsidR="005717CB" w:rsidRPr="005717CB">
        <w:rPr>
          <w:rFonts w:asciiTheme="minorEastAsia" w:hAnsiTheme="minorEastAsia" w:hint="eastAsia"/>
          <w:color w:val="00B050"/>
          <w:sz w:val="20"/>
          <w:szCs w:val="20"/>
          <w:highlight w:val="yellow"/>
          <w:lang w:eastAsia="ko-KR"/>
        </w:rPr>
        <w:t>저자: David Healy</w:t>
      </w:r>
      <w:r w:rsidR="005717CB" w:rsidRPr="005717CB">
        <w:rPr>
          <w:rFonts w:asciiTheme="minorEastAsia" w:hAnsiTheme="minorEastAsia"/>
          <w:color w:val="00B050"/>
          <w:sz w:val="20"/>
          <w:szCs w:val="20"/>
          <w:highlight w:val="yellow"/>
          <w:lang w:eastAsia="ko-KR"/>
        </w:rPr>
        <w:t xml:space="preserve"> </w:t>
      </w:r>
      <w:r w:rsidR="005717CB" w:rsidRPr="005717CB">
        <w:rPr>
          <w:rFonts w:asciiTheme="minorEastAsia" w:hAnsiTheme="minorEastAsia" w:hint="eastAsia"/>
          <w:color w:val="00B050"/>
          <w:sz w:val="20"/>
          <w:szCs w:val="20"/>
          <w:highlight w:val="yellow"/>
          <w:lang w:eastAsia="ko-KR"/>
        </w:rPr>
        <w:t>서명: The Psychopharmacological Era: The History of the Science and Business of Psychotropic Drugs (또는 The Creation of Psychopharmacology라는 제목으로도 잘 알려져 있습니다.</w:t>
      </w:r>
      <w:r w:rsidR="005717CB" w:rsidRPr="005717CB">
        <w:rPr>
          <w:rFonts w:asciiTheme="minorEastAsia" w:hAnsiTheme="minorEastAsia"/>
          <w:color w:val="00B050"/>
          <w:sz w:val="20"/>
          <w:szCs w:val="20"/>
          <w:highlight w:val="yellow"/>
          <w:lang w:eastAsia="ko-KR"/>
        </w:rPr>
        <w:t xml:space="preserve"> </w:t>
      </w:r>
      <w:r w:rsidR="005717CB" w:rsidRPr="005717CB">
        <w:rPr>
          <w:rFonts w:asciiTheme="minorEastAsia" w:hAnsiTheme="minorEastAsia" w:hint="eastAsia"/>
          <w:color w:val="00B050"/>
          <w:sz w:val="20"/>
          <w:szCs w:val="20"/>
          <w:highlight w:val="yellow"/>
          <w:lang w:eastAsia="ko-KR"/>
        </w:rPr>
        <w:t>출판사: Harvard University Press</w:t>
      </w:r>
      <w:r w:rsidR="005717CB" w:rsidRPr="005717CB">
        <w:rPr>
          <w:rFonts w:asciiTheme="minorEastAsia" w:hAnsiTheme="minorEastAsia"/>
          <w:color w:val="00B050"/>
          <w:sz w:val="20"/>
          <w:szCs w:val="20"/>
          <w:highlight w:val="yellow"/>
          <w:lang w:eastAsia="ko-KR"/>
        </w:rPr>
        <w:t xml:space="preserve">, </w:t>
      </w:r>
      <w:r w:rsidR="005717CB" w:rsidRPr="005717CB">
        <w:rPr>
          <w:rFonts w:asciiTheme="minorEastAsia" w:hAnsiTheme="minorEastAsia" w:hint="eastAsia"/>
          <w:color w:val="00B050"/>
          <w:sz w:val="20"/>
          <w:szCs w:val="20"/>
          <w:highlight w:val="yellow"/>
          <w:lang w:eastAsia="ko-KR"/>
        </w:rPr>
        <w:t>출판연도: 1997 / 2002</w:t>
      </w:r>
      <w:r w:rsidR="005717CB" w:rsidRPr="005717CB">
        <w:rPr>
          <w:rFonts w:asciiTheme="minorEastAsia" w:hAnsiTheme="minorEastAsia"/>
          <w:color w:val="00B050"/>
          <w:sz w:val="20"/>
          <w:szCs w:val="20"/>
          <w:highlight w:val="yellow"/>
          <w:lang w:eastAsia="ko-KR"/>
        </w:rPr>
        <w:t xml:space="preserve">; </w:t>
      </w:r>
      <w:r w:rsidR="005717CB" w:rsidRPr="005717CB">
        <w:rPr>
          <w:rFonts w:asciiTheme="minorEastAsia" w:hAnsiTheme="minorEastAsia" w:hint="eastAsia"/>
          <w:color w:val="00B050"/>
          <w:sz w:val="20"/>
          <w:szCs w:val="20"/>
          <w:highlight w:val="yellow"/>
          <w:lang w:eastAsia="ko-KR"/>
        </w:rPr>
        <w:t>Healy의 저서 내 관련 내용 및 관점</w:t>
      </w:r>
      <w:r w:rsidR="005717CB" w:rsidRPr="005717CB">
        <w:rPr>
          <w:rFonts w:asciiTheme="minorEastAsia" w:hAnsiTheme="minorEastAsia" w:hint="eastAsia"/>
          <w:color w:val="00B050"/>
          <w:sz w:val="20"/>
          <w:szCs w:val="20"/>
          <w:highlight w:val="yellow"/>
          <w:lang w:eastAsia="ko-KR"/>
        </w:rPr>
        <w:t>:</w:t>
      </w:r>
      <w:r w:rsidR="005717CB" w:rsidRPr="005717CB">
        <w:rPr>
          <w:rFonts w:asciiTheme="minorEastAsia" w:hAnsiTheme="minorEastAsia"/>
          <w:color w:val="00B050"/>
          <w:sz w:val="20"/>
          <w:szCs w:val="20"/>
          <w:highlight w:val="yellow"/>
          <w:lang w:eastAsia="ko-KR"/>
        </w:rPr>
        <w:t xml:space="preserve"> </w:t>
      </w:r>
      <w:r w:rsidR="005717CB" w:rsidRPr="005717CB">
        <w:rPr>
          <w:rFonts w:asciiTheme="minorEastAsia" w:hAnsiTheme="minorEastAsia" w:hint="eastAsia"/>
          <w:color w:val="00B050"/>
          <w:sz w:val="20"/>
          <w:szCs w:val="20"/>
          <w:highlight w:val="yellow"/>
          <w:lang w:eastAsia="ko-KR"/>
        </w:rPr>
        <w:t>초기 약물의 독성(Toxicity)과 치료 지수:</w:t>
      </w:r>
      <w:r w:rsidR="005717CB" w:rsidRPr="005717CB">
        <w:rPr>
          <w:rFonts w:asciiTheme="minorEastAsia" w:hAnsiTheme="minorEastAsia"/>
          <w:color w:val="00B050"/>
          <w:sz w:val="20"/>
          <w:szCs w:val="20"/>
          <w:highlight w:val="yellow"/>
          <w:lang w:eastAsia="ko-KR"/>
        </w:rPr>
        <w:t xml:space="preserve"> </w:t>
      </w:r>
      <w:proofErr w:type="spellStart"/>
      <w:r w:rsidR="005717CB" w:rsidRPr="005717CB">
        <w:rPr>
          <w:rFonts w:asciiTheme="minorEastAsia" w:hAnsiTheme="minorEastAsia" w:hint="eastAsia"/>
          <w:color w:val="00B050"/>
          <w:sz w:val="20"/>
          <w:szCs w:val="20"/>
          <w:highlight w:val="yellow"/>
          <w:lang w:eastAsia="ko-KR"/>
        </w:rPr>
        <w:t>힐리는</w:t>
      </w:r>
      <w:proofErr w:type="spellEnd"/>
      <w:r w:rsidR="005717CB" w:rsidRPr="005717CB">
        <w:rPr>
          <w:rFonts w:asciiTheme="minorEastAsia" w:hAnsiTheme="minorEastAsia" w:hint="eastAsia"/>
          <w:color w:val="00B050"/>
          <w:sz w:val="20"/>
          <w:szCs w:val="20"/>
          <w:highlight w:val="yellow"/>
          <w:lang w:eastAsia="ko-KR"/>
        </w:rPr>
        <w:t xml:space="preserve"> 이 저서에서 19세기와 20세기 초반에 사용된 브롬화물(Bromides)과 </w:t>
      </w:r>
      <w:proofErr w:type="spellStart"/>
      <w:r w:rsidR="005717CB" w:rsidRPr="005717CB">
        <w:rPr>
          <w:rFonts w:asciiTheme="minorEastAsia" w:hAnsiTheme="minorEastAsia" w:hint="eastAsia"/>
          <w:color w:val="00B050"/>
          <w:sz w:val="20"/>
          <w:szCs w:val="20"/>
          <w:highlight w:val="yellow"/>
          <w:lang w:eastAsia="ko-KR"/>
        </w:rPr>
        <w:t>바르비투르염</w:t>
      </w:r>
      <w:proofErr w:type="spellEnd"/>
      <w:r w:rsidR="005717CB" w:rsidRPr="005717CB">
        <w:rPr>
          <w:rFonts w:asciiTheme="minorEastAsia" w:hAnsiTheme="minorEastAsia" w:hint="eastAsia"/>
          <w:color w:val="00B050"/>
          <w:sz w:val="20"/>
          <w:szCs w:val="20"/>
          <w:highlight w:val="yellow"/>
          <w:lang w:eastAsia="ko-KR"/>
        </w:rPr>
        <w:t>(Barbiturates)의 위험성을 역사적으로 기술합니다.</w:t>
      </w:r>
      <w:r w:rsidR="005717CB" w:rsidRPr="005717CB">
        <w:rPr>
          <w:rFonts w:asciiTheme="minorEastAsia" w:hAnsiTheme="minorEastAsia"/>
          <w:color w:val="00B050"/>
          <w:sz w:val="20"/>
          <w:szCs w:val="20"/>
          <w:highlight w:val="yellow"/>
          <w:lang w:eastAsia="ko-KR"/>
        </w:rPr>
        <w:t xml:space="preserve"> </w:t>
      </w:r>
      <w:r w:rsidR="005717CB" w:rsidRPr="005717CB">
        <w:rPr>
          <w:rFonts w:asciiTheme="minorEastAsia" w:hAnsiTheme="minorEastAsia" w:hint="eastAsia"/>
          <w:color w:val="00B050"/>
          <w:sz w:val="20"/>
          <w:szCs w:val="20"/>
          <w:highlight w:val="yellow"/>
          <w:lang w:eastAsia="ko-KR"/>
        </w:rPr>
        <w:t xml:space="preserve">특히 </w:t>
      </w:r>
      <w:proofErr w:type="spellStart"/>
      <w:r w:rsidR="005717CB" w:rsidRPr="005717CB">
        <w:rPr>
          <w:rFonts w:asciiTheme="minorEastAsia" w:hAnsiTheme="minorEastAsia" w:hint="eastAsia"/>
          <w:color w:val="00B050"/>
          <w:sz w:val="20"/>
          <w:szCs w:val="20"/>
          <w:highlight w:val="yellow"/>
          <w:lang w:eastAsia="ko-KR"/>
        </w:rPr>
        <w:t>바르비투르염이</w:t>
      </w:r>
      <w:proofErr w:type="spellEnd"/>
      <w:r w:rsidR="005717CB" w:rsidRPr="005717CB">
        <w:rPr>
          <w:rFonts w:asciiTheme="minorEastAsia" w:hAnsiTheme="minorEastAsia" w:hint="eastAsia"/>
          <w:color w:val="00B050"/>
          <w:sz w:val="20"/>
          <w:szCs w:val="20"/>
          <w:highlight w:val="yellow"/>
          <w:lang w:eastAsia="ko-KR"/>
        </w:rPr>
        <w:t xml:space="preserve"> 도입되었을 때, 그것이 "안전한 진정제"로 홍보되었으나 실제로는 치료 지수가 매우 낮아(Narrow Therapeutic Window) 수많은 중독과 자살, 사고사를 초래했음을 날카롭게 지적합니다.</w:t>
      </w:r>
      <w:r w:rsidR="005717CB" w:rsidRPr="005717CB">
        <w:rPr>
          <w:rFonts w:asciiTheme="minorEastAsia" w:hAnsiTheme="minorEastAsia"/>
          <w:color w:val="00B050"/>
          <w:sz w:val="20"/>
          <w:szCs w:val="20"/>
          <w:highlight w:val="yellow"/>
          <w:lang w:eastAsia="ko-KR"/>
        </w:rPr>
        <w:t xml:space="preserve"> </w:t>
      </w:r>
      <w:r w:rsidR="005717CB" w:rsidRPr="005717CB">
        <w:rPr>
          <w:rFonts w:asciiTheme="minorEastAsia" w:hAnsiTheme="minorEastAsia" w:hint="eastAsia"/>
          <w:color w:val="00B050"/>
          <w:sz w:val="20"/>
          <w:szCs w:val="20"/>
          <w:highlight w:val="yellow"/>
          <w:lang w:eastAsia="ko-KR"/>
        </w:rPr>
        <w:t>치료 패러다임의 변화:</w:t>
      </w:r>
      <w:r w:rsidR="005717CB" w:rsidRPr="005717CB">
        <w:rPr>
          <w:rFonts w:asciiTheme="minorEastAsia" w:hAnsiTheme="minorEastAsia"/>
          <w:color w:val="00B050"/>
          <w:sz w:val="20"/>
          <w:szCs w:val="20"/>
          <w:highlight w:val="yellow"/>
          <w:lang w:eastAsia="ko-KR"/>
        </w:rPr>
        <w:t xml:space="preserve"> </w:t>
      </w:r>
      <w:proofErr w:type="spellStart"/>
      <w:r w:rsidR="005717CB" w:rsidRPr="005717CB">
        <w:rPr>
          <w:rFonts w:asciiTheme="minorEastAsia" w:hAnsiTheme="minorEastAsia" w:hint="eastAsia"/>
          <w:color w:val="00B050"/>
          <w:sz w:val="20"/>
          <w:szCs w:val="20"/>
          <w:highlight w:val="yellow"/>
          <w:lang w:eastAsia="ko-KR"/>
        </w:rPr>
        <w:t>힐리는</w:t>
      </w:r>
      <w:proofErr w:type="spellEnd"/>
      <w:r w:rsidR="005717CB" w:rsidRPr="005717CB">
        <w:rPr>
          <w:rFonts w:asciiTheme="minorEastAsia" w:hAnsiTheme="minorEastAsia" w:hint="eastAsia"/>
          <w:color w:val="00B050"/>
          <w:sz w:val="20"/>
          <w:szCs w:val="20"/>
          <w:highlight w:val="yellow"/>
          <w:lang w:eastAsia="ko-KR"/>
        </w:rPr>
        <w:t xml:space="preserve"> 이러한 위험한 약물들(치료 지수가 낮은 약물들)이 지배하던 시대에서, 1950년대 </w:t>
      </w:r>
      <w:proofErr w:type="spellStart"/>
      <w:r w:rsidR="005717CB" w:rsidRPr="005717CB">
        <w:rPr>
          <w:rFonts w:asciiTheme="minorEastAsia" w:hAnsiTheme="minorEastAsia" w:hint="eastAsia"/>
          <w:color w:val="00B050"/>
          <w:sz w:val="20"/>
          <w:szCs w:val="20"/>
          <w:highlight w:val="yellow"/>
          <w:lang w:eastAsia="ko-KR"/>
        </w:rPr>
        <w:t>클로르프로마진</w:t>
      </w:r>
      <w:proofErr w:type="spellEnd"/>
      <w:r w:rsidR="005717CB" w:rsidRPr="005717CB">
        <w:rPr>
          <w:rFonts w:asciiTheme="minorEastAsia" w:hAnsiTheme="minorEastAsia" w:hint="eastAsia"/>
          <w:color w:val="00B050"/>
          <w:sz w:val="20"/>
          <w:szCs w:val="20"/>
          <w:highlight w:val="yellow"/>
          <w:lang w:eastAsia="ko-KR"/>
        </w:rPr>
        <w:t>(Chlorpromazine) 같은 항정신병 약물이 등장하며 어떻게 '치료 지수가 상대적으로 높은' 약물로 패러다임이 전환되었는지를 분석합니다</w:t>
      </w:r>
      <w:r w:rsidR="005717CB">
        <w:rPr>
          <w:rFonts w:asciiTheme="minorEastAsia" w:hAnsiTheme="minorEastAsia" w:hint="eastAsia"/>
          <w:sz w:val="20"/>
          <w:szCs w:val="20"/>
          <w:lang w:eastAsia="ko-KR"/>
        </w:rPr>
        <w:t>)</w:t>
      </w:r>
    </w:p>
    <w:p w14:paraId="75D6C174" w14:textId="77777777" w:rsidR="00A00B40"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1950년대 항정신병 약물이 도입되면서 약물 사용이 상대적으로 </w:t>
      </w:r>
      <w:proofErr w:type="spellStart"/>
      <w:r w:rsidRPr="00F2098E">
        <w:rPr>
          <w:rFonts w:asciiTheme="minorEastAsia" w:hAnsiTheme="minorEastAsia"/>
          <w:sz w:val="20"/>
          <w:szCs w:val="20"/>
          <w:lang w:eastAsia="ko-KR"/>
        </w:rPr>
        <w:t>안전해졌고</w:t>
      </w:r>
      <w:proofErr w:type="spellEnd"/>
      <w:r w:rsidRPr="00F2098E">
        <w:rPr>
          <w:rFonts w:asciiTheme="minorEastAsia" w:hAnsiTheme="minorEastAsia"/>
          <w:sz w:val="20"/>
          <w:szCs w:val="20"/>
          <w:lang w:eastAsia="ko-KR"/>
        </w:rPr>
        <w:t xml:space="preserve">, 정신과 치료에 상존하던 물리적 구속을 일부 대체할 수 있게 되었다. 그러나 더 안전한 약물이 도입되었다고 해서 강압적 치료에 대한 윤리적 논란이 사라진 것은 아니었다. 1960–70년대에 들어 반정신의학 및 환자권리운동의 영향으로 정신장애인의 인권에 대한 사회적 인식이 커졌고, 이는 비자의적 입원과 강압적 치료를 법적으로 제한하려는 흐름으로 이어졌다.(Richter 2024) 1990년대 후반 비정형 항정신병 약물이 임상에 광범위하게 </w:t>
      </w:r>
      <w:r w:rsidRPr="00F2098E">
        <w:rPr>
          <w:rFonts w:asciiTheme="minorEastAsia" w:hAnsiTheme="minorEastAsia"/>
          <w:sz w:val="20"/>
          <w:szCs w:val="20"/>
          <w:lang w:eastAsia="ko-KR"/>
        </w:rPr>
        <w:lastRenderedPageBreak/>
        <w:t>도입되면서 약물 선택의 범위가 훨씬 확대되는 듯했으나, 새로운 부작용과 비용 문제는 여전히 남았다.(Currier 2000)</w:t>
      </w:r>
    </w:p>
    <w:p w14:paraId="45C10D3E" w14:textId="77777777" w:rsidR="00414C90" w:rsidRDefault="00414C90" w:rsidP="00414C90">
      <w:pPr>
        <w:pStyle w:val="a0"/>
        <w:jc w:val="both"/>
        <w:rPr>
          <w:rFonts w:asciiTheme="minorEastAsia" w:hAnsiTheme="minorEastAsia"/>
          <w:sz w:val="20"/>
          <w:szCs w:val="20"/>
          <w:lang w:eastAsia="ko-KR"/>
        </w:rPr>
      </w:pPr>
      <w:r>
        <w:rPr>
          <w:rFonts w:asciiTheme="minorEastAsia" w:hAnsiTheme="minorEastAsia" w:hint="eastAsia"/>
          <w:sz w:val="20"/>
          <w:szCs w:val="20"/>
          <w:lang w:eastAsia="ko-KR"/>
        </w:rPr>
        <w:t>(참고:</w:t>
      </w:r>
      <w:r>
        <w:rPr>
          <w:rFonts w:asciiTheme="minorEastAsia" w:hAnsiTheme="minorEastAsia"/>
          <w:sz w:val="20"/>
          <w:szCs w:val="20"/>
          <w:lang w:eastAsia="ko-KR"/>
        </w:rPr>
        <w:t xml:space="preserve"> </w:t>
      </w:r>
      <w:r w:rsidRPr="00F2098E">
        <w:rPr>
          <w:rFonts w:asciiTheme="minorEastAsia" w:hAnsiTheme="minorEastAsia"/>
          <w:sz w:val="20"/>
          <w:szCs w:val="20"/>
          <w:lang w:eastAsia="ko-KR"/>
        </w:rPr>
        <w:t>Richter 2024</w:t>
      </w:r>
      <w:r>
        <w:rPr>
          <w:rFonts w:asciiTheme="minorEastAsia" w:hAnsiTheme="minorEastAsia" w:hint="eastAsia"/>
          <w:sz w:val="20"/>
          <w:szCs w:val="20"/>
          <w:lang w:eastAsia="ko-KR"/>
        </w:rPr>
        <w:t xml:space="preserve">를 </w:t>
      </w:r>
    </w:p>
    <w:p w14:paraId="6143F448" w14:textId="77777777" w:rsidR="00414C90" w:rsidRDefault="00414C90" w:rsidP="00414C90">
      <w:pPr>
        <w:pStyle w:val="a0"/>
        <w:jc w:val="both"/>
        <w:rPr>
          <w:rFonts w:asciiTheme="minorEastAsia" w:hAnsiTheme="minorEastAsia"/>
          <w:sz w:val="20"/>
          <w:szCs w:val="20"/>
          <w:lang w:eastAsia="ko-KR"/>
        </w:rPr>
      </w:pPr>
      <w:r>
        <w:rPr>
          <w:rFonts w:asciiTheme="minorEastAsia" w:hAnsiTheme="minorEastAsia" w:hint="eastAsia"/>
          <w:sz w:val="20"/>
          <w:szCs w:val="20"/>
          <w:lang w:eastAsia="ko-KR"/>
        </w:rPr>
        <w:t>다음 저서로 대체는?</w:t>
      </w:r>
      <w:r>
        <w:rPr>
          <w:rFonts w:asciiTheme="minorEastAsia" w:hAnsiTheme="minorEastAsia"/>
          <w:sz w:val="20"/>
          <w:szCs w:val="20"/>
          <w:lang w:eastAsia="ko-KR"/>
        </w:rPr>
        <w:t>?</w:t>
      </w:r>
    </w:p>
    <w:p w14:paraId="05F75CAB" w14:textId="09F042EB" w:rsidR="00414C90" w:rsidRPr="00414C90" w:rsidRDefault="00414C90" w:rsidP="00414C90">
      <w:pPr>
        <w:pStyle w:val="a0"/>
        <w:jc w:val="both"/>
        <w:rPr>
          <w:rFonts w:asciiTheme="minorEastAsia" w:hAnsiTheme="minorEastAsia"/>
          <w:color w:val="00B050"/>
          <w:sz w:val="20"/>
          <w:szCs w:val="20"/>
          <w:lang w:eastAsia="ko-KR"/>
        </w:rPr>
      </w:pPr>
      <w:r w:rsidRPr="00414C90">
        <w:rPr>
          <w:rFonts w:asciiTheme="minorEastAsia" w:hAnsiTheme="minorEastAsia"/>
          <w:color w:val="00B050"/>
          <w:sz w:val="20"/>
          <w:szCs w:val="20"/>
          <w:lang w:eastAsia="ko-KR"/>
        </w:rPr>
        <w:t>Human Rights in Psychiatry: Prospects and Dilemmas of Abolishing Coercion in Mental Health Care</w:t>
      </w:r>
      <w:r w:rsidRPr="00414C90">
        <w:rPr>
          <w:rFonts w:asciiTheme="minorEastAsia" w:hAnsiTheme="minorEastAsia"/>
          <w:color w:val="00B050"/>
          <w:sz w:val="20"/>
          <w:szCs w:val="20"/>
          <w:lang w:eastAsia="ko-KR"/>
        </w:rPr>
        <w:t xml:space="preserve"> </w:t>
      </w:r>
      <w:r w:rsidRPr="00414C90">
        <w:rPr>
          <w:rFonts w:asciiTheme="minorEastAsia" w:hAnsiTheme="minorEastAsia"/>
          <w:color w:val="00B050"/>
          <w:sz w:val="20"/>
          <w:szCs w:val="20"/>
          <w:lang w:eastAsia="ko-KR"/>
        </w:rPr>
        <w:t>Dirk Richter</w:t>
      </w:r>
      <w:r w:rsidRPr="00414C90">
        <w:rPr>
          <w:rFonts w:asciiTheme="minorEastAsia" w:hAnsiTheme="minorEastAsia"/>
          <w:color w:val="00B050"/>
          <w:sz w:val="20"/>
          <w:szCs w:val="20"/>
          <w:lang w:eastAsia="ko-KR"/>
        </w:rPr>
        <w:t xml:space="preserve"> </w:t>
      </w:r>
      <w:r w:rsidRPr="00414C90">
        <w:rPr>
          <w:rFonts w:asciiTheme="minorEastAsia" w:hAnsiTheme="minorEastAsia"/>
          <w:color w:val="00B050"/>
          <w:sz w:val="20"/>
          <w:szCs w:val="20"/>
          <w:lang w:eastAsia="ko-KR"/>
        </w:rPr>
        <w:t xml:space="preserve">Cham: Springer Nature Switzerland (2025)   </w:t>
      </w:r>
    </w:p>
    <w:p w14:paraId="7DAABB9F" w14:textId="77777777" w:rsidR="00414C90" w:rsidRPr="00414C90" w:rsidRDefault="00414C90" w:rsidP="00414C90">
      <w:pPr>
        <w:pStyle w:val="a0"/>
        <w:jc w:val="both"/>
        <w:rPr>
          <w:rFonts w:asciiTheme="minorEastAsia" w:hAnsiTheme="minorEastAsia"/>
          <w:color w:val="00B050"/>
          <w:sz w:val="20"/>
          <w:szCs w:val="20"/>
          <w:highlight w:val="yellow"/>
          <w:lang w:eastAsia="ko-KR"/>
        </w:rPr>
      </w:pPr>
      <w:r w:rsidRPr="00414C90">
        <w:rPr>
          <w:rFonts w:asciiTheme="minorEastAsia" w:hAnsiTheme="minorEastAsia"/>
          <w:color w:val="00B050"/>
          <w:sz w:val="20"/>
          <w:szCs w:val="20"/>
          <w:highlight w:val="yellow"/>
          <w:lang w:eastAsia="ko-KR"/>
        </w:rPr>
        <w:t>Abstract</w:t>
      </w:r>
    </w:p>
    <w:p w14:paraId="4A24487B" w14:textId="6618C889" w:rsidR="00414C90" w:rsidRDefault="00414C90" w:rsidP="00414C90">
      <w:pPr>
        <w:pStyle w:val="a0"/>
        <w:jc w:val="both"/>
        <w:rPr>
          <w:rFonts w:asciiTheme="minorEastAsia" w:hAnsiTheme="minorEastAsia"/>
          <w:sz w:val="20"/>
          <w:szCs w:val="20"/>
          <w:lang w:eastAsia="ko-KR"/>
        </w:rPr>
      </w:pPr>
      <w:r w:rsidRPr="00414C90">
        <w:rPr>
          <w:rFonts w:asciiTheme="minorEastAsia" w:hAnsiTheme="minorEastAsia"/>
          <w:color w:val="00B050"/>
          <w:sz w:val="20"/>
          <w:szCs w:val="20"/>
          <w:highlight w:val="yellow"/>
          <w:lang w:eastAsia="ko-KR"/>
        </w:rPr>
        <w:t>The book describes the ethical lines of conflict, shows why coercion can no longer be justified and analyzes the consequences and dilemmas of a possible abolition of coercive measures in psychiatric care. The use of coercion in mental health care is one of the most controversial topics in psychiatric nursing and psychiatry. The conflict line centers around the UN-Convention in the Rights of People with Disabilities (CRPD). Advocates of the CRPD are pushing for the complete abolition of coercion while opponents see central medical and legal aspects of care for people with mental health problems at risk. Clinicians in conventional psychiatry, including many mental health nurses, primarily justify these measures because of the assumed benefits of coercion-associated care and with the argument that many people affected are unable to make appropriate decisions for their own health in a crisis situation. This argument also applies to human rights, for example by basing coercive measures in the event of suicidality on the right to life. Three central topics are developed in the book.</w:t>
      </w:r>
      <w:r w:rsidRPr="00414C90">
        <w:rPr>
          <w:rFonts w:asciiTheme="minorEastAsia" w:hAnsiTheme="minorEastAsia"/>
          <w:color w:val="00B050"/>
          <w:sz w:val="20"/>
          <w:szCs w:val="20"/>
          <w:lang w:eastAsia="ko-KR"/>
        </w:rPr>
        <w:t xml:space="preserve"> </w:t>
      </w:r>
      <w:r w:rsidRPr="00414C90">
        <w:rPr>
          <w:rFonts w:asciiTheme="minorEastAsia" w:hAnsiTheme="minorEastAsia"/>
          <w:b/>
          <w:bCs/>
          <w:color w:val="00B050"/>
          <w:sz w:val="20"/>
          <w:szCs w:val="20"/>
          <w:lang w:eastAsia="ko-KR"/>
        </w:rPr>
        <w:t xml:space="preserve">First, it is shown that psychiatric coercion can no longer be justified because the current practice of psychiatric care does not meet the </w:t>
      </w:r>
      <w:proofErr w:type="spellStart"/>
      <w:r w:rsidRPr="00414C90">
        <w:rPr>
          <w:rFonts w:asciiTheme="minorEastAsia" w:hAnsiTheme="minorEastAsia"/>
          <w:b/>
          <w:bCs/>
          <w:color w:val="00B050"/>
          <w:sz w:val="20"/>
          <w:szCs w:val="20"/>
          <w:lang w:eastAsia="ko-KR"/>
        </w:rPr>
        <w:t>ethico</w:t>
      </w:r>
      <w:proofErr w:type="spellEnd"/>
      <w:r w:rsidRPr="00414C90">
        <w:rPr>
          <w:rFonts w:asciiTheme="minorEastAsia" w:hAnsiTheme="minorEastAsia"/>
          <w:b/>
          <w:bCs/>
          <w:color w:val="00B050"/>
          <w:sz w:val="20"/>
          <w:szCs w:val="20"/>
          <w:lang w:eastAsia="ko-KR"/>
        </w:rPr>
        <w:t>-legal requirements for the use of coercion. Second, a human rights-based approach of psychiatric care is outlined, which is fundamentally based on the will and preferences of people with mental health problems. Third, the consequences and dilemmas are indicated, e.g., the issue of how to deal with suicidality or dementia without the use of coercion</w:t>
      </w:r>
      <w:r w:rsidRPr="00414C90">
        <w:rPr>
          <w:rFonts w:asciiTheme="minorEastAsia" w:hAnsiTheme="minorEastAsia"/>
          <w:color w:val="00B050"/>
          <w:sz w:val="20"/>
          <w:szCs w:val="20"/>
          <w:lang w:eastAsia="ko-KR"/>
        </w:rPr>
        <w:t>. This book is aimed to receive a specific attention from the psychiatric nursing community</w:t>
      </w:r>
      <w:r w:rsidRPr="00414C90">
        <w:rPr>
          <w:rFonts w:asciiTheme="minorEastAsia" w:hAnsiTheme="minorEastAsia"/>
          <w:sz w:val="20"/>
          <w:szCs w:val="20"/>
          <w:lang w:eastAsia="ko-KR"/>
        </w:rPr>
        <w:t>.</w:t>
      </w:r>
      <w:r>
        <w:rPr>
          <w:rFonts w:asciiTheme="minorEastAsia" w:hAnsiTheme="minorEastAsia"/>
          <w:sz w:val="20"/>
          <w:szCs w:val="20"/>
          <w:lang w:eastAsia="ko-KR"/>
        </w:rPr>
        <w:t>)</w:t>
      </w:r>
    </w:p>
    <w:p w14:paraId="19D44D92" w14:textId="77777777" w:rsidR="00414C90" w:rsidRPr="00414C90" w:rsidRDefault="00414C90" w:rsidP="00414C90">
      <w:pPr>
        <w:pStyle w:val="a0"/>
        <w:jc w:val="both"/>
        <w:rPr>
          <w:rFonts w:asciiTheme="minorEastAsia" w:hAnsiTheme="minorEastAsia" w:hint="eastAsia"/>
          <w:sz w:val="20"/>
          <w:szCs w:val="20"/>
          <w:lang w:eastAsia="ko-KR"/>
        </w:rPr>
      </w:pPr>
    </w:p>
    <w:p w14:paraId="4AC885DD"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5" w:name="급속-진정과-화학적-강박"/>
      <w:bookmarkEnd w:id="4"/>
      <w:r w:rsidRPr="00F2098E">
        <w:rPr>
          <w:rFonts w:asciiTheme="minorEastAsia" w:eastAsiaTheme="minorEastAsia" w:hAnsiTheme="minorEastAsia"/>
          <w:sz w:val="20"/>
          <w:szCs w:val="20"/>
          <w:lang w:eastAsia="ko-KR"/>
        </w:rPr>
        <w:t>급속 진정과 화학적 강박</w:t>
      </w:r>
    </w:p>
    <w:p w14:paraId="09C43965"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화학적 강박은 다른 말로 “급속 진정(rapid tranquilization)”이라고도 불리며 실질적으로 동일한 절차를 가리키지만, 그것이 의도한 치료적 목적과 용어가 주는 어감은 큰 차이가 있다.(Allison and Moncrieff 2014) 급속 진정은 급성 초조나 폭력 위험을 빠르게 완화하기 위한 의학적 수단이라는 의미로 사용된 반면, 화학적 강박은 환자의 행동을 통제하거나 이동의 자유를 제한하는 구속적 절차의 의미로 사용되었다. 즉 전자는 의료적 목적과 선의를 강조하지만, 후자는 의도와는 다르게 기본권 제한과 자율성 침해 측면을 부각시킨다.</w:t>
      </w:r>
    </w:p>
    <w:p w14:paraId="47DA7D75"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lastRenderedPageBreak/>
        <w:t>“급속 진정”이라는 용어는 1971년 폴락(</w:t>
      </w:r>
      <w:proofErr w:type="spellStart"/>
      <w:r w:rsidRPr="00F2098E">
        <w:rPr>
          <w:rFonts w:asciiTheme="minorEastAsia" w:hAnsiTheme="minorEastAsia"/>
          <w:sz w:val="20"/>
          <w:szCs w:val="20"/>
          <w:lang w:eastAsia="ko-KR"/>
        </w:rPr>
        <w:t>Polak</w:t>
      </w:r>
      <w:proofErr w:type="spellEnd"/>
      <w:r w:rsidRPr="00F2098E">
        <w:rPr>
          <w:rFonts w:asciiTheme="minorEastAsia" w:hAnsiTheme="minorEastAsia"/>
          <w:sz w:val="20"/>
          <w:szCs w:val="20"/>
          <w:lang w:eastAsia="ko-KR"/>
        </w:rPr>
        <w:t xml:space="preserve">)과 </w:t>
      </w:r>
      <w:proofErr w:type="spellStart"/>
      <w:r w:rsidRPr="00F2098E">
        <w:rPr>
          <w:rFonts w:asciiTheme="minorEastAsia" w:hAnsiTheme="minorEastAsia"/>
          <w:sz w:val="20"/>
          <w:szCs w:val="20"/>
          <w:lang w:eastAsia="ko-KR"/>
        </w:rPr>
        <w:t>레이콥</w:t>
      </w:r>
      <w:proofErr w:type="spellEnd"/>
      <w:r w:rsidRPr="00F2098E">
        <w:rPr>
          <w:rFonts w:asciiTheme="minorEastAsia" w:hAnsiTheme="minorEastAsia"/>
          <w:sz w:val="20"/>
          <w:szCs w:val="20"/>
          <w:lang w:eastAsia="ko-KR"/>
        </w:rPr>
        <w:t>(</w:t>
      </w:r>
      <w:proofErr w:type="spellStart"/>
      <w:r w:rsidRPr="00F2098E">
        <w:rPr>
          <w:rFonts w:asciiTheme="minorEastAsia" w:hAnsiTheme="minorEastAsia"/>
          <w:sz w:val="20"/>
          <w:szCs w:val="20"/>
          <w:lang w:eastAsia="ko-KR"/>
        </w:rPr>
        <w:t>Laycob</w:t>
      </w:r>
      <w:proofErr w:type="spellEnd"/>
      <w:r w:rsidRPr="00F2098E">
        <w:rPr>
          <w:rFonts w:asciiTheme="minorEastAsia" w:hAnsiTheme="minorEastAsia"/>
          <w:sz w:val="20"/>
          <w:szCs w:val="20"/>
          <w:lang w:eastAsia="ko-KR"/>
        </w:rPr>
        <w:t xml:space="preserve">)이 급성 조현병 환자에게 </w:t>
      </w:r>
      <w:proofErr w:type="spellStart"/>
      <w:r w:rsidRPr="00F2098E">
        <w:rPr>
          <w:rFonts w:asciiTheme="minorEastAsia" w:hAnsiTheme="minorEastAsia"/>
          <w:sz w:val="20"/>
          <w:szCs w:val="20"/>
          <w:lang w:eastAsia="ko-KR"/>
        </w:rPr>
        <w:t>클로르프로마진을</w:t>
      </w:r>
      <w:proofErr w:type="spellEnd"/>
      <w:r w:rsidRPr="00F2098E">
        <w:rPr>
          <w:rFonts w:asciiTheme="minorEastAsia" w:hAnsiTheme="minorEastAsia"/>
          <w:sz w:val="20"/>
          <w:szCs w:val="20"/>
          <w:lang w:eastAsia="ko-KR"/>
        </w:rPr>
        <w:t xml:space="preserve"> 고용량으로 투여하여 6시간 만에 진정시킨 사례를 보고한 데서 비롯되었다.(POLAK and LAYCOB 1971) 이후 이 진정 효과가 항정신병 효과의 일부로서 궁극적 회복을 앞당기는 것인지, 그저 약물의 </w:t>
      </w:r>
      <w:proofErr w:type="spellStart"/>
      <w:r w:rsidRPr="00F2098E">
        <w:rPr>
          <w:rFonts w:asciiTheme="minorEastAsia" w:hAnsiTheme="minorEastAsia"/>
          <w:sz w:val="20"/>
          <w:szCs w:val="20"/>
          <w:lang w:eastAsia="ko-KR"/>
        </w:rPr>
        <w:t>비특이적</w:t>
      </w:r>
      <w:proofErr w:type="spellEnd"/>
      <w:r w:rsidRPr="00F2098E">
        <w:rPr>
          <w:rFonts w:asciiTheme="minorEastAsia" w:hAnsiTheme="minorEastAsia"/>
          <w:sz w:val="20"/>
          <w:szCs w:val="20"/>
          <w:lang w:eastAsia="ko-KR"/>
        </w:rPr>
        <w:t xml:space="preserve"> 진정 작용에 불과한지에 대한 논쟁이 지속되었다.(CURRIER 2003) 일부 학자들은 항정신병 약물의 안정화 효과를 그저 “화학적인 </w:t>
      </w:r>
      <w:proofErr w:type="spellStart"/>
      <w:r w:rsidRPr="00F2098E">
        <w:rPr>
          <w:rFonts w:asciiTheme="minorEastAsia" w:hAnsiTheme="minorEastAsia"/>
          <w:sz w:val="20"/>
          <w:szCs w:val="20"/>
          <w:lang w:eastAsia="ko-KR"/>
        </w:rPr>
        <w:t>구속복</w:t>
      </w:r>
      <w:proofErr w:type="spellEnd"/>
      <w:r w:rsidRPr="00F2098E">
        <w:rPr>
          <w:rFonts w:asciiTheme="minorEastAsia" w:hAnsiTheme="minorEastAsia"/>
          <w:sz w:val="20"/>
          <w:szCs w:val="20"/>
          <w:lang w:eastAsia="ko-KR"/>
        </w:rPr>
        <w:t>(chemical straightjackets)”</w:t>
      </w:r>
      <w:proofErr w:type="spellStart"/>
      <w:r w:rsidRPr="00F2098E">
        <w:rPr>
          <w:rFonts w:asciiTheme="minorEastAsia" w:hAnsiTheme="minorEastAsia"/>
          <w:sz w:val="20"/>
          <w:szCs w:val="20"/>
          <w:lang w:eastAsia="ko-KR"/>
        </w:rPr>
        <w:t>으로</w:t>
      </w:r>
      <w:proofErr w:type="spellEnd"/>
      <w:r w:rsidRPr="00F2098E">
        <w:rPr>
          <w:rFonts w:asciiTheme="minorEastAsia" w:hAnsiTheme="minorEastAsia"/>
          <w:sz w:val="20"/>
          <w:szCs w:val="20"/>
          <w:lang w:eastAsia="ko-KR"/>
        </w:rPr>
        <w:t xml:space="preserve"> 묘사하면서 윤리적으로 민감한 부분을 건드렸다.(SZASZ 1957) 급속 진정과 화학적 강박이라는 용어는 현재도 임상 문헌에서 공존하지만, 각각의 용어 선택은 화자가 이 개입을 치료적 진정으로 보는지, 아니면 자유 제한과 행동 통제로 보는지를 드러낸다.(Allison and Moncrieff 2014)</w:t>
      </w:r>
    </w:p>
    <w:p w14:paraId="240BB9F6"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6" w:name="물리적-강박을-대신하는-수단"/>
      <w:bookmarkEnd w:id="5"/>
      <w:r w:rsidRPr="00F2098E">
        <w:rPr>
          <w:rFonts w:asciiTheme="minorEastAsia" w:eastAsiaTheme="minorEastAsia" w:hAnsiTheme="minorEastAsia"/>
          <w:sz w:val="20"/>
          <w:szCs w:val="20"/>
          <w:lang w:eastAsia="ko-KR"/>
        </w:rPr>
        <w:t>물리적 강박을 대신하는 수단</w:t>
      </w:r>
    </w:p>
    <w:p w14:paraId="70E9DEA4"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물리적 강박(physical restraint)은 오랜 역사를 지녔고 현재도 드물지 않게 사용되는 정신의학적 개입이지만, 분명한 인권침해 요소를 지닌다는 것을 부인할 수 없다. 신체를 직접 묶거나 억제하는 것은 환자에게 심리적 외상을 남길 수 있으며(Frueh et al. 2005), 경우에 따라 심부정맥 </w:t>
      </w:r>
      <w:proofErr w:type="spellStart"/>
      <w:r w:rsidRPr="00F2098E">
        <w:rPr>
          <w:rFonts w:asciiTheme="minorEastAsia" w:hAnsiTheme="minorEastAsia"/>
          <w:sz w:val="20"/>
          <w:szCs w:val="20"/>
          <w:lang w:eastAsia="ko-KR"/>
        </w:rPr>
        <w:t>혈전증</w:t>
      </w:r>
      <w:proofErr w:type="spellEnd"/>
      <w:r w:rsidRPr="00F2098E">
        <w:rPr>
          <w:rFonts w:asciiTheme="minorEastAsia" w:hAnsiTheme="minorEastAsia"/>
          <w:sz w:val="20"/>
          <w:szCs w:val="20"/>
          <w:lang w:eastAsia="ko-KR"/>
        </w:rPr>
        <w:t xml:space="preserve">, </w:t>
      </w:r>
      <w:proofErr w:type="spellStart"/>
      <w:r w:rsidRPr="00F2098E">
        <w:rPr>
          <w:rFonts w:asciiTheme="minorEastAsia" w:hAnsiTheme="minorEastAsia"/>
          <w:sz w:val="20"/>
          <w:szCs w:val="20"/>
          <w:lang w:eastAsia="ko-KR"/>
        </w:rPr>
        <w:t>폐색전</w:t>
      </w:r>
      <w:proofErr w:type="spellEnd"/>
      <w:r w:rsidRPr="00F2098E">
        <w:rPr>
          <w:rFonts w:asciiTheme="minorEastAsia" w:hAnsiTheme="minorEastAsia"/>
          <w:sz w:val="20"/>
          <w:szCs w:val="20"/>
          <w:lang w:eastAsia="ko-KR"/>
        </w:rPr>
        <w:t xml:space="preserve">, </w:t>
      </w:r>
      <w:proofErr w:type="spellStart"/>
      <w:r w:rsidRPr="00F2098E">
        <w:rPr>
          <w:rFonts w:asciiTheme="minorEastAsia" w:hAnsiTheme="minorEastAsia"/>
          <w:sz w:val="20"/>
          <w:szCs w:val="20"/>
          <w:lang w:eastAsia="ko-KR"/>
        </w:rPr>
        <w:t>횡문근융해증</w:t>
      </w:r>
      <w:proofErr w:type="spellEnd"/>
      <w:r w:rsidRPr="00F2098E">
        <w:rPr>
          <w:rFonts w:asciiTheme="minorEastAsia" w:hAnsiTheme="minorEastAsia"/>
          <w:sz w:val="20"/>
          <w:szCs w:val="20"/>
          <w:lang w:eastAsia="ko-KR"/>
        </w:rPr>
        <w:t xml:space="preserve"> 등 심각한 신체적 </w:t>
      </w:r>
      <w:proofErr w:type="spellStart"/>
      <w:r w:rsidRPr="00F2098E">
        <w:rPr>
          <w:rFonts w:asciiTheme="minorEastAsia" w:hAnsiTheme="minorEastAsia"/>
          <w:sz w:val="20"/>
          <w:szCs w:val="20"/>
          <w:lang w:eastAsia="ko-KR"/>
        </w:rPr>
        <w:t>위해를</w:t>
      </w:r>
      <w:proofErr w:type="spellEnd"/>
      <w:r w:rsidRPr="00F2098E">
        <w:rPr>
          <w:rFonts w:asciiTheme="minorEastAsia" w:hAnsiTheme="minorEastAsia"/>
          <w:sz w:val="20"/>
          <w:szCs w:val="20"/>
          <w:lang w:eastAsia="ko-KR"/>
        </w:rPr>
        <w:t xml:space="preserve"> 동반할 수 있다.(Kersting, Hirsch, and Steinert 2019) 이러한 이유로 현대에 와서는 의료진들 역시 물리적 강박을 가급적 피하려는 경향을 보인다.(Opitz-Welke and Konrad 2019)</w:t>
      </w:r>
    </w:p>
    <w:p w14:paraId="570F3655"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이런 시대적 변화에 맞물려 화학적 강박은 물리적 강박보다 덜 침습적이고, 덜 강압적인 대안으로 인식되었다. Georgieva 등(Georgieva, Mulder, and </w:t>
      </w:r>
      <w:proofErr w:type="spellStart"/>
      <w:r w:rsidRPr="00F2098E">
        <w:rPr>
          <w:rFonts w:asciiTheme="minorEastAsia" w:hAnsiTheme="minorEastAsia"/>
          <w:sz w:val="20"/>
          <w:szCs w:val="20"/>
          <w:lang w:eastAsia="ko-KR"/>
        </w:rPr>
        <w:t>Wierdsma</w:t>
      </w:r>
      <w:proofErr w:type="spellEnd"/>
      <w:r w:rsidRPr="00F2098E">
        <w:rPr>
          <w:rFonts w:asciiTheme="minorEastAsia" w:hAnsiTheme="minorEastAsia"/>
          <w:sz w:val="20"/>
          <w:szCs w:val="20"/>
          <w:lang w:eastAsia="ko-KR"/>
        </w:rPr>
        <w:t xml:space="preserve"> 2011)의 연구에 따르면 강압적 개입을 경험했던 환자들은 격리나 </w:t>
      </w:r>
      <w:proofErr w:type="spellStart"/>
      <w:r w:rsidRPr="00F2098E">
        <w:rPr>
          <w:rFonts w:asciiTheme="minorEastAsia" w:hAnsiTheme="minorEastAsia"/>
          <w:sz w:val="20"/>
          <w:szCs w:val="20"/>
          <w:lang w:eastAsia="ko-KR"/>
        </w:rPr>
        <w:t>신체강박보다</w:t>
      </w:r>
      <w:proofErr w:type="spellEnd"/>
      <w:r w:rsidRPr="00F2098E">
        <w:rPr>
          <w:rFonts w:asciiTheme="minorEastAsia" w:hAnsiTheme="minorEastAsia"/>
          <w:sz w:val="20"/>
          <w:szCs w:val="20"/>
          <w:lang w:eastAsia="ko-KR"/>
        </w:rPr>
        <w:t xml:space="preserve"> 강제 투약을 덜 부정적으로 평가하였다. 그러나 환자들이 선호했다고 해서 곧 화학적 강박이 윤리적으로 문제가 없다는 결론으로 이어지지는 않는다. 환자의 주관적 선호, 신체적 위해, 절차적 정당성, 자율성 제한은 서로 구분되어야 한다. 따라서 물리적 강박 대신 화학적 강박을 했으니 더 윤리적이라는 뜻이 아니라, 화학적 강박 자체의 정당화 조건을 만족시켜야 한다고 이해되어야 한다.[Muir</w:t>
      </w:r>
      <w:r w:rsidRPr="00F2098E">
        <w:rPr>
          <w:rFonts w:ascii="Cambria Math" w:hAnsi="Cambria Math" w:cs="Cambria Math"/>
          <w:sz w:val="20"/>
          <w:szCs w:val="20"/>
          <w:lang w:eastAsia="ko-KR"/>
        </w:rPr>
        <w:t>‐</w:t>
      </w:r>
      <w:r w:rsidRPr="00F2098E">
        <w:rPr>
          <w:rFonts w:asciiTheme="minorEastAsia" w:hAnsiTheme="minorEastAsia"/>
          <w:sz w:val="20"/>
          <w:szCs w:val="20"/>
          <w:lang w:eastAsia="ko-KR"/>
        </w:rPr>
        <w:t>Cochrane et al. (2020</w:t>
      </w:r>
      <w:proofErr w:type="gramStart"/>
      <w:r w:rsidRPr="00F2098E">
        <w:rPr>
          <w:rFonts w:asciiTheme="minorEastAsia" w:hAnsiTheme="minorEastAsia"/>
          <w:sz w:val="20"/>
          <w:szCs w:val="20"/>
          <w:lang w:eastAsia="ko-KR"/>
        </w:rPr>
        <w:t>)](</w:t>
      </w:r>
      <w:proofErr w:type="gramEnd"/>
      <w:r w:rsidRPr="00F2098E">
        <w:rPr>
          <w:rFonts w:asciiTheme="minorEastAsia" w:hAnsiTheme="minorEastAsia"/>
          <w:sz w:val="20"/>
          <w:szCs w:val="20"/>
          <w:lang w:eastAsia="ko-KR"/>
        </w:rPr>
        <w:t>Belayneh et al. 2024)</w:t>
      </w:r>
    </w:p>
    <w:p w14:paraId="7DA44559"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7" w:name="인권-담론에서의-비판"/>
      <w:bookmarkEnd w:id="6"/>
      <w:r w:rsidRPr="00F2098E">
        <w:rPr>
          <w:rFonts w:asciiTheme="minorEastAsia" w:eastAsiaTheme="minorEastAsia" w:hAnsiTheme="minorEastAsia"/>
          <w:sz w:val="20"/>
          <w:szCs w:val="20"/>
          <w:lang w:eastAsia="ko-KR"/>
        </w:rPr>
        <w:t>인권 담론에서의 비판</w:t>
      </w:r>
    </w:p>
    <w:p w14:paraId="22056BCF"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1960-70년대에 R.D. 랭(R.D. Laing)과 토마스 사스(Thomas Szasz) 등의 사상을 바탕으로 등장한 반정신의학 운동은 정신의학이 인간 삶의 고통과 일탈을 과도하게 의학적 병리로 환원한다고 비판했다.[SZASZ (1957)](Crossley 1998) 역사적으로 정신질환자 수용소는 치료 기관이면서 동시에 사회적 위험을 관리하는 제도적 공간으로 기능해 왔다. 비판가들은 이러한 어두운 역사를 바탕으로, 정신과적 개입을 치료가 아니라 사회 통제의 한 형태라고 주장하였다.[Goffman (1961)](Scull 2015) 동시에 미국의 시민권 운동은 환자의 권리수호 논의에 영향을 미쳤고, 이론가들은 정신장애인 역시 치료 거부권을 포함하여 다른 시민들과 동등한 권리를 누리고 보호받아야 한다고 강조하였다.(Testa and West 2010) 이러한 관점은 의학에서 전통적으로 받아들여지던 온정적 간섭주의에 도전했으며, 환자가 동의하지 않는 모든 정신과적 개입을 윤리적, 법적 검토의 대상으로 만들었다.(Schöne-Seifert 2015)</w:t>
      </w:r>
    </w:p>
    <w:p w14:paraId="45059D12"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1970년대와 1980년대의 여러 법적 판례들은 정신과 진료 환경에서 치료를 거부할 권리와 강압적 치료의 요건을 확립하는 데 기여했다. 예를 들어, 미국의 로저스 대 </w:t>
      </w:r>
      <w:proofErr w:type="spellStart"/>
      <w:r w:rsidRPr="00F2098E">
        <w:rPr>
          <w:rFonts w:asciiTheme="minorEastAsia" w:hAnsiTheme="minorEastAsia"/>
          <w:sz w:val="20"/>
          <w:szCs w:val="20"/>
          <w:lang w:eastAsia="ko-KR"/>
        </w:rPr>
        <w:t>오킨</w:t>
      </w:r>
      <w:proofErr w:type="spellEnd"/>
      <w:r w:rsidRPr="00F2098E">
        <w:rPr>
          <w:rFonts w:asciiTheme="minorEastAsia" w:hAnsiTheme="minorEastAsia"/>
          <w:sz w:val="20"/>
          <w:szCs w:val="20"/>
          <w:lang w:eastAsia="ko-KR"/>
        </w:rPr>
        <w:t xml:space="preserve">(Rogers v. Okin) 사건은 강제 </w:t>
      </w:r>
      <w:proofErr w:type="spellStart"/>
      <w:r w:rsidRPr="00F2098E">
        <w:rPr>
          <w:rFonts w:asciiTheme="minorEastAsia" w:hAnsiTheme="minorEastAsia"/>
          <w:sz w:val="20"/>
          <w:szCs w:val="20"/>
          <w:lang w:eastAsia="ko-KR"/>
        </w:rPr>
        <w:t>입원된</w:t>
      </w:r>
      <w:proofErr w:type="spellEnd"/>
      <w:r w:rsidRPr="00F2098E">
        <w:rPr>
          <w:rFonts w:asciiTheme="minorEastAsia" w:hAnsiTheme="minorEastAsia"/>
          <w:sz w:val="20"/>
          <w:szCs w:val="20"/>
          <w:lang w:eastAsia="ko-KR"/>
        </w:rPr>
        <w:t xml:space="preserve"> </w:t>
      </w:r>
      <w:r w:rsidRPr="00F2098E">
        <w:rPr>
          <w:rFonts w:asciiTheme="minorEastAsia" w:hAnsiTheme="minorEastAsia"/>
          <w:sz w:val="20"/>
          <w:szCs w:val="20"/>
          <w:lang w:eastAsia="ko-KR"/>
        </w:rPr>
        <w:lastRenderedPageBreak/>
        <w:t xml:space="preserve">환자라도 치료를 거부할 권리가 있다는 판결을 내렸다.(Massachusetts Supreme Judicial Court 1983) 이와는 성격이 좀 다르지만, 1986년 미국 </w:t>
      </w:r>
      <w:proofErr w:type="spellStart"/>
      <w:r w:rsidRPr="00F2098E">
        <w:rPr>
          <w:rFonts w:asciiTheme="minorEastAsia" w:hAnsiTheme="minorEastAsia"/>
          <w:sz w:val="20"/>
          <w:szCs w:val="20"/>
          <w:lang w:eastAsia="ko-KR"/>
        </w:rPr>
        <w:t>의학한림원</w:t>
      </w:r>
      <w:proofErr w:type="spellEnd"/>
      <w:r w:rsidRPr="00F2098E">
        <w:rPr>
          <w:rFonts w:asciiTheme="minorEastAsia" w:hAnsiTheme="minorEastAsia"/>
          <w:sz w:val="20"/>
          <w:szCs w:val="20"/>
          <w:lang w:eastAsia="ko-KR"/>
        </w:rPr>
        <w:t>(Institute of Medicine)은 많은 노인 장기요양시설들이 치료 목적이 아닌 “의료진의 편의”</w:t>
      </w:r>
      <w:proofErr w:type="spellStart"/>
      <w:r w:rsidRPr="00F2098E">
        <w:rPr>
          <w:rFonts w:asciiTheme="minorEastAsia" w:hAnsiTheme="minorEastAsia"/>
          <w:sz w:val="20"/>
          <w:szCs w:val="20"/>
          <w:lang w:eastAsia="ko-KR"/>
        </w:rPr>
        <w:t>를</w:t>
      </w:r>
      <w:proofErr w:type="spellEnd"/>
      <w:r w:rsidRPr="00F2098E">
        <w:rPr>
          <w:rFonts w:asciiTheme="minorEastAsia" w:hAnsiTheme="minorEastAsia"/>
          <w:sz w:val="20"/>
          <w:szCs w:val="20"/>
          <w:lang w:eastAsia="ko-KR"/>
        </w:rPr>
        <w:t xml:space="preserve"> 위해 과도한 진정제와 항정신병 약물을 사용하고 있다고 지적하였다.(</w:t>
      </w:r>
      <w:proofErr w:type="spellStart"/>
      <w:r w:rsidRPr="00F2098E">
        <w:rPr>
          <w:rFonts w:asciiTheme="minorEastAsia" w:hAnsiTheme="minorEastAsia"/>
          <w:sz w:val="20"/>
          <w:szCs w:val="20"/>
          <w:lang w:eastAsia="ko-KR"/>
        </w:rPr>
        <w:t>Iozzino</w:t>
      </w:r>
      <w:proofErr w:type="spellEnd"/>
      <w:r w:rsidRPr="00F2098E">
        <w:rPr>
          <w:rFonts w:asciiTheme="minorEastAsia" w:hAnsiTheme="minorEastAsia"/>
          <w:sz w:val="20"/>
          <w:szCs w:val="20"/>
          <w:lang w:eastAsia="ko-KR"/>
        </w:rPr>
        <w:t xml:space="preserve"> et al. 2015) 이듬해인 1987년 요양원 </w:t>
      </w:r>
      <w:proofErr w:type="gramStart"/>
      <w:r w:rsidRPr="00F2098E">
        <w:rPr>
          <w:rFonts w:asciiTheme="minorEastAsia" w:hAnsiTheme="minorEastAsia"/>
          <w:sz w:val="20"/>
          <w:szCs w:val="20"/>
          <w:lang w:eastAsia="ko-KR"/>
        </w:rPr>
        <w:t>개혁법(</w:t>
      </w:r>
      <w:proofErr w:type="gramEnd"/>
      <w:r w:rsidRPr="00F2098E">
        <w:rPr>
          <w:rFonts w:asciiTheme="minorEastAsia" w:hAnsiTheme="minorEastAsia"/>
          <w:sz w:val="20"/>
          <w:szCs w:val="20"/>
          <w:lang w:eastAsia="ko-KR"/>
        </w:rPr>
        <w:t>Nursing Home Reform Act)은 “환자의 증상을 치료하기 위해서가 아니라, 징벌이나 직원의 편의를 위해 사용되는 약물”을 화학적 강박으로 정의하고 이를 엄격히 금지하였다.(U.S. Congress 1987) 이런 법적 장치와 규제는 정신과 응급상황을 직접 다루고 있지는 않지만, 화학적 강박이 치료 목적보다는 의료진의 편의를 위한 것이라는 부정적 시각을 확산시키는데 일조하였다.</w:t>
      </w:r>
    </w:p>
    <w:p w14:paraId="03679036"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강압적 치료(coercive treatment)는 환자의 명시적 동의 없이 또는 환자의 의지에 반하여 시행되는 모든 치료적 개입을 의미하며, 화학적 강박을 포함하여 강제 입원, 강제 투약, 격리, 강박 등을 가리킨다.(</w:t>
      </w:r>
      <w:proofErr w:type="spellStart"/>
      <w:r w:rsidRPr="00F2098E">
        <w:rPr>
          <w:rFonts w:asciiTheme="minorEastAsia" w:hAnsiTheme="minorEastAsia"/>
          <w:sz w:val="20"/>
          <w:szCs w:val="20"/>
          <w:lang w:eastAsia="ko-KR"/>
        </w:rPr>
        <w:t>Chieze</w:t>
      </w:r>
      <w:proofErr w:type="spellEnd"/>
      <w:r w:rsidRPr="00F2098E">
        <w:rPr>
          <w:rFonts w:asciiTheme="minorEastAsia" w:hAnsiTheme="minorEastAsia"/>
          <w:sz w:val="20"/>
          <w:szCs w:val="20"/>
          <w:lang w:eastAsia="ko-KR"/>
        </w:rPr>
        <w:t xml:space="preserve"> et al. 2021) 그중 화학적 강박은 약물이 한번 신체에 투입되면 그 효과가 한동안 지속되며, 진정으로 인해 환자의 의사결정 능력 자체가 제한될 수 있다는 점에서 특수한 윤리적 부담을 지닌다. 인권 옹호자들은 모든 강압적 치료가 인권 침해의 위험을 내포하며, 법적 체계의 미비와 정신의료 종사자의 인권 감수성 부족이 문제를 악화시키고 있다고 지적한다.[Wyder et al. (2015</w:t>
      </w:r>
      <w:proofErr w:type="gramStart"/>
      <w:r w:rsidRPr="00F2098E">
        <w:rPr>
          <w:rFonts w:asciiTheme="minorEastAsia" w:hAnsiTheme="minorEastAsia"/>
          <w:sz w:val="20"/>
          <w:szCs w:val="20"/>
          <w:lang w:eastAsia="ko-KR"/>
        </w:rPr>
        <w:t>)](</w:t>
      </w:r>
      <w:proofErr w:type="gramEnd"/>
      <w:r w:rsidRPr="00F2098E">
        <w:rPr>
          <w:rFonts w:asciiTheme="minorEastAsia" w:hAnsiTheme="minorEastAsia"/>
          <w:sz w:val="20"/>
          <w:szCs w:val="20"/>
          <w:lang w:eastAsia="ko-KR"/>
        </w:rPr>
        <w:t>Alexandrov and Schuck 2021)(Every-Palmer et al. 2021) 또한 이들은 응급상황에서도 가능한 한 치료 결정에 환자를 참여시키고, 환자에게 다양한 선택지를 주는 것이 장기적으로 신뢰와 치료 순응도를 높일 수 있다고 주장한다.(Boardman and Dave 2020)</w:t>
      </w:r>
    </w:p>
    <w:p w14:paraId="371424D6" w14:textId="77777777" w:rsidR="00A00B40" w:rsidRPr="00F2098E" w:rsidRDefault="00000000" w:rsidP="00F2098E">
      <w:pPr>
        <w:pStyle w:val="2"/>
        <w:jc w:val="both"/>
        <w:rPr>
          <w:rFonts w:asciiTheme="minorEastAsia" w:eastAsiaTheme="minorEastAsia" w:hAnsiTheme="minorEastAsia"/>
          <w:sz w:val="20"/>
          <w:szCs w:val="20"/>
          <w:lang w:eastAsia="ko-KR"/>
        </w:rPr>
      </w:pPr>
      <w:bookmarkStart w:id="8" w:name="국제법-상의-해석"/>
      <w:bookmarkEnd w:id="3"/>
      <w:bookmarkEnd w:id="7"/>
      <w:r w:rsidRPr="00F2098E">
        <w:rPr>
          <w:rFonts w:asciiTheme="minorEastAsia" w:eastAsiaTheme="minorEastAsia" w:hAnsiTheme="minorEastAsia"/>
          <w:sz w:val="20"/>
          <w:szCs w:val="20"/>
          <w:lang w:eastAsia="ko-KR"/>
        </w:rPr>
        <w:t>국제법 상의 해석</w:t>
      </w:r>
    </w:p>
    <w:p w14:paraId="1AD5E895"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9" w:name="유엔장애인권리협약crpd"/>
      <w:r w:rsidRPr="00F2098E">
        <w:rPr>
          <w:rFonts w:asciiTheme="minorEastAsia" w:eastAsiaTheme="minorEastAsia" w:hAnsiTheme="minorEastAsia"/>
          <w:sz w:val="20"/>
          <w:szCs w:val="20"/>
          <w:lang w:eastAsia="ko-KR"/>
        </w:rPr>
        <w:t>유엔장애인권리협약(CRPD)</w:t>
      </w:r>
    </w:p>
    <w:p w14:paraId="1B485082" w14:textId="0DE8FCDF" w:rsidR="00A00B40" w:rsidRPr="0078310E" w:rsidRDefault="00000000" w:rsidP="0078310E">
      <w:pPr>
        <w:pStyle w:val="FirstParagraph"/>
        <w:jc w:val="both"/>
        <w:rPr>
          <w:rFonts w:asciiTheme="minorEastAsia" w:hAnsiTheme="minorEastAsia" w:hint="eastAsia"/>
          <w:sz w:val="20"/>
          <w:szCs w:val="20"/>
          <w:lang w:eastAsia="ko-KR"/>
        </w:rPr>
      </w:pPr>
      <w:r w:rsidRPr="00F2098E">
        <w:rPr>
          <w:rFonts w:asciiTheme="minorEastAsia" w:hAnsiTheme="minorEastAsia"/>
          <w:sz w:val="20"/>
          <w:szCs w:val="20"/>
          <w:lang w:eastAsia="ko-KR"/>
        </w:rPr>
        <w:t xml:space="preserve">2017년, 유엔(UN) 특별보고관 </w:t>
      </w:r>
      <w:proofErr w:type="spellStart"/>
      <w:r w:rsidRPr="00F2098E">
        <w:rPr>
          <w:rFonts w:asciiTheme="minorEastAsia" w:hAnsiTheme="minorEastAsia"/>
          <w:sz w:val="20"/>
          <w:szCs w:val="20"/>
          <w:lang w:eastAsia="ko-KR"/>
        </w:rPr>
        <w:t>Dainius</w:t>
      </w:r>
      <w:proofErr w:type="spellEnd"/>
      <w:r w:rsidRPr="00F2098E">
        <w:rPr>
          <w:rFonts w:asciiTheme="minorEastAsia" w:hAnsiTheme="minorEastAsia"/>
          <w:sz w:val="20"/>
          <w:szCs w:val="20"/>
          <w:lang w:eastAsia="ko-KR"/>
        </w:rPr>
        <w:t xml:space="preserve"> </w:t>
      </w:r>
      <w:proofErr w:type="spellStart"/>
      <w:r w:rsidRPr="00F2098E">
        <w:rPr>
          <w:rFonts w:asciiTheme="minorEastAsia" w:hAnsiTheme="minorEastAsia"/>
          <w:sz w:val="20"/>
          <w:szCs w:val="20"/>
          <w:lang w:eastAsia="ko-KR"/>
        </w:rPr>
        <w:t>P</w:t>
      </w:r>
      <w:r w:rsidRPr="00F2098E">
        <w:rPr>
          <w:rFonts w:ascii="Calibri" w:hAnsi="Calibri" w:cs="Calibri"/>
          <w:sz w:val="20"/>
          <w:szCs w:val="20"/>
          <w:lang w:eastAsia="ko-KR"/>
        </w:rPr>
        <w:t>ū</w:t>
      </w:r>
      <w:r w:rsidRPr="00F2098E">
        <w:rPr>
          <w:rFonts w:asciiTheme="minorEastAsia" w:hAnsiTheme="minorEastAsia"/>
          <w:sz w:val="20"/>
          <w:szCs w:val="20"/>
          <w:lang w:eastAsia="ko-KR"/>
        </w:rPr>
        <w:t>ras</w:t>
      </w:r>
      <w:proofErr w:type="spellEnd"/>
      <w:r w:rsidRPr="00F2098E">
        <w:rPr>
          <w:rFonts w:asciiTheme="minorEastAsia" w:hAnsiTheme="minorEastAsia"/>
          <w:sz w:val="20"/>
          <w:szCs w:val="20"/>
          <w:lang w:eastAsia="ko-KR"/>
        </w:rPr>
        <w:t>는 “모든 사람의 권리, 의지, 선호를 평등하게 존중하지 않고, 정신건강 환경에서 권력 불균형, 낙인, 차별을 초래하는 모든 관행의 폐지”</w:t>
      </w:r>
      <w:proofErr w:type="spellStart"/>
      <w:r w:rsidRPr="00F2098E">
        <w:rPr>
          <w:rFonts w:asciiTheme="minorEastAsia" w:hAnsiTheme="minorEastAsia"/>
          <w:sz w:val="20"/>
          <w:szCs w:val="20"/>
          <w:lang w:eastAsia="ko-KR"/>
        </w:rPr>
        <w:t>를</w:t>
      </w:r>
      <w:proofErr w:type="spellEnd"/>
      <w:r w:rsidRPr="00F2098E">
        <w:rPr>
          <w:rFonts w:asciiTheme="minorEastAsia" w:hAnsiTheme="minorEastAsia"/>
          <w:sz w:val="20"/>
          <w:szCs w:val="20"/>
          <w:lang w:eastAsia="ko-KR"/>
        </w:rPr>
        <w:t xml:space="preserve"> 촉구하는 성명을 발표했다. 이 보고서(A/HRC/35/21)는 유엔장애인권리협약(United Nations Convention on the Rights of Persons with Disabilities, CRPD) 위원회 </w:t>
      </w:r>
      <w:r w:rsidR="0078310E">
        <w:rPr>
          <w:rFonts w:asciiTheme="minorEastAsia" w:hAnsiTheme="minorEastAsia"/>
          <w:sz w:val="20"/>
          <w:szCs w:val="20"/>
          <w:lang w:eastAsia="ko-KR"/>
        </w:rPr>
        <w:t>(</w:t>
      </w:r>
      <w:r w:rsidRPr="0078310E">
        <w:rPr>
          <w:rFonts w:asciiTheme="minorEastAsia" w:hAnsiTheme="minorEastAsia"/>
          <w:strike/>
          <w:sz w:val="20"/>
          <w:szCs w:val="20"/>
          <w:lang w:eastAsia="ko-KR"/>
        </w:rPr>
        <w:t>공식적으로 채택했으며</w:t>
      </w:r>
      <w:r w:rsidR="0078310E">
        <w:rPr>
          <w:rFonts w:asciiTheme="minorEastAsia" w:hAnsiTheme="minorEastAsia"/>
          <w:sz w:val="20"/>
          <w:szCs w:val="20"/>
          <w:lang w:eastAsia="ko-KR"/>
        </w:rPr>
        <w:t xml:space="preserve">) </w:t>
      </w:r>
      <w:r w:rsidR="0078310E" w:rsidRPr="0078310E">
        <w:rPr>
          <w:rFonts w:asciiTheme="minorEastAsia" w:hAnsiTheme="minorEastAsia" w:hint="eastAsia"/>
          <w:color w:val="00B050"/>
          <w:sz w:val="20"/>
          <w:szCs w:val="20"/>
          <w:lang w:eastAsia="ko-KR"/>
        </w:rPr>
        <w:t>의 강한 인권 중심 해석과 결부된 문제제기를 제기</w:t>
      </w:r>
      <w:r w:rsidR="0078310E" w:rsidRPr="0078310E">
        <w:rPr>
          <w:rFonts w:asciiTheme="minorEastAsia" w:hAnsiTheme="minorEastAsia" w:hint="eastAsia"/>
          <w:color w:val="00B050"/>
          <w:sz w:val="20"/>
          <w:szCs w:val="20"/>
          <w:lang w:eastAsia="ko-KR"/>
        </w:rPr>
        <w:t>했으며</w:t>
      </w:r>
      <w:r w:rsidRPr="00F2098E">
        <w:rPr>
          <w:rFonts w:asciiTheme="minorEastAsia" w:hAnsiTheme="minorEastAsia"/>
          <w:sz w:val="20"/>
          <w:szCs w:val="20"/>
          <w:lang w:eastAsia="ko-KR"/>
        </w:rPr>
        <w:t>, 이후 격렬한 논쟁을 촉발하는 계기가 되었다.[United Nations Human Rights Council (2017)](Williams and Chapman 2022)</w:t>
      </w:r>
      <w:r w:rsidR="0078310E">
        <w:rPr>
          <w:rFonts w:asciiTheme="minorEastAsia" w:hAnsiTheme="minorEastAsia"/>
          <w:sz w:val="20"/>
          <w:szCs w:val="20"/>
          <w:lang w:eastAsia="ko-KR"/>
        </w:rPr>
        <w:t xml:space="preserve"> (</w:t>
      </w:r>
      <w:r w:rsidR="0078310E" w:rsidRPr="0078310E">
        <w:rPr>
          <w:rFonts w:asciiTheme="minorEastAsia" w:hAnsiTheme="minorEastAsia" w:hint="eastAsia"/>
          <w:color w:val="00B050"/>
          <w:sz w:val="20"/>
          <w:szCs w:val="20"/>
          <w:lang w:eastAsia="ko-KR"/>
        </w:rPr>
        <w:t xml:space="preserve">참고 </w:t>
      </w:r>
      <w:r w:rsidR="0078310E" w:rsidRPr="0078310E">
        <w:rPr>
          <w:rFonts w:asciiTheme="minorEastAsia" w:hAnsiTheme="minorEastAsia" w:hint="eastAsia"/>
          <w:color w:val="00B050"/>
          <w:sz w:val="20"/>
          <w:szCs w:val="20"/>
          <w:lang w:eastAsia="ko-KR"/>
        </w:rPr>
        <w:t>특별보고관(Special Rapporteur)은 독립적인 전문가로서 인권이사회(HRC)에 보고하는 개별 주체입니다.</w:t>
      </w:r>
      <w:r w:rsidR="0078310E" w:rsidRPr="0078310E">
        <w:rPr>
          <w:rFonts w:asciiTheme="minorEastAsia" w:hAnsiTheme="minorEastAsia"/>
          <w:color w:val="00B050"/>
          <w:sz w:val="20"/>
          <w:szCs w:val="20"/>
          <w:lang w:eastAsia="ko-KR"/>
        </w:rPr>
        <w:t xml:space="preserve"> </w:t>
      </w:r>
      <w:r w:rsidR="0078310E" w:rsidRPr="0078310E">
        <w:rPr>
          <w:rFonts w:asciiTheme="minorEastAsia" w:hAnsiTheme="minorEastAsia" w:hint="eastAsia"/>
          <w:color w:val="00B050"/>
          <w:sz w:val="20"/>
          <w:szCs w:val="20"/>
          <w:lang w:eastAsia="ko-KR"/>
        </w:rPr>
        <w:t>CRPD 위원회는 협약 이행을 감시하는 조약 기구입니다.</w:t>
      </w:r>
      <w:r w:rsidR="0078310E" w:rsidRPr="0078310E">
        <w:rPr>
          <w:rFonts w:asciiTheme="minorEastAsia" w:hAnsiTheme="minorEastAsia"/>
          <w:color w:val="00B050"/>
          <w:sz w:val="20"/>
          <w:szCs w:val="20"/>
          <w:lang w:eastAsia="ko-KR"/>
        </w:rPr>
        <w:t xml:space="preserve"> </w:t>
      </w:r>
      <w:r w:rsidR="0078310E" w:rsidRPr="0078310E">
        <w:rPr>
          <w:rFonts w:asciiTheme="minorEastAsia" w:hAnsiTheme="minorEastAsia" w:hint="eastAsia"/>
          <w:color w:val="00B050"/>
          <w:sz w:val="20"/>
          <w:szCs w:val="20"/>
          <w:lang w:eastAsia="ko-KR"/>
        </w:rPr>
        <w:t>두 기구는 서로의 철학을 공유하고 강력하게 연대(Alliance)하고 있지만, 한 기구의 보고서가 다른 기구의 '공식 의결 문서'가 되는 것은 아</w:t>
      </w:r>
      <w:r w:rsidR="0078310E" w:rsidRPr="0078310E">
        <w:rPr>
          <w:rFonts w:asciiTheme="minorEastAsia" w:hAnsiTheme="minorEastAsia" w:hint="eastAsia"/>
          <w:color w:val="00B050"/>
          <w:sz w:val="20"/>
          <w:szCs w:val="20"/>
          <w:lang w:eastAsia="ko-KR"/>
        </w:rPr>
        <w:t>닙니다</w:t>
      </w:r>
      <w:r w:rsidR="0078310E">
        <w:rPr>
          <w:rFonts w:asciiTheme="minorEastAsia" w:hAnsiTheme="minorEastAsia" w:hint="eastAsia"/>
          <w:sz w:val="20"/>
          <w:szCs w:val="20"/>
          <w:lang w:eastAsia="ko-KR"/>
        </w:rPr>
        <w:t>)</w:t>
      </w:r>
    </w:p>
    <w:p w14:paraId="40453D6E" w14:textId="1B4DB1D2"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이 보고서(A/HRC/35/21)는 “의학적 필요성”, “위험성”, “판단 능력 부족”과 같은 지극히 주관적인 강압적 치료 결정이 전적으로 정신과 의사의 재량에 맡겨져 있기 때문에, 환자의 인권을 명백히 침해한다고 주장한다. 또한, “장애의 존재가 어떤 경우에도 자유를 박탈하는 정당한 사유가 될 수 없다”고 단언하는데, 이는 정신장애를 이유로 자율성을 제한하는 것을 전면적으로 금지하는 것으로 해석된다.(</w:t>
      </w:r>
      <w:proofErr w:type="spellStart"/>
      <w:r w:rsidRPr="00F2098E">
        <w:rPr>
          <w:rFonts w:asciiTheme="minorEastAsia" w:hAnsiTheme="minorEastAsia"/>
          <w:sz w:val="20"/>
          <w:szCs w:val="20"/>
          <w:lang w:eastAsia="ko-KR"/>
        </w:rPr>
        <w:t>Fiala-Butora</w:t>
      </w:r>
      <w:proofErr w:type="spellEnd"/>
      <w:r w:rsidRPr="00F2098E">
        <w:rPr>
          <w:rFonts w:asciiTheme="minorEastAsia" w:hAnsiTheme="minorEastAsia"/>
          <w:sz w:val="20"/>
          <w:szCs w:val="20"/>
          <w:lang w:eastAsia="ko-KR"/>
        </w:rPr>
        <w:t xml:space="preserve"> 2024) 보고서는 강압적 치료를 근절하는데 뒤따르는 현실적 어려움을 인정하면서도, </w:t>
      </w:r>
      <w:r w:rsidRPr="004B171B">
        <w:rPr>
          <w:rFonts w:asciiTheme="minorEastAsia" w:hAnsiTheme="minorEastAsia"/>
          <w:sz w:val="20"/>
          <w:szCs w:val="20"/>
          <w:lang w:eastAsia="ko-KR"/>
        </w:rPr>
        <w:t xml:space="preserve">궁극적으로는 정신과에서의 강압적 치료를 </w:t>
      </w:r>
      <w:proofErr w:type="spellStart"/>
      <w:r w:rsidRPr="004B171B">
        <w:rPr>
          <w:rFonts w:asciiTheme="minorEastAsia" w:hAnsiTheme="minorEastAsia"/>
          <w:sz w:val="20"/>
          <w:szCs w:val="20"/>
          <w:lang w:eastAsia="ko-KR"/>
        </w:rPr>
        <w:t>예외없이</w:t>
      </w:r>
      <w:proofErr w:type="spellEnd"/>
      <w:r w:rsidRPr="004B171B">
        <w:rPr>
          <w:rFonts w:asciiTheme="minorEastAsia" w:hAnsiTheme="minorEastAsia"/>
          <w:sz w:val="20"/>
          <w:szCs w:val="20"/>
          <w:lang w:eastAsia="ko-KR"/>
        </w:rPr>
        <w:t xml:space="preserve"> 종식시켜야 한다는 입장을 굽히지 않는다</w:t>
      </w:r>
      <w:r w:rsidR="004B171B">
        <w:rPr>
          <w:rFonts w:asciiTheme="minorEastAsia" w:hAnsiTheme="minorEastAsia" w:hint="eastAsia"/>
          <w:sz w:val="20"/>
          <w:szCs w:val="20"/>
          <w:lang w:eastAsia="ko-KR"/>
        </w:rPr>
        <w:t xml:space="preserve"> </w:t>
      </w:r>
      <w:r w:rsidRPr="00F2098E">
        <w:rPr>
          <w:rFonts w:asciiTheme="minorEastAsia" w:hAnsiTheme="minorEastAsia"/>
          <w:sz w:val="20"/>
          <w:szCs w:val="20"/>
          <w:lang w:eastAsia="ko-KR"/>
        </w:rPr>
        <w:t>(</w:t>
      </w:r>
      <w:proofErr w:type="spellStart"/>
      <w:r w:rsidRPr="00F2098E">
        <w:rPr>
          <w:rFonts w:asciiTheme="minorEastAsia" w:hAnsiTheme="minorEastAsia"/>
          <w:sz w:val="20"/>
          <w:szCs w:val="20"/>
          <w:lang w:eastAsia="ko-KR"/>
        </w:rPr>
        <w:t>Gurbai</w:t>
      </w:r>
      <w:proofErr w:type="spellEnd"/>
      <w:r w:rsidRPr="00F2098E">
        <w:rPr>
          <w:rFonts w:asciiTheme="minorEastAsia" w:hAnsiTheme="minorEastAsia"/>
          <w:sz w:val="20"/>
          <w:szCs w:val="20"/>
          <w:lang w:eastAsia="ko-KR"/>
        </w:rPr>
        <w:t xml:space="preserve"> 2020)</w:t>
      </w:r>
      <w:r w:rsidR="004B171B">
        <w:rPr>
          <w:rFonts w:asciiTheme="minorEastAsia" w:hAnsiTheme="minorEastAsia"/>
          <w:sz w:val="20"/>
          <w:szCs w:val="20"/>
          <w:lang w:eastAsia="ko-KR"/>
        </w:rPr>
        <w:t>.</w:t>
      </w:r>
    </w:p>
    <w:p w14:paraId="3B527343"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lastRenderedPageBreak/>
        <w:t xml:space="preserve">유엔의 인권 관련 </w:t>
      </w:r>
      <w:proofErr w:type="spellStart"/>
      <w:r w:rsidRPr="00F2098E">
        <w:rPr>
          <w:rFonts w:asciiTheme="minorEastAsia" w:hAnsiTheme="minorEastAsia"/>
          <w:sz w:val="20"/>
          <w:szCs w:val="20"/>
          <w:lang w:eastAsia="ko-KR"/>
        </w:rPr>
        <w:t>문서들에는</w:t>
      </w:r>
      <w:proofErr w:type="spellEnd"/>
      <w:r w:rsidRPr="00F2098E">
        <w:rPr>
          <w:rFonts w:asciiTheme="minorEastAsia" w:hAnsiTheme="minorEastAsia"/>
          <w:sz w:val="20"/>
          <w:szCs w:val="20"/>
          <w:lang w:eastAsia="ko-KR"/>
        </w:rPr>
        <w:t xml:space="preserve"> 이처럼 강경한 논조의 보고서들을 다수 발견할 수 있다. Juan E. Méndez가 작성한 고문특별보고관 보고서(A/HRC/22/</w:t>
      </w:r>
      <w:proofErr w:type="gramStart"/>
      <w:r w:rsidRPr="00F2098E">
        <w:rPr>
          <w:rFonts w:asciiTheme="minorEastAsia" w:hAnsiTheme="minorEastAsia"/>
          <w:sz w:val="20"/>
          <w:szCs w:val="20"/>
          <w:lang w:eastAsia="ko-KR"/>
        </w:rPr>
        <w:t>53)는</w:t>
      </w:r>
      <w:proofErr w:type="gramEnd"/>
      <w:r w:rsidRPr="00F2098E">
        <w:rPr>
          <w:rFonts w:asciiTheme="minorEastAsia" w:hAnsiTheme="minorEastAsia"/>
          <w:sz w:val="20"/>
          <w:szCs w:val="20"/>
          <w:lang w:eastAsia="ko-KR"/>
        </w:rPr>
        <w:t xml:space="preserve"> 정신, 지적 장애인을 대상으로 한 강제적, 비동의적 조치(격리, 강박 포함)가, 질병치료라는 </w:t>
      </w:r>
      <w:proofErr w:type="spellStart"/>
      <w:r w:rsidRPr="00F2098E">
        <w:rPr>
          <w:rFonts w:asciiTheme="minorEastAsia" w:hAnsiTheme="minorEastAsia"/>
          <w:sz w:val="20"/>
          <w:szCs w:val="20"/>
          <w:lang w:eastAsia="ko-KR"/>
        </w:rPr>
        <w:t>명목하에</w:t>
      </w:r>
      <w:proofErr w:type="spellEnd"/>
      <w:r w:rsidRPr="00F2098E">
        <w:rPr>
          <w:rFonts w:asciiTheme="minorEastAsia" w:hAnsiTheme="minorEastAsia"/>
          <w:sz w:val="20"/>
          <w:szCs w:val="20"/>
          <w:lang w:eastAsia="ko-KR"/>
        </w:rPr>
        <w:t xml:space="preserve"> 행해지는 고문 또는 비인도적 처우로 간주될 수도 있다고 명시한다.(Méndez 2013) 이는 강압적 치료가 심각한 고통을 유발하며, 잔인하고 비인도적이며 굴욕적인 대우에 해당할 수 있기 때문이다.</w:t>
      </w:r>
    </w:p>
    <w:p w14:paraId="651CA40F" w14:textId="77777777" w:rsidR="00A00B40" w:rsidRPr="00F2098E" w:rsidRDefault="00000000" w:rsidP="00F2098E">
      <w:pPr>
        <w:pStyle w:val="a0"/>
        <w:jc w:val="both"/>
        <w:rPr>
          <w:rFonts w:asciiTheme="minorEastAsia" w:hAnsiTheme="minorEastAsia"/>
          <w:sz w:val="20"/>
          <w:szCs w:val="20"/>
        </w:rPr>
      </w:pPr>
      <w:proofErr w:type="spellStart"/>
      <w:r w:rsidRPr="00F2098E">
        <w:rPr>
          <w:rFonts w:asciiTheme="minorEastAsia" w:hAnsiTheme="minorEastAsia"/>
          <w:sz w:val="20"/>
          <w:szCs w:val="20"/>
        </w:rPr>
        <w:t>그러나</w:t>
      </w:r>
      <w:proofErr w:type="spellEnd"/>
      <w:r w:rsidRPr="00F2098E">
        <w:rPr>
          <w:rFonts w:asciiTheme="minorEastAsia" w:hAnsiTheme="minorEastAsia"/>
          <w:sz w:val="20"/>
          <w:szCs w:val="20"/>
        </w:rPr>
        <w:t xml:space="preserve"> </w:t>
      </w:r>
      <w:proofErr w:type="spellStart"/>
      <w:r w:rsidRPr="00F2098E">
        <w:rPr>
          <w:rFonts w:asciiTheme="minorEastAsia" w:hAnsiTheme="minorEastAsia"/>
          <w:sz w:val="20"/>
          <w:szCs w:val="20"/>
        </w:rPr>
        <w:t>유엔</w:t>
      </w:r>
      <w:proofErr w:type="spellEnd"/>
      <w:r w:rsidRPr="00F2098E">
        <w:rPr>
          <w:rFonts w:asciiTheme="minorEastAsia" w:hAnsiTheme="minorEastAsia"/>
          <w:sz w:val="20"/>
          <w:szCs w:val="20"/>
        </w:rPr>
        <w:t xml:space="preserve"> </w:t>
      </w:r>
      <w:proofErr w:type="spellStart"/>
      <w:r w:rsidRPr="00F2098E">
        <w:rPr>
          <w:rFonts w:asciiTheme="minorEastAsia" w:hAnsiTheme="minorEastAsia"/>
          <w:sz w:val="20"/>
          <w:szCs w:val="20"/>
        </w:rPr>
        <w:t>내부에서조차</w:t>
      </w:r>
      <w:proofErr w:type="spellEnd"/>
      <w:r w:rsidRPr="00F2098E">
        <w:rPr>
          <w:rFonts w:asciiTheme="minorEastAsia" w:hAnsiTheme="minorEastAsia"/>
          <w:sz w:val="20"/>
          <w:szCs w:val="20"/>
        </w:rPr>
        <w:t xml:space="preserve"> A/HRC/35/21가 지적한 현실적 어려움, 즉 의학적 필요성과 인권 간의 타협점을 어디서 찾을 것인가를 두고 이견이 </w:t>
      </w:r>
      <w:proofErr w:type="gramStart"/>
      <w:r w:rsidRPr="00F2098E">
        <w:rPr>
          <w:rFonts w:asciiTheme="minorEastAsia" w:hAnsiTheme="minorEastAsia"/>
          <w:sz w:val="20"/>
          <w:szCs w:val="20"/>
        </w:rPr>
        <w:t>존재했다.(</w:t>
      </w:r>
      <w:proofErr w:type="gramEnd"/>
      <w:r w:rsidRPr="00F2098E">
        <w:rPr>
          <w:rFonts w:asciiTheme="minorEastAsia" w:hAnsiTheme="minorEastAsia"/>
          <w:sz w:val="20"/>
          <w:szCs w:val="20"/>
        </w:rPr>
        <w:t>Doyle Guilloud 2019) 2014년에 유엔 자유권리위원회(Human Rights Committee, ICCPR)는 일반논평 35(General comment no.35: Article 9, GC35)를 채택했는데, 그 내용은 다음과 같다(United Nations Human Rights Committee 2014):</w:t>
      </w:r>
    </w:p>
    <w:p w14:paraId="16CEC1AC" w14:textId="77777777" w:rsidR="00A00B40" w:rsidRPr="00F2098E" w:rsidRDefault="00000000" w:rsidP="00F2098E">
      <w:pPr>
        <w:pStyle w:val="a8"/>
        <w:jc w:val="both"/>
        <w:rPr>
          <w:rFonts w:asciiTheme="minorEastAsia" w:hAnsiTheme="minorEastAsia"/>
          <w:sz w:val="20"/>
          <w:szCs w:val="20"/>
        </w:rPr>
      </w:pPr>
      <w:r w:rsidRPr="00F2098E">
        <w:rPr>
          <w:rFonts w:asciiTheme="minorEastAsia" w:hAnsiTheme="minorEastAsia"/>
          <w:i/>
          <w:iCs/>
          <w:sz w:val="20"/>
          <w:szCs w:val="20"/>
        </w:rPr>
        <w:t>장애의 존재만으로는 자유의 박탈이 정당화될 수 없으며, 심각한 위험으로부터 장애인을 보호하고 타인에게 손상을 입히지 않도록 방지할 목적에 따라 필수적이고 적합할 경우에만 자유를 박탈할 수 있다 (The existence of a disability shall not in itself justify a deprivation of liberty but rather any deprivation of liberty must be necessary and proportionate, for the purpose of protecting the individual in question from serious harm or preventing injury to others).</w:t>
      </w:r>
    </w:p>
    <w:p w14:paraId="14E89E62"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즉 GC35는 강압적 치료가 최후의 수단으로서, 최단 기간, 법률에 근거한 보호 조치와 함께 적용될 수 있다는 예외를 인정하고 있다. 또 다른 유엔 산하 조직인 고문방지위원회(Committee Against Torture, CAT)와 고문방지소위원회(Subcommittee on Prevention of Torture, SPT) 역시 CRPD가 제시한 절대적 금지 입장을 채택하지는 않는다. CAT가 내린 고문의 정의에는 심각한 고통과 고난, 상처를 주려는 고의성, 특정한 목적, 국가의 개입이 포함된다.(United Nations Committee Against Torture 2008) 이 기준에 따르면 일부러 고통을 주려는 의도가 없는 의학적 처치를 고문으로 치부하는 것은 어폐가 있다. 대신 CAT는 비자의적 정신과 치료는 “예외적인 경우에만” 그리고 “최후의 수단으로서” 사용되어야 한다고 강조해왔다.(Zach and Birk 2019) 이러한 입장은 강압적 치료 그 자체를 금지하는 것이 아니라, 의료적 필요성과 비례성을 포함한 높은 수준의 정당화 기준을 충족하는 경우에 한하여 허용한다는 것이다. SPT 역시 무조건적 폐지보다는 강압적 관행의 감소와 절차 감시에 초점을 맞춘 예방적인 접근을 지향한다.(United Nations Subcommittee on Prevention of Torture 2014) 이를 종합하면, 유엔 산하 기구들 사이에서도 의견이 통일된 것은 아니며, 국제 인권법 내부에서 절대주의적 해석과 </w:t>
      </w:r>
      <w:proofErr w:type="spellStart"/>
      <w:r w:rsidRPr="00F2098E">
        <w:rPr>
          <w:rFonts w:asciiTheme="minorEastAsia" w:hAnsiTheme="minorEastAsia"/>
          <w:sz w:val="20"/>
          <w:szCs w:val="20"/>
          <w:lang w:eastAsia="ko-KR"/>
        </w:rPr>
        <w:t>비례성</w:t>
      </w:r>
      <w:proofErr w:type="spellEnd"/>
      <w:r w:rsidRPr="00F2098E">
        <w:rPr>
          <w:rFonts w:asciiTheme="minorEastAsia" w:hAnsiTheme="minorEastAsia"/>
          <w:sz w:val="20"/>
          <w:szCs w:val="20"/>
          <w:lang w:eastAsia="ko-KR"/>
        </w:rPr>
        <w:t xml:space="preserve"> 기반 해석 사이의 근본적인 긴장과 갈등이 존재한다는 것을 보여준다.</w:t>
      </w:r>
    </w:p>
    <w:p w14:paraId="316B003E" w14:textId="3A7D1268" w:rsidR="003D1BA4" w:rsidRPr="003D1BA4" w:rsidRDefault="00000000" w:rsidP="003D1BA4">
      <w:pPr>
        <w:pStyle w:val="a0"/>
        <w:jc w:val="both"/>
        <w:rPr>
          <w:rFonts w:asciiTheme="minorEastAsia" w:hAnsiTheme="minorEastAsia" w:hint="eastAsia"/>
          <w:color w:val="00B050"/>
          <w:sz w:val="20"/>
          <w:szCs w:val="20"/>
          <w:lang w:eastAsia="ko-KR"/>
        </w:rPr>
      </w:pPr>
      <w:r w:rsidRPr="003D1BA4">
        <w:rPr>
          <w:rFonts w:asciiTheme="minorEastAsia" w:hAnsiTheme="minorEastAsia"/>
          <w:sz w:val="20"/>
          <w:szCs w:val="20"/>
          <w:highlight w:val="yellow"/>
          <w:lang w:eastAsia="ko-KR"/>
        </w:rPr>
        <w:t>유럽인권협약(European Convention on Human Rights, ECHR) 역시 CRPD의 결정을 유보한다.</w:t>
      </w:r>
      <w:r w:rsidR="003D1BA4">
        <w:rPr>
          <w:rFonts w:asciiTheme="minorEastAsia" w:hAnsiTheme="minorEastAsia"/>
          <w:sz w:val="20"/>
          <w:szCs w:val="20"/>
          <w:lang w:eastAsia="ko-KR"/>
        </w:rPr>
        <w:t xml:space="preserve"> (</w:t>
      </w:r>
      <w:r w:rsidR="003D1BA4" w:rsidRPr="003D1BA4">
        <w:rPr>
          <w:rFonts w:asciiTheme="minorEastAsia" w:hAnsiTheme="minorEastAsia" w:hint="eastAsia"/>
          <w:sz w:val="20"/>
          <w:szCs w:val="20"/>
          <w:lang w:eastAsia="ko-KR"/>
        </w:rPr>
        <w:t>"</w:t>
      </w:r>
      <w:r w:rsidR="003D1BA4" w:rsidRPr="003D1BA4">
        <w:rPr>
          <w:rFonts w:asciiTheme="minorEastAsia" w:hAnsiTheme="minorEastAsia" w:hint="eastAsia"/>
          <w:color w:val="00B050"/>
          <w:sz w:val="20"/>
          <w:szCs w:val="20"/>
          <w:lang w:eastAsia="ko-KR"/>
        </w:rPr>
        <w:t xml:space="preserve">유럽인권협약(ECHR)이 CRPD의 결정을 유보한다"는 표현은 </w:t>
      </w:r>
      <w:proofErr w:type="spellStart"/>
      <w:r w:rsidR="003D1BA4" w:rsidRPr="003D1BA4">
        <w:rPr>
          <w:rFonts w:asciiTheme="minorEastAsia" w:hAnsiTheme="minorEastAsia" w:hint="eastAsia"/>
          <w:color w:val="00B050"/>
          <w:sz w:val="20"/>
          <w:szCs w:val="20"/>
          <w:lang w:eastAsia="ko-KR"/>
        </w:rPr>
        <w:t>법적·학술적으로</w:t>
      </w:r>
      <w:proofErr w:type="spellEnd"/>
      <w:r w:rsidR="003D1BA4" w:rsidRPr="003D1BA4">
        <w:rPr>
          <w:rFonts w:asciiTheme="minorEastAsia" w:hAnsiTheme="minorEastAsia" w:hint="eastAsia"/>
          <w:color w:val="00B050"/>
          <w:sz w:val="20"/>
          <w:szCs w:val="20"/>
          <w:lang w:eastAsia="ko-KR"/>
        </w:rPr>
        <w:t xml:space="preserve"> 오해를 불러일으킬 수 있는 잘못된 서술입니다.</w:t>
      </w:r>
      <w:r w:rsidR="003D1BA4" w:rsidRPr="003D1BA4">
        <w:rPr>
          <w:rFonts w:asciiTheme="minorEastAsia" w:hAnsiTheme="minorEastAsia"/>
          <w:color w:val="00B050"/>
          <w:sz w:val="20"/>
          <w:szCs w:val="20"/>
          <w:lang w:eastAsia="ko-KR"/>
        </w:rPr>
        <w:t xml:space="preserve"> </w:t>
      </w:r>
      <w:r w:rsidR="003D1BA4" w:rsidRPr="003D1BA4">
        <w:rPr>
          <w:rFonts w:asciiTheme="minorEastAsia" w:hAnsiTheme="minorEastAsia" w:hint="eastAsia"/>
          <w:color w:val="00B050"/>
          <w:sz w:val="20"/>
          <w:szCs w:val="20"/>
          <w:highlight w:val="yellow"/>
          <w:lang w:eastAsia="ko-KR"/>
        </w:rPr>
        <w:t>그 이유는 다음과 같습니다.</w:t>
      </w:r>
      <w:r w:rsidR="003D1BA4" w:rsidRPr="003D1BA4">
        <w:rPr>
          <w:rFonts w:asciiTheme="minorEastAsia" w:hAnsiTheme="minorEastAsia"/>
          <w:color w:val="00B050"/>
          <w:sz w:val="20"/>
          <w:szCs w:val="20"/>
          <w:highlight w:val="yellow"/>
          <w:lang w:eastAsia="ko-KR"/>
        </w:rPr>
        <w:t xml:space="preserve"> </w:t>
      </w:r>
      <w:r w:rsidR="003D1BA4" w:rsidRPr="003D1BA4">
        <w:rPr>
          <w:rFonts w:asciiTheme="minorEastAsia" w:hAnsiTheme="minorEastAsia" w:hint="eastAsia"/>
          <w:color w:val="00B050"/>
          <w:sz w:val="20"/>
          <w:szCs w:val="20"/>
          <w:highlight w:val="yellow"/>
          <w:lang w:eastAsia="ko-KR"/>
        </w:rPr>
        <w:t>1. 기구 간의 성격 차이 (조약 vs 기구)</w:t>
      </w:r>
      <w:r w:rsidR="003D1BA4" w:rsidRPr="003D1BA4">
        <w:rPr>
          <w:rFonts w:asciiTheme="minorEastAsia" w:hAnsiTheme="minorEastAsia"/>
          <w:color w:val="00B050"/>
          <w:sz w:val="20"/>
          <w:szCs w:val="20"/>
          <w:highlight w:val="yellow"/>
          <w:lang w:eastAsia="ko-KR"/>
        </w:rPr>
        <w:t xml:space="preserve"> </w:t>
      </w:r>
      <w:r w:rsidR="003D1BA4" w:rsidRPr="003D1BA4">
        <w:rPr>
          <w:rFonts w:asciiTheme="minorEastAsia" w:hAnsiTheme="minorEastAsia" w:hint="eastAsia"/>
          <w:color w:val="00B050"/>
          <w:sz w:val="20"/>
          <w:szCs w:val="20"/>
          <w:highlight w:val="yellow"/>
          <w:lang w:eastAsia="ko-KR"/>
        </w:rPr>
        <w:t>ECHR(유럽인권협약): 유럽 평의회(Council of Europe) 국가들이 체결한 '조약(Treaty)' 그 자체이며, 이를 집행하는 기구는 유럽인권재판소(ECtHR)입니다.</w:t>
      </w:r>
      <w:r w:rsidR="003D1BA4" w:rsidRPr="003D1BA4">
        <w:rPr>
          <w:rFonts w:asciiTheme="minorEastAsia" w:hAnsiTheme="minorEastAsia"/>
          <w:color w:val="00B050"/>
          <w:sz w:val="20"/>
          <w:szCs w:val="20"/>
          <w:highlight w:val="yellow"/>
          <w:lang w:eastAsia="ko-KR"/>
        </w:rPr>
        <w:t xml:space="preserve"> </w:t>
      </w:r>
      <w:r w:rsidR="003D1BA4" w:rsidRPr="003D1BA4">
        <w:rPr>
          <w:rFonts w:asciiTheme="minorEastAsia" w:hAnsiTheme="minorEastAsia" w:hint="eastAsia"/>
          <w:color w:val="00B050"/>
          <w:sz w:val="20"/>
          <w:szCs w:val="20"/>
          <w:highlight w:val="yellow"/>
          <w:lang w:eastAsia="ko-KR"/>
        </w:rPr>
        <w:t>CRPD(장애인권리협약): UN 차원의 국제 조약입니다.</w:t>
      </w:r>
      <w:r w:rsidR="003D1BA4" w:rsidRPr="003D1BA4">
        <w:rPr>
          <w:rFonts w:asciiTheme="minorEastAsia" w:hAnsiTheme="minorEastAsia"/>
          <w:color w:val="00B050"/>
          <w:sz w:val="20"/>
          <w:szCs w:val="20"/>
          <w:highlight w:val="yellow"/>
          <w:lang w:eastAsia="ko-KR"/>
        </w:rPr>
        <w:t xml:space="preserve"> </w:t>
      </w:r>
      <w:r w:rsidR="003D1BA4" w:rsidRPr="003D1BA4">
        <w:rPr>
          <w:rFonts w:asciiTheme="minorEastAsia" w:hAnsiTheme="minorEastAsia" w:hint="eastAsia"/>
          <w:color w:val="00B050"/>
          <w:sz w:val="20"/>
          <w:szCs w:val="20"/>
          <w:highlight w:val="yellow"/>
          <w:lang w:eastAsia="ko-KR"/>
        </w:rPr>
        <w:t>조약이 다른 조약의 결정을 "유보"한다는 표현은 법적 주체 관계를 모호하게 만듭니다</w:t>
      </w:r>
      <w:r w:rsidR="003D1BA4" w:rsidRPr="003D1BA4">
        <w:rPr>
          <w:rFonts w:asciiTheme="minorEastAsia" w:hAnsiTheme="minorEastAsia" w:hint="eastAsia"/>
          <w:color w:val="00B050"/>
          <w:sz w:val="20"/>
          <w:szCs w:val="20"/>
          <w:highlight w:val="yellow"/>
          <w:lang w:eastAsia="ko-KR"/>
        </w:rPr>
        <w:t>=</w:t>
      </w:r>
      <w:r w:rsidR="003D1BA4" w:rsidRPr="003D1BA4">
        <w:rPr>
          <w:rFonts w:asciiTheme="minorEastAsia" w:hAnsiTheme="minorEastAsia"/>
          <w:color w:val="00B050"/>
          <w:sz w:val="20"/>
          <w:szCs w:val="20"/>
          <w:highlight w:val="yellow"/>
          <w:lang w:eastAsia="ko-KR"/>
        </w:rPr>
        <w:t>=</w:t>
      </w:r>
      <w:r w:rsidR="003D1BA4" w:rsidRPr="003D1BA4">
        <w:rPr>
          <w:rFonts w:hint="eastAsia"/>
          <w:lang w:eastAsia="ko-KR"/>
        </w:rPr>
        <w:t xml:space="preserve"> </w:t>
      </w:r>
      <w:r w:rsidR="003D1BA4" w:rsidRPr="003D1BA4">
        <w:rPr>
          <w:rFonts w:asciiTheme="minorEastAsia" w:hAnsiTheme="minorEastAsia" w:hint="eastAsia"/>
          <w:color w:val="00B050"/>
          <w:sz w:val="20"/>
          <w:szCs w:val="20"/>
          <w:lang w:eastAsia="ko-KR"/>
        </w:rPr>
        <w:t>유럽 인권 체계 역시 장애인권리협약(CRPD) 위원회의 전면적 금지 원칙과는 궤를 달리하는 입장을 견지하고 있다</w:t>
      </w:r>
      <w:r w:rsidR="003D1BA4">
        <w:rPr>
          <w:rFonts w:asciiTheme="minorEastAsia" w:hAnsiTheme="minorEastAsia"/>
          <w:color w:val="00B050"/>
          <w:sz w:val="20"/>
          <w:szCs w:val="20"/>
          <w:lang w:eastAsia="ko-KR"/>
        </w:rPr>
        <w:t>)</w:t>
      </w:r>
    </w:p>
    <w:p w14:paraId="3B10C03D" w14:textId="3364FED9" w:rsidR="00A00B40" w:rsidRPr="00F2098E" w:rsidRDefault="00000000" w:rsidP="003D1BA4">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lastRenderedPageBreak/>
        <w:t xml:space="preserve">ECHR은 “정신이 온전하지 않은 자(persons of unsound mind)”의 구금을 명시적으로 허용하고 있다. 이는 정신과 치료를 위한 강제 입원이나 강박을 포함한 강압적 조치들이 “치료적 필요성”에 의한 것으로 간주된다면 비인도적 대우에 해당하지 않는다고 본다는 것을 의미한다. 다만, 최근의 동향은 적법한 절차에 따라 강제 </w:t>
      </w:r>
      <w:proofErr w:type="spellStart"/>
      <w:r w:rsidRPr="00F2098E">
        <w:rPr>
          <w:rFonts w:asciiTheme="minorEastAsia" w:hAnsiTheme="minorEastAsia"/>
          <w:sz w:val="20"/>
          <w:szCs w:val="20"/>
          <w:lang w:eastAsia="ko-KR"/>
        </w:rPr>
        <w:t>입원되었다</w:t>
      </w:r>
      <w:proofErr w:type="spellEnd"/>
      <w:r w:rsidRPr="00F2098E">
        <w:rPr>
          <w:rFonts w:asciiTheme="minorEastAsia" w:hAnsiTheme="minorEastAsia"/>
          <w:sz w:val="20"/>
          <w:szCs w:val="20"/>
          <w:lang w:eastAsia="ko-KR"/>
        </w:rPr>
        <w:t xml:space="preserve"> 하더라도, 강제 투약을 거부할 수 있는 환자의 권리를 인정하는 쪽으로 변화하고 있다.(Fiala-Butora 2024)</w:t>
      </w:r>
    </w:p>
    <w:p w14:paraId="2FED627B" w14:textId="7A174234" w:rsidR="00A00B40" w:rsidRPr="00F2098E" w:rsidRDefault="00000000" w:rsidP="00414C90">
      <w:pPr>
        <w:pStyle w:val="a0"/>
        <w:jc w:val="both"/>
        <w:rPr>
          <w:rFonts w:asciiTheme="minorEastAsia" w:hAnsiTheme="minorEastAsia"/>
          <w:sz w:val="20"/>
          <w:szCs w:val="20"/>
        </w:rPr>
      </w:pPr>
      <w:r w:rsidRPr="00F2098E">
        <w:rPr>
          <w:rFonts w:asciiTheme="minorEastAsia" w:hAnsiTheme="minorEastAsia"/>
          <w:sz w:val="20"/>
          <w:szCs w:val="20"/>
          <w:lang w:eastAsia="ko-KR"/>
        </w:rPr>
        <w:t xml:space="preserve">ECHR이 예외 규정을 두고 있다고 해도, 정신장애가 있는 개인의 권리와 자율성이 침해되어서는 안 된다는 기본 원칙에 대해서는 유엔과 공유한다. 다만 해석과 현실 상황에의 적용에 차이가 있을 뿐이다. 하지만 특정 상황에서의 예외를 허용할 것인가(GC35, ECHR) </w:t>
      </w:r>
      <w:proofErr w:type="spellStart"/>
      <w:r w:rsidRPr="00F2098E">
        <w:rPr>
          <w:rFonts w:asciiTheme="minorEastAsia" w:hAnsiTheme="minorEastAsia"/>
          <w:sz w:val="20"/>
          <w:szCs w:val="20"/>
          <w:lang w:eastAsia="ko-KR"/>
        </w:rPr>
        <w:t>말건가</w:t>
      </w:r>
      <w:proofErr w:type="spellEnd"/>
      <w:r w:rsidRPr="00F2098E">
        <w:rPr>
          <w:rFonts w:asciiTheme="minorEastAsia" w:hAnsiTheme="minorEastAsia"/>
          <w:sz w:val="20"/>
          <w:szCs w:val="20"/>
          <w:lang w:eastAsia="ko-KR"/>
        </w:rPr>
        <w:t xml:space="preserve">(A/HRC/35/21)라는 견해 차이는 피할 수 없는 갈등을 초래한다. </w:t>
      </w:r>
      <w:r w:rsidRPr="00F2098E">
        <w:rPr>
          <w:rFonts w:asciiTheme="minorEastAsia" w:hAnsiTheme="minorEastAsia"/>
          <w:sz w:val="20"/>
          <w:szCs w:val="20"/>
        </w:rPr>
        <w:t xml:space="preserve">Wayne </w:t>
      </w:r>
      <w:proofErr w:type="spellStart"/>
      <w:r w:rsidRPr="00F2098E">
        <w:rPr>
          <w:rFonts w:asciiTheme="minorEastAsia" w:hAnsiTheme="minorEastAsia"/>
          <w:sz w:val="20"/>
          <w:szCs w:val="20"/>
        </w:rPr>
        <w:t>Martin과</w:t>
      </w:r>
      <w:proofErr w:type="spellEnd"/>
      <w:r w:rsidRPr="00F2098E">
        <w:rPr>
          <w:rFonts w:asciiTheme="minorEastAsia" w:hAnsiTheme="minorEastAsia"/>
          <w:sz w:val="20"/>
          <w:szCs w:val="20"/>
        </w:rPr>
        <w:t xml:space="preserve"> </w:t>
      </w:r>
      <w:proofErr w:type="spellStart"/>
      <w:r w:rsidRPr="00F2098E">
        <w:rPr>
          <w:rFonts w:asciiTheme="minorEastAsia" w:hAnsiTheme="minorEastAsia"/>
          <w:sz w:val="20"/>
          <w:szCs w:val="20"/>
        </w:rPr>
        <w:t>Sándor</w:t>
      </w:r>
      <w:proofErr w:type="spellEnd"/>
      <w:r w:rsidRPr="00F2098E">
        <w:rPr>
          <w:rFonts w:asciiTheme="minorEastAsia" w:hAnsiTheme="minorEastAsia"/>
          <w:sz w:val="20"/>
          <w:szCs w:val="20"/>
        </w:rPr>
        <w:t xml:space="preserve"> </w:t>
      </w:r>
      <w:proofErr w:type="spellStart"/>
      <w:r w:rsidRPr="00F2098E">
        <w:rPr>
          <w:rFonts w:asciiTheme="minorEastAsia" w:hAnsiTheme="minorEastAsia"/>
          <w:sz w:val="20"/>
          <w:szCs w:val="20"/>
        </w:rPr>
        <w:t>Gurbai는</w:t>
      </w:r>
      <w:proofErr w:type="spellEnd"/>
      <w:r w:rsidRPr="00F2098E">
        <w:rPr>
          <w:rFonts w:asciiTheme="minorEastAsia" w:hAnsiTheme="minorEastAsia"/>
          <w:sz w:val="20"/>
          <w:szCs w:val="20"/>
        </w:rPr>
        <w:t xml:space="preserve"> </w:t>
      </w:r>
      <w:proofErr w:type="spellStart"/>
      <w:r w:rsidRPr="00F2098E">
        <w:rPr>
          <w:rFonts w:asciiTheme="minorEastAsia" w:hAnsiTheme="minorEastAsia"/>
          <w:sz w:val="20"/>
          <w:szCs w:val="20"/>
        </w:rPr>
        <w:t>이러한</w:t>
      </w:r>
      <w:proofErr w:type="spellEnd"/>
      <w:r w:rsidRPr="00F2098E">
        <w:rPr>
          <w:rFonts w:asciiTheme="minorEastAsia" w:hAnsiTheme="minorEastAsia"/>
          <w:sz w:val="20"/>
          <w:szCs w:val="20"/>
        </w:rPr>
        <w:t xml:space="preserve"> </w:t>
      </w:r>
      <w:proofErr w:type="spellStart"/>
      <w:r w:rsidRPr="00F2098E">
        <w:rPr>
          <w:rFonts w:asciiTheme="minorEastAsia" w:hAnsiTheme="minorEastAsia"/>
          <w:sz w:val="20"/>
          <w:szCs w:val="20"/>
        </w:rPr>
        <w:t>불일치</w:t>
      </w:r>
      <w:proofErr w:type="spellEnd"/>
      <w:r w:rsidRPr="00F2098E">
        <w:rPr>
          <w:rFonts w:asciiTheme="minorEastAsia" w:hAnsiTheme="minorEastAsia"/>
          <w:sz w:val="20"/>
          <w:szCs w:val="20"/>
        </w:rPr>
        <w:t xml:space="preserve"> </w:t>
      </w:r>
      <w:proofErr w:type="spellStart"/>
      <w:r w:rsidRPr="00F2098E">
        <w:rPr>
          <w:rFonts w:asciiTheme="minorEastAsia" w:hAnsiTheme="minorEastAsia"/>
          <w:sz w:val="20"/>
          <w:szCs w:val="20"/>
        </w:rPr>
        <w:t>상황을</w:t>
      </w:r>
      <w:proofErr w:type="spellEnd"/>
      <w:r w:rsidRPr="00F2098E">
        <w:rPr>
          <w:rFonts w:asciiTheme="minorEastAsia" w:hAnsiTheme="minorEastAsia"/>
          <w:sz w:val="20"/>
          <w:szCs w:val="20"/>
        </w:rPr>
        <w:t xml:space="preserve"> “제네바 </w:t>
      </w:r>
      <w:proofErr w:type="gramStart"/>
      <w:r w:rsidRPr="00F2098E">
        <w:rPr>
          <w:rFonts w:asciiTheme="minorEastAsia" w:hAnsiTheme="minorEastAsia"/>
          <w:sz w:val="20"/>
          <w:szCs w:val="20"/>
        </w:rPr>
        <w:t>교착상태(</w:t>
      </w:r>
      <w:proofErr w:type="gramEnd"/>
      <w:r w:rsidRPr="00F2098E">
        <w:rPr>
          <w:rFonts w:asciiTheme="minorEastAsia" w:hAnsiTheme="minorEastAsia"/>
          <w:sz w:val="20"/>
          <w:szCs w:val="20"/>
        </w:rPr>
        <w:t xml:space="preserve">Geneva Impasse)”라고 명명하였다.[Martin and Gurbai (2019)](McSherry, Gooding, and Maker 2023) 그들은 이 교착 상태가 법을 해석하는 두 가지접근 방식, 즉 “절대적 해석(absolute interpretation)”과 “비례적 해석(proportionality interpretation)” 사이의 좁힐 수 </w:t>
      </w:r>
      <w:proofErr w:type="spellStart"/>
      <w:r w:rsidRPr="00F2098E">
        <w:rPr>
          <w:rFonts w:asciiTheme="minorEastAsia" w:hAnsiTheme="minorEastAsia"/>
          <w:sz w:val="20"/>
          <w:szCs w:val="20"/>
        </w:rPr>
        <w:t>없는</w:t>
      </w:r>
      <w:proofErr w:type="spellEnd"/>
      <w:r w:rsidRPr="00F2098E">
        <w:rPr>
          <w:rFonts w:asciiTheme="minorEastAsia" w:hAnsiTheme="minorEastAsia"/>
          <w:sz w:val="20"/>
          <w:szCs w:val="20"/>
        </w:rPr>
        <w:t xml:space="preserve"> </w:t>
      </w:r>
      <w:proofErr w:type="spellStart"/>
      <w:r w:rsidRPr="00F2098E">
        <w:rPr>
          <w:rFonts w:asciiTheme="minorEastAsia" w:hAnsiTheme="minorEastAsia"/>
          <w:sz w:val="20"/>
          <w:szCs w:val="20"/>
        </w:rPr>
        <w:t>간극에서</w:t>
      </w:r>
      <w:proofErr w:type="spellEnd"/>
      <w:r w:rsidRPr="00F2098E">
        <w:rPr>
          <w:rFonts w:asciiTheme="minorEastAsia" w:hAnsiTheme="minorEastAsia"/>
          <w:sz w:val="20"/>
          <w:szCs w:val="20"/>
        </w:rPr>
        <w:t xml:space="preserve"> </w:t>
      </w:r>
      <w:proofErr w:type="spellStart"/>
      <w:r w:rsidRPr="00F2098E">
        <w:rPr>
          <w:rFonts w:asciiTheme="minorEastAsia" w:hAnsiTheme="minorEastAsia"/>
          <w:sz w:val="20"/>
          <w:szCs w:val="20"/>
        </w:rPr>
        <w:t>비롯되었다고</w:t>
      </w:r>
      <w:proofErr w:type="spellEnd"/>
      <w:r w:rsidRPr="00F2098E">
        <w:rPr>
          <w:rFonts w:asciiTheme="minorEastAsia" w:hAnsiTheme="minorEastAsia"/>
          <w:sz w:val="20"/>
          <w:szCs w:val="20"/>
        </w:rPr>
        <w:t xml:space="preserve"> </w:t>
      </w:r>
      <w:proofErr w:type="spellStart"/>
      <w:r w:rsidRPr="00F2098E">
        <w:rPr>
          <w:rFonts w:asciiTheme="minorEastAsia" w:hAnsiTheme="minorEastAsia"/>
          <w:sz w:val="20"/>
          <w:szCs w:val="20"/>
        </w:rPr>
        <w:t>분석하였다</w:t>
      </w:r>
      <w:proofErr w:type="spellEnd"/>
      <w:r w:rsidRPr="00F2098E">
        <w:rPr>
          <w:rFonts w:asciiTheme="minorEastAsia" w:hAnsiTheme="minorEastAsia"/>
          <w:sz w:val="20"/>
          <w:szCs w:val="20"/>
        </w:rPr>
        <w:t>.</w:t>
      </w:r>
      <w:bookmarkStart w:id="10" w:name="section"/>
      <w:bookmarkEnd w:id="9"/>
    </w:p>
    <w:p w14:paraId="40E7D111"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11" w:name="절대주의와-비례주의"/>
      <w:bookmarkEnd w:id="10"/>
      <w:r w:rsidRPr="00F2098E">
        <w:rPr>
          <w:rFonts w:asciiTheme="minorEastAsia" w:eastAsiaTheme="minorEastAsia" w:hAnsiTheme="minorEastAsia"/>
          <w:sz w:val="20"/>
          <w:szCs w:val="20"/>
          <w:lang w:eastAsia="ko-KR"/>
        </w:rPr>
        <w:t>절대주의와 비례주의</w:t>
      </w:r>
    </w:p>
    <w:p w14:paraId="184C3E7D"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화학적 강박을 </w:t>
      </w:r>
      <w:proofErr w:type="spellStart"/>
      <w:r w:rsidRPr="00F2098E">
        <w:rPr>
          <w:rFonts w:asciiTheme="minorEastAsia" w:hAnsiTheme="minorEastAsia"/>
          <w:sz w:val="20"/>
          <w:szCs w:val="20"/>
          <w:lang w:eastAsia="ko-KR"/>
        </w:rPr>
        <w:t>비록한</w:t>
      </w:r>
      <w:proofErr w:type="spellEnd"/>
      <w:r w:rsidRPr="00F2098E">
        <w:rPr>
          <w:rFonts w:asciiTheme="minorEastAsia" w:hAnsiTheme="minorEastAsia"/>
          <w:sz w:val="20"/>
          <w:szCs w:val="20"/>
          <w:lang w:eastAsia="ko-KR"/>
        </w:rPr>
        <w:t xml:space="preserve"> 강압적 치료 문제는 절대주의와 비례주의라는 법 해석 원칙의 교착상태 안에 놓여 있다. CRPD 제12조(법 앞의 평등한 인정)와 제14조(신체의 자유와 안전)는 예외가 허용되지 않는 절대적 규정으로, 정신장애인이 치료를 거부할 권리는 정신질환이 없는 사람의 치료 거부권과 동일하게 보호되어야 하며, 게다가 강압적 치료는 신체의 자유와 안전을 잠재적으로 침해하므로 금지되어야 한다고 못 박는다. 의료진들은 인력 및 시설 부족, 응급상황에서의 의료적 필요성을 명분으로 예외를 요구하지만, CRPD는 이러한 명분들이 화학적 강박의 남용 가능성만 부추길 소지가 있다고 본다.</w:t>
      </w:r>
    </w:p>
    <w:p w14:paraId="4005F590"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강압적 치료를 비판하는 문헌들은 이러한 개입이 장기적 회복, 치료 동맹, 서비스 이용 경험 측면에서도 부정적 결과를 낳기 때문에, 의료적 필요성이라는 명분도 무색해진다고 주장한다.[</w:t>
      </w:r>
      <w:proofErr w:type="spellStart"/>
      <w:r w:rsidRPr="00F2098E">
        <w:rPr>
          <w:rFonts w:asciiTheme="minorEastAsia" w:hAnsiTheme="minorEastAsia"/>
          <w:sz w:val="20"/>
          <w:szCs w:val="20"/>
          <w:lang w:eastAsia="ko-KR"/>
        </w:rPr>
        <w:t>Chieze</w:t>
      </w:r>
      <w:proofErr w:type="spellEnd"/>
      <w:r w:rsidRPr="00F2098E">
        <w:rPr>
          <w:rFonts w:asciiTheme="minorEastAsia" w:hAnsiTheme="minorEastAsia"/>
          <w:sz w:val="20"/>
          <w:szCs w:val="20"/>
          <w:lang w:eastAsia="ko-KR"/>
        </w:rPr>
        <w:t xml:space="preserve"> et al. (2019</w:t>
      </w:r>
      <w:proofErr w:type="gramStart"/>
      <w:r w:rsidRPr="00F2098E">
        <w:rPr>
          <w:rFonts w:asciiTheme="minorEastAsia" w:hAnsiTheme="minorEastAsia"/>
          <w:sz w:val="20"/>
          <w:szCs w:val="20"/>
          <w:lang w:eastAsia="ko-KR"/>
        </w:rPr>
        <w:t>)](</w:t>
      </w:r>
      <w:proofErr w:type="gramEnd"/>
      <w:r w:rsidRPr="00F2098E">
        <w:rPr>
          <w:rFonts w:asciiTheme="minorEastAsia" w:hAnsiTheme="minorEastAsia"/>
          <w:sz w:val="20"/>
          <w:szCs w:val="20"/>
          <w:lang w:eastAsia="ko-KR"/>
        </w:rPr>
        <w:t>Tingleff et al. 2017)(Muir</w:t>
      </w:r>
      <w:r w:rsidRPr="00F2098E">
        <w:rPr>
          <w:rFonts w:ascii="Cambria Math" w:hAnsi="Cambria Math" w:cs="Cambria Math"/>
          <w:sz w:val="20"/>
          <w:szCs w:val="20"/>
          <w:lang w:eastAsia="ko-KR"/>
        </w:rPr>
        <w:t>‐</w:t>
      </w:r>
      <w:r w:rsidRPr="00F2098E">
        <w:rPr>
          <w:rFonts w:asciiTheme="minorEastAsia" w:hAnsiTheme="minorEastAsia"/>
          <w:sz w:val="20"/>
          <w:szCs w:val="20"/>
          <w:lang w:eastAsia="ko-KR"/>
        </w:rPr>
        <w:t>Cochrane, O’Kane, and Oster 2018) 설령 화학적 강박의 이익이 이 조치가 가져올 위해, 즉 권리 침해나 장기적 치료 관계 손상을 상회한다고 하더라도, 절대주의 원칙에 의하면 강압적 치료는 금지의 대상이다.</w:t>
      </w:r>
    </w:p>
    <w:p w14:paraId="3FAA58F9"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또 다른 법 해석 기준인 비례주의 혹은 비례성의 원칙(principle of proportionality)이란 특정 조치의 목표, 수단, 그리고 그 결과 간의 균형을 고려하여 합법성을 결정짓는 원칙이다.(Bendor and Sela 2015) 인권은 단일한 권리가 아니며, 시민적, 문화적, 경제적, 정치적, 사회적 권리에 이르기까지 광범위한 요소로 구성되어 있다. 전체적으로는 절대적 불가침의 성격을 띠고 있지만, 각기 다른 인권이 충돌할 때는 그중 어떤 것을 우선시할 수 밖에 없다. 따라서 </w:t>
      </w:r>
      <w:proofErr w:type="spellStart"/>
      <w:r w:rsidRPr="00F2098E">
        <w:rPr>
          <w:rFonts w:asciiTheme="minorEastAsia" w:hAnsiTheme="minorEastAsia"/>
          <w:sz w:val="20"/>
          <w:szCs w:val="20"/>
          <w:lang w:eastAsia="ko-KR"/>
        </w:rPr>
        <w:t>비례성</w:t>
      </w:r>
      <w:proofErr w:type="spellEnd"/>
      <w:r w:rsidRPr="00F2098E">
        <w:rPr>
          <w:rFonts w:asciiTheme="minorEastAsia" w:hAnsiTheme="minorEastAsia"/>
          <w:sz w:val="20"/>
          <w:szCs w:val="20"/>
          <w:lang w:eastAsia="ko-KR"/>
        </w:rPr>
        <w:t xml:space="preserve"> 원칙에서는 이들 중 특정한 권리들을 보호하기 위해서, 다른 권리들을 양보하거나 제한하는 것을 허용한다.(Sieckmann 2018)</w:t>
      </w:r>
    </w:p>
    <w:p w14:paraId="56642DDC" w14:textId="72A5BA6E" w:rsidR="00A00B40" w:rsidRPr="00F2098E" w:rsidRDefault="00000000" w:rsidP="000F1091">
      <w:pPr>
        <w:pStyle w:val="a0"/>
        <w:jc w:val="both"/>
        <w:rPr>
          <w:rFonts w:asciiTheme="minorEastAsia" w:hAnsiTheme="minorEastAsia" w:hint="eastAsia"/>
          <w:sz w:val="20"/>
          <w:szCs w:val="20"/>
          <w:lang w:eastAsia="ko-KR"/>
        </w:rPr>
      </w:pPr>
      <w:r w:rsidRPr="00F2098E">
        <w:rPr>
          <w:rFonts w:asciiTheme="minorEastAsia" w:hAnsiTheme="minorEastAsia"/>
          <w:sz w:val="20"/>
          <w:szCs w:val="20"/>
          <w:lang w:eastAsia="ko-KR"/>
        </w:rPr>
        <w:t xml:space="preserve">실제로 ECHR 판례들은 의학적 필요성을 강압적 치료를 정당화하는 핵심 요소로 다루어 왔다. 이를 가장 잘 보여주는 사례는 </w:t>
      </w:r>
      <w:proofErr w:type="spellStart"/>
      <w:r w:rsidRPr="00F2098E">
        <w:rPr>
          <w:rFonts w:asciiTheme="minorEastAsia" w:hAnsiTheme="minorEastAsia"/>
          <w:sz w:val="20"/>
          <w:szCs w:val="20"/>
          <w:lang w:eastAsia="ko-KR"/>
        </w:rPr>
        <w:t>Herczegfalvy</w:t>
      </w:r>
      <w:proofErr w:type="spellEnd"/>
      <w:r w:rsidRPr="00F2098E">
        <w:rPr>
          <w:rFonts w:asciiTheme="minorEastAsia" w:hAnsiTheme="minorEastAsia"/>
          <w:sz w:val="20"/>
          <w:szCs w:val="20"/>
          <w:lang w:eastAsia="ko-KR"/>
        </w:rPr>
        <w:t xml:space="preserve"> 대 Austria(1992) 사건으로, ECHR은 강제 투약을 포함한 정신과적 개입이 “의학적으로 필수적”임이 설득력 있게 입증될 경우 협약 위반이 아니라고 판결하였다.[European Court of Human Rights (1992)](Bartlett 2007) 정신의학계는 자연히 비례성의 원칙을 강조한다. 유럽정신의학회는 </w:t>
      </w:r>
      <w:r w:rsidRPr="00F2098E">
        <w:rPr>
          <w:rFonts w:asciiTheme="minorEastAsia" w:hAnsiTheme="minorEastAsia"/>
          <w:sz w:val="20"/>
          <w:szCs w:val="20"/>
          <w:lang w:eastAsia="ko-KR"/>
        </w:rPr>
        <w:lastRenderedPageBreak/>
        <w:t>A/HRC/35/21과 같은 인권 보고서들이 정신의학 진료를 지나치게 부정적으로 묘사하고, 응급상황에서 약물치료가 수행하는 위해 예방 기능을 충분히 고려하지 않는다고 비판하였다.(</w:t>
      </w:r>
      <w:proofErr w:type="spellStart"/>
      <w:r w:rsidRPr="00F2098E">
        <w:rPr>
          <w:rFonts w:asciiTheme="minorEastAsia" w:hAnsiTheme="minorEastAsia"/>
          <w:sz w:val="20"/>
          <w:szCs w:val="20"/>
          <w:lang w:eastAsia="ko-KR"/>
        </w:rPr>
        <w:t>Oute</w:t>
      </w:r>
      <w:proofErr w:type="spellEnd"/>
      <w:r w:rsidRPr="00F2098E">
        <w:rPr>
          <w:rFonts w:asciiTheme="minorEastAsia" w:hAnsiTheme="minorEastAsia"/>
          <w:sz w:val="20"/>
          <w:szCs w:val="20"/>
          <w:lang w:eastAsia="ko-KR"/>
        </w:rPr>
        <w:t xml:space="preserve"> and McPherson 2023) 의학회의 입장은 강압적 치료의 전면적 허용이 아니라, 임박하고 중대한 신체적 </w:t>
      </w:r>
      <w:proofErr w:type="spellStart"/>
      <w:r w:rsidRPr="00F2098E">
        <w:rPr>
          <w:rFonts w:asciiTheme="minorEastAsia" w:hAnsiTheme="minorEastAsia"/>
          <w:sz w:val="20"/>
          <w:szCs w:val="20"/>
          <w:lang w:eastAsia="ko-KR"/>
        </w:rPr>
        <w:t>위해를</w:t>
      </w:r>
      <w:proofErr w:type="spellEnd"/>
      <w:r w:rsidRPr="00F2098E">
        <w:rPr>
          <w:rFonts w:asciiTheme="minorEastAsia" w:hAnsiTheme="minorEastAsia"/>
          <w:sz w:val="20"/>
          <w:szCs w:val="20"/>
          <w:lang w:eastAsia="ko-KR"/>
        </w:rPr>
        <w:t xml:space="preserve"> 방지하기 위한 좁은 예외를 요구하는 것이며, 대신 </w:t>
      </w:r>
      <w:proofErr w:type="spellStart"/>
      <w:r w:rsidRPr="00F2098E">
        <w:rPr>
          <w:rFonts w:asciiTheme="minorEastAsia" w:hAnsiTheme="minorEastAsia"/>
          <w:sz w:val="20"/>
          <w:szCs w:val="20"/>
          <w:lang w:eastAsia="ko-KR"/>
        </w:rPr>
        <w:t>비강압적</w:t>
      </w:r>
      <w:proofErr w:type="spellEnd"/>
      <w:r w:rsidRPr="00F2098E">
        <w:rPr>
          <w:rFonts w:asciiTheme="minorEastAsia" w:hAnsiTheme="minorEastAsia"/>
          <w:sz w:val="20"/>
          <w:szCs w:val="20"/>
          <w:lang w:eastAsia="ko-KR"/>
        </w:rPr>
        <w:t xml:space="preserve"> 대안, 인력, 시설, 감시 체계를 확충하는 노력을 기울이겠다는 것이다. 연구자들과 제약 회사들이 환자의 저항을 줄이고자, 덜 침습적인 약물 개발에 몰두하는 것도 이러한 맥락에 놓여 있다.[</w:t>
      </w:r>
      <w:proofErr w:type="spellStart"/>
      <w:r w:rsidRPr="00F2098E">
        <w:rPr>
          <w:rFonts w:asciiTheme="minorEastAsia" w:hAnsiTheme="minorEastAsia"/>
          <w:sz w:val="20"/>
          <w:szCs w:val="20"/>
          <w:lang w:eastAsia="ko-KR"/>
        </w:rPr>
        <w:t>Citrome</w:t>
      </w:r>
      <w:proofErr w:type="spellEnd"/>
      <w:r w:rsidRPr="00F2098E">
        <w:rPr>
          <w:rFonts w:asciiTheme="minorEastAsia" w:hAnsiTheme="minorEastAsia"/>
          <w:sz w:val="20"/>
          <w:szCs w:val="20"/>
          <w:lang w:eastAsia="ko-KR"/>
        </w:rPr>
        <w:t xml:space="preserve"> et al. (2024</w:t>
      </w:r>
      <w:proofErr w:type="gramStart"/>
      <w:r w:rsidRPr="00F2098E">
        <w:rPr>
          <w:rFonts w:asciiTheme="minorEastAsia" w:hAnsiTheme="minorEastAsia"/>
          <w:sz w:val="20"/>
          <w:szCs w:val="20"/>
          <w:lang w:eastAsia="ko-KR"/>
        </w:rPr>
        <w:t>)](</w:t>
      </w:r>
      <w:proofErr w:type="gramEnd"/>
      <w:r w:rsidRPr="00F2098E">
        <w:rPr>
          <w:rFonts w:asciiTheme="minorEastAsia" w:hAnsiTheme="minorEastAsia"/>
          <w:sz w:val="20"/>
          <w:szCs w:val="20"/>
          <w:lang w:eastAsia="ko-KR"/>
        </w:rPr>
        <w:t>Jeong and Kim 2025)</w:t>
      </w:r>
      <w:bookmarkStart w:id="12" w:name="section-1"/>
      <w:bookmarkEnd w:id="8"/>
      <w:bookmarkEnd w:id="11"/>
    </w:p>
    <w:p w14:paraId="5C402357" w14:textId="77777777" w:rsidR="00A00B40" w:rsidRPr="00F2098E" w:rsidRDefault="00000000" w:rsidP="00F2098E">
      <w:pPr>
        <w:pStyle w:val="2"/>
        <w:jc w:val="both"/>
        <w:rPr>
          <w:rFonts w:asciiTheme="minorEastAsia" w:eastAsiaTheme="minorEastAsia" w:hAnsiTheme="minorEastAsia"/>
          <w:sz w:val="20"/>
          <w:szCs w:val="20"/>
          <w:lang w:eastAsia="ko-KR"/>
        </w:rPr>
      </w:pPr>
      <w:bookmarkStart w:id="13" w:name="화학적-강박을-금지하는-논리적-근거"/>
      <w:bookmarkEnd w:id="12"/>
      <w:r w:rsidRPr="00F2098E">
        <w:rPr>
          <w:rFonts w:asciiTheme="minorEastAsia" w:eastAsiaTheme="minorEastAsia" w:hAnsiTheme="minorEastAsia"/>
          <w:sz w:val="20"/>
          <w:szCs w:val="20"/>
          <w:lang w:eastAsia="ko-KR"/>
        </w:rPr>
        <w:t>화학적 강박을 금지하는 논리적 근거</w:t>
      </w:r>
    </w:p>
    <w:p w14:paraId="2398B951"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14" w:name="치료-거부권과-권력-비대칭"/>
      <w:r w:rsidRPr="00F2098E">
        <w:rPr>
          <w:rFonts w:asciiTheme="minorEastAsia" w:eastAsiaTheme="minorEastAsia" w:hAnsiTheme="minorEastAsia"/>
          <w:sz w:val="20"/>
          <w:szCs w:val="20"/>
          <w:lang w:eastAsia="ko-KR"/>
        </w:rPr>
        <w:t>치료 거부권과 권력 비대칭</w:t>
      </w:r>
    </w:p>
    <w:p w14:paraId="350A23CE"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법철학 혹은 의료윤리에서 인권은 무언가를 요구할 권리(적극적 권리)와 거부할 권리(소극적 권리)로 구분할 수 있다.(Gronholm et al. 2023) 이 구분은 강압적 치료 논의에서 왜 권력의 비대칭성을 강조하는지 설명해준다. 요구할 권리는 누가 해당 요구를 충족할 책임을 지는가를 묻는 반면, 거부할 권리는 누구의 권위에 저항할 수 있는가를 묻는다. 따라서 치료 거부권은 잠재적으로 의료진이 쥐고 있는 권위에 저항한다는 면에서 권력 역학(power dynamics)의 문제를 드러낸다.</w:t>
      </w:r>
    </w:p>
    <w:p w14:paraId="610C6555"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정신과 치료에서 권력 비대칭 문제는 특히 두드러진다. 의료진은 전문 지식, 진단 권한, 병원 조직의 통제력, 법적 제도의 지원을 가진 반면, 위기에 처한 환자는 정보, 표현 능력, 사회적 신뢰에서 취약한 위치에 놓인다. 인권 담론은 전문가 집단이 정신질환을 가진 당사자들을 스스로의 이익을 결정할 능력이 없는 존재로 규정할 권력을 쥐고 있기 때문에, 정신건강 법률과 정책 전반에 인식론적 불의(epistemic injustice)</w:t>
      </w:r>
      <w:proofErr w:type="spellStart"/>
      <w:r w:rsidRPr="00F2098E">
        <w:rPr>
          <w:rFonts w:asciiTheme="minorEastAsia" w:hAnsiTheme="minorEastAsia"/>
          <w:sz w:val="20"/>
          <w:szCs w:val="20"/>
          <w:lang w:eastAsia="ko-KR"/>
        </w:rPr>
        <w:t>를</w:t>
      </w:r>
      <w:proofErr w:type="spellEnd"/>
      <w:r w:rsidRPr="00F2098E">
        <w:rPr>
          <w:rFonts w:asciiTheme="minorEastAsia" w:hAnsiTheme="minorEastAsia"/>
          <w:sz w:val="20"/>
          <w:szCs w:val="20"/>
          <w:lang w:eastAsia="ko-KR"/>
        </w:rPr>
        <w:t xml:space="preserve"> 조장한다고 비판한다.[Denis and </w:t>
      </w:r>
      <w:proofErr w:type="spellStart"/>
      <w:r w:rsidRPr="00F2098E">
        <w:rPr>
          <w:rFonts w:asciiTheme="minorEastAsia" w:hAnsiTheme="minorEastAsia"/>
          <w:sz w:val="20"/>
          <w:szCs w:val="20"/>
          <w:lang w:eastAsia="ko-KR"/>
        </w:rPr>
        <w:t>Gestel</w:t>
      </w:r>
      <w:proofErr w:type="spellEnd"/>
      <w:r w:rsidRPr="00F2098E">
        <w:rPr>
          <w:rFonts w:asciiTheme="minorEastAsia" w:hAnsiTheme="minorEastAsia"/>
          <w:sz w:val="20"/>
          <w:szCs w:val="20"/>
          <w:lang w:eastAsia="ko-KR"/>
        </w:rPr>
        <w:t xml:space="preserve"> (2016)](Bergan 2024) 그러나 이 논거만으로는 급성 위기에서 임박한 신체적 </w:t>
      </w:r>
      <w:proofErr w:type="spellStart"/>
      <w:r w:rsidRPr="00F2098E">
        <w:rPr>
          <w:rFonts w:asciiTheme="minorEastAsia" w:hAnsiTheme="minorEastAsia"/>
          <w:sz w:val="20"/>
          <w:szCs w:val="20"/>
          <w:lang w:eastAsia="ko-KR"/>
        </w:rPr>
        <w:t>위해를</w:t>
      </w:r>
      <w:proofErr w:type="spellEnd"/>
      <w:r w:rsidRPr="00F2098E">
        <w:rPr>
          <w:rFonts w:asciiTheme="minorEastAsia" w:hAnsiTheme="minorEastAsia"/>
          <w:sz w:val="20"/>
          <w:szCs w:val="20"/>
          <w:lang w:eastAsia="ko-KR"/>
        </w:rPr>
        <w:t xml:space="preserve"> 어떻게 다룰 것인가라는 질문에 충분히 답하지 못한다. 치료 거부권이 존중되어야 한다는 원칙과, 위기 상황에서 생명과 안전을 지켜야 한다는 의무는 여전히 충돌하며, 이 긴장을 해소하기 위해서는 단순한 금지론을 넘어서는 추가적 논의가 필요하다.</w:t>
      </w:r>
    </w:p>
    <w:p w14:paraId="3398635E"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15" w:name="장애와-질병"/>
      <w:bookmarkEnd w:id="14"/>
      <w:r w:rsidRPr="00F2098E">
        <w:rPr>
          <w:rFonts w:asciiTheme="minorEastAsia" w:eastAsiaTheme="minorEastAsia" w:hAnsiTheme="minorEastAsia"/>
          <w:sz w:val="20"/>
          <w:szCs w:val="20"/>
          <w:lang w:eastAsia="ko-KR"/>
        </w:rPr>
        <w:t>장애와 질병</w:t>
      </w:r>
    </w:p>
    <w:p w14:paraId="7828DFCB"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유엔장애인권리협약이라는 명칭에서 드러나듯, 장애인의 권리를 온전히 보장하는 것은 사회 정의의 핵심 과제이다. 장애의 사회적 모델은 장애를 개인의 결함이 아니라, 사회가 다양한 몸과 정신을 수용하지 못해 발생하는 장벽의 결과로 이해한다.(Goering 2015) 이러한 관점은 장애(disability)와 질병(disease)을 구분한다. 정신장애는 사회적 환경과 상호작용하는 과정에서 마주치는 장벽으로 이해될 수 있는 반면, 정신질환은 뇌와 정신의 병리로서 의학적 치료를 통해 호전될 수 있는 개념으로 이해된다.(Hogan 2019)</w:t>
      </w:r>
    </w:p>
    <w:p w14:paraId="531E55FF" w14:textId="35719F4C" w:rsidR="00A00B40" w:rsidRPr="00BE1C92" w:rsidRDefault="00000000" w:rsidP="00F2098E">
      <w:pPr>
        <w:pStyle w:val="a0"/>
        <w:jc w:val="both"/>
        <w:rPr>
          <w:rFonts w:asciiTheme="minorEastAsia" w:hAnsiTheme="minorEastAsia" w:hint="eastAsia"/>
          <w:color w:val="00B050"/>
          <w:sz w:val="20"/>
          <w:szCs w:val="20"/>
          <w:lang w:eastAsia="ko-KR"/>
        </w:rPr>
      </w:pPr>
      <w:r w:rsidRPr="00F2098E">
        <w:rPr>
          <w:rFonts w:asciiTheme="minorEastAsia" w:hAnsiTheme="minorEastAsia"/>
          <w:sz w:val="20"/>
          <w:szCs w:val="20"/>
          <w:lang w:eastAsia="ko-KR"/>
        </w:rPr>
        <w:t xml:space="preserve">인권 담론은 정신질환 혹은 장애를 생물학적 질병으로 이해하는 관점이 당사자의 경험과 사회적 맥락을 축소할 수 있다고 비판한다. 이에 대해 질병 개념을 중시하는 의료진들은, 의학적 치료를 통해 질병을 치료할 수 있으며, 치료를 거부하여 증상이 악화되면 환자 자신과 타인에게 중대한 </w:t>
      </w:r>
      <w:proofErr w:type="spellStart"/>
      <w:r w:rsidRPr="00F2098E">
        <w:rPr>
          <w:rFonts w:asciiTheme="minorEastAsia" w:hAnsiTheme="minorEastAsia"/>
          <w:sz w:val="20"/>
          <w:szCs w:val="20"/>
          <w:lang w:eastAsia="ko-KR"/>
        </w:rPr>
        <w:t>위해를</w:t>
      </w:r>
      <w:proofErr w:type="spellEnd"/>
      <w:r w:rsidRPr="00F2098E">
        <w:rPr>
          <w:rFonts w:asciiTheme="minorEastAsia" w:hAnsiTheme="minorEastAsia"/>
          <w:sz w:val="20"/>
          <w:szCs w:val="20"/>
          <w:lang w:eastAsia="ko-KR"/>
        </w:rPr>
        <w:t xml:space="preserve"> 초래할 수 있다고 주장한다.(Steinert 2017) 일례로 심각한 섭식장애를 앓고 있는 청소년 환자가 치료를 거부할 때, 부모가 이를 방관한다면 이는 일종의 의료 방임(medical neglect)에 해당할 수 있다.(Bieber et al. 2020) 의료 방임인지 아닌지를 결정할 때는 </w:t>
      </w:r>
      <w:proofErr w:type="spellStart"/>
      <w:r w:rsidRPr="00F2098E">
        <w:rPr>
          <w:rFonts w:asciiTheme="minorEastAsia" w:hAnsiTheme="minorEastAsia"/>
          <w:sz w:val="20"/>
          <w:szCs w:val="20"/>
          <w:lang w:eastAsia="ko-KR"/>
        </w:rPr>
        <w:t>의사결정력의</w:t>
      </w:r>
      <w:proofErr w:type="spellEnd"/>
      <w:r w:rsidRPr="00F2098E">
        <w:rPr>
          <w:rFonts w:asciiTheme="minorEastAsia" w:hAnsiTheme="minorEastAsia"/>
          <w:sz w:val="20"/>
          <w:szCs w:val="20"/>
          <w:lang w:eastAsia="ko-KR"/>
        </w:rPr>
        <w:t xml:space="preserve"> 제한, 임박한 위험의 정도, 치료의 효과 등을 고려하게 </w:t>
      </w:r>
      <w:r w:rsidRPr="00F2098E">
        <w:rPr>
          <w:rFonts w:asciiTheme="minorEastAsia" w:hAnsiTheme="minorEastAsia"/>
          <w:sz w:val="20"/>
          <w:szCs w:val="20"/>
          <w:lang w:eastAsia="ko-KR"/>
        </w:rPr>
        <w:lastRenderedPageBreak/>
        <w:t xml:space="preserve">되는데, 이는 정신장애인에 대해서도 유사하게 적용할 수 </w:t>
      </w:r>
      <w:proofErr w:type="gramStart"/>
      <w:r w:rsidRPr="00F2098E">
        <w:rPr>
          <w:rFonts w:asciiTheme="minorEastAsia" w:hAnsiTheme="minorEastAsia"/>
          <w:sz w:val="20"/>
          <w:szCs w:val="20"/>
          <w:lang w:eastAsia="ko-KR"/>
        </w:rPr>
        <w:t>있다.[</w:t>
      </w:r>
      <w:proofErr w:type="gramEnd"/>
      <w:r w:rsidRPr="00F2098E">
        <w:rPr>
          <w:rFonts w:asciiTheme="minorEastAsia" w:hAnsiTheme="minorEastAsia"/>
          <w:sz w:val="20"/>
          <w:szCs w:val="20"/>
          <w:lang w:eastAsia="ko-KR"/>
        </w:rPr>
        <w:t xml:space="preserve">Yoon, Kim, and Ahn (2018)](Shapiro 2018) 하지만 인권 담론은 정신장애인의 치료거부를 자기 방임이나 의료 방임으로 보는 견해에 비판적이다. </w:t>
      </w:r>
      <w:r w:rsidRPr="00BE1C92">
        <w:rPr>
          <w:rFonts w:asciiTheme="minorEastAsia" w:hAnsiTheme="minorEastAsia"/>
          <w:sz w:val="20"/>
          <w:szCs w:val="20"/>
          <w:highlight w:val="yellow"/>
          <w:lang w:eastAsia="ko-KR"/>
        </w:rPr>
        <w:t>어느 정도의 의사결정 능력이 있는 이상, 정신장애인이라고 해서 치료거부권을 박탈해서는 안 된다. 또한 화학적 강박의 치료 효과와 부작용을 감안했을 때, 이는 의료 방임 논의에 해당되지 않는다.</w:t>
      </w:r>
      <w:r w:rsidR="00BE1C92">
        <w:rPr>
          <w:rFonts w:asciiTheme="minorEastAsia" w:hAnsiTheme="minorEastAsia"/>
          <w:sz w:val="20"/>
          <w:szCs w:val="20"/>
          <w:lang w:eastAsia="ko-KR"/>
        </w:rPr>
        <w:t xml:space="preserve">—KYS: </w:t>
      </w:r>
      <w:r w:rsidR="00BE1C92" w:rsidRPr="00BE1C92">
        <w:rPr>
          <w:rFonts w:asciiTheme="minorEastAsia" w:hAnsiTheme="minorEastAsia" w:hint="eastAsia"/>
          <w:color w:val="0432FF"/>
          <w:sz w:val="20"/>
          <w:szCs w:val="20"/>
          <w:lang w:eastAsia="ko-KR"/>
        </w:rPr>
        <w:t>너무 단정적인 것 같습니다:</w:t>
      </w:r>
      <w:r w:rsidR="00BE1C92">
        <w:rPr>
          <w:rFonts w:asciiTheme="minorEastAsia" w:hAnsiTheme="minorEastAsia"/>
          <w:color w:val="00B050"/>
          <w:sz w:val="20"/>
          <w:szCs w:val="20"/>
          <w:lang w:eastAsia="ko-KR"/>
        </w:rPr>
        <w:t xml:space="preserve"> </w:t>
      </w:r>
      <w:r w:rsidR="00BE1C92" w:rsidRPr="00BE1C92">
        <w:rPr>
          <w:rFonts w:asciiTheme="minorEastAsia" w:hAnsiTheme="minorEastAsia" w:hint="eastAsia"/>
          <w:color w:val="00B050"/>
          <w:sz w:val="20"/>
          <w:szCs w:val="20"/>
          <w:lang w:eastAsia="ko-KR"/>
        </w:rPr>
        <w:t xml:space="preserve">일정 수준의 의사결정 능력이 유지되는 경우, 정신장애를 이유로 치료 거부권을 일률적으로 제한하는 것은 </w:t>
      </w:r>
      <w:r w:rsidR="00BE1C92" w:rsidRPr="00BE1C92">
        <w:rPr>
          <w:rFonts w:asciiTheme="minorEastAsia" w:hAnsiTheme="minorEastAsia" w:hint="eastAsia"/>
          <w:b/>
          <w:bCs/>
          <w:color w:val="00B050"/>
          <w:sz w:val="20"/>
          <w:szCs w:val="20"/>
          <w:lang w:eastAsia="ko-KR"/>
        </w:rPr>
        <w:t>정당화되기 어렵다</w:t>
      </w:r>
      <w:r w:rsidR="00BE1C92" w:rsidRPr="00BE1C92">
        <w:rPr>
          <w:rFonts w:asciiTheme="minorEastAsia" w:hAnsiTheme="minorEastAsia" w:hint="eastAsia"/>
          <w:color w:val="00B050"/>
          <w:sz w:val="20"/>
          <w:szCs w:val="20"/>
          <w:lang w:eastAsia="ko-KR"/>
        </w:rPr>
        <w:t xml:space="preserve">. 또한 화학적 강박의 효과와 부작용에 대한 불확실성을 고려할 때, 이를 단순히 치료의 부재로 간주하여 의료 방임의 범주에 포함시키는 접근 </w:t>
      </w:r>
      <w:r w:rsidR="00BE1C92" w:rsidRPr="00BE1C92">
        <w:rPr>
          <w:rFonts w:asciiTheme="minorEastAsia" w:hAnsiTheme="minorEastAsia" w:hint="eastAsia"/>
          <w:b/>
          <w:bCs/>
          <w:color w:val="00B050"/>
          <w:sz w:val="20"/>
          <w:szCs w:val="20"/>
          <w:lang w:eastAsia="ko-KR"/>
        </w:rPr>
        <w:t>역시 논쟁의 여지가 있다</w:t>
      </w:r>
      <w:r w:rsidR="00BE1C92" w:rsidRPr="00BE1C92">
        <w:rPr>
          <w:rFonts w:asciiTheme="minorEastAsia" w:hAnsiTheme="minorEastAsia" w:hint="eastAsia"/>
          <w:color w:val="00B050"/>
          <w:sz w:val="20"/>
          <w:szCs w:val="20"/>
          <w:lang w:eastAsia="ko-KR"/>
        </w:rPr>
        <w:t>.</w:t>
      </w:r>
    </w:p>
    <w:p w14:paraId="4DD5FD04"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16" w:name="의료화에-대한-인문사회학적-비판"/>
      <w:bookmarkEnd w:id="15"/>
      <w:r w:rsidRPr="00F2098E">
        <w:rPr>
          <w:rFonts w:asciiTheme="minorEastAsia" w:eastAsiaTheme="minorEastAsia" w:hAnsiTheme="minorEastAsia"/>
          <w:sz w:val="20"/>
          <w:szCs w:val="20"/>
          <w:lang w:eastAsia="ko-KR"/>
        </w:rPr>
        <w:t>의료화에 대한 인문사회학적 비판</w:t>
      </w:r>
    </w:p>
    <w:p w14:paraId="25585314"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정신의학에 대한 비판은 깊은 역사적 뿌리를 가진다. 정신의학이 걸어온 길에는 부인하기 어려운 어두운 장들이 존재하며, 이에 맞서 철학자, 사회학자, 사회운동가, 현장의 실천가들이 변화를 이끌어온 과정 역시 오늘날의 논쟁을 형성했다. 이러한 비판은 정신과적 개입이 개인의 고통을 치료한다는 명분 아래 사회적 일탈을 관리하거나 침묵시키는 도구가 될 수 있다는 문제의식에서 출발한다. Erving Goffman은 정신병원, 감옥, 수도원, 군대 등을 “전체적 기관(total institution)”</w:t>
      </w:r>
      <w:proofErr w:type="spellStart"/>
      <w:r w:rsidRPr="00F2098E">
        <w:rPr>
          <w:rFonts w:asciiTheme="minorEastAsia" w:hAnsiTheme="minorEastAsia"/>
          <w:sz w:val="20"/>
          <w:szCs w:val="20"/>
          <w:lang w:eastAsia="ko-KR"/>
        </w:rPr>
        <w:t>으로</w:t>
      </w:r>
      <w:proofErr w:type="spellEnd"/>
      <w:r w:rsidRPr="00F2098E">
        <w:rPr>
          <w:rFonts w:asciiTheme="minorEastAsia" w:hAnsiTheme="minorEastAsia"/>
          <w:sz w:val="20"/>
          <w:szCs w:val="20"/>
          <w:lang w:eastAsia="ko-KR"/>
        </w:rPr>
        <w:t xml:space="preserve"> 개념화하며, 이러한 공간이 환자를 치료하기보다 제도에 순응하는 존재로 길들이는 메커니즘을 분석했다.(Goffman 1961) 미셸 </w:t>
      </w:r>
      <w:proofErr w:type="spellStart"/>
      <w:r w:rsidRPr="00F2098E">
        <w:rPr>
          <w:rFonts w:asciiTheme="minorEastAsia" w:hAnsiTheme="minorEastAsia"/>
          <w:sz w:val="20"/>
          <w:szCs w:val="20"/>
          <w:lang w:eastAsia="ko-KR"/>
        </w:rPr>
        <w:t>푸코</w:t>
      </w:r>
      <w:proofErr w:type="spellEnd"/>
      <w:r w:rsidRPr="00F2098E">
        <w:rPr>
          <w:rFonts w:asciiTheme="minorEastAsia" w:hAnsiTheme="minorEastAsia"/>
          <w:sz w:val="20"/>
          <w:szCs w:val="20"/>
          <w:lang w:eastAsia="ko-KR"/>
        </w:rPr>
        <w:t>(Michel Foucault)는 “광기의 역사(1961)”라는 저서를 통해, 근대 국가가 시민을 관리하고 규율하는 메커니즘으로서 의학, 특히 정신의학을 활용해 왔음을 밝혔다.(Foucault 2006) 이런 비판의 핵심은 정신의학적 진단과 개입이 단순한 의학적 행위가 아니라, 누구를 “정상”</w:t>
      </w:r>
      <w:proofErr w:type="spellStart"/>
      <w:r w:rsidRPr="00F2098E">
        <w:rPr>
          <w:rFonts w:asciiTheme="minorEastAsia" w:hAnsiTheme="minorEastAsia"/>
          <w:sz w:val="20"/>
          <w:szCs w:val="20"/>
          <w:lang w:eastAsia="ko-KR"/>
        </w:rPr>
        <w:t>으로</w:t>
      </w:r>
      <w:proofErr w:type="spellEnd"/>
      <w:r w:rsidRPr="00F2098E">
        <w:rPr>
          <w:rFonts w:asciiTheme="minorEastAsia" w:hAnsiTheme="minorEastAsia"/>
          <w:sz w:val="20"/>
          <w:szCs w:val="20"/>
          <w:lang w:eastAsia="ko-KR"/>
        </w:rPr>
        <w:t>, 누구를 “비정상”</w:t>
      </w:r>
      <w:proofErr w:type="spellStart"/>
      <w:r w:rsidRPr="00F2098E">
        <w:rPr>
          <w:rFonts w:asciiTheme="minorEastAsia" w:hAnsiTheme="minorEastAsia"/>
          <w:sz w:val="20"/>
          <w:szCs w:val="20"/>
          <w:lang w:eastAsia="ko-KR"/>
        </w:rPr>
        <w:t>으로</w:t>
      </w:r>
      <w:proofErr w:type="spellEnd"/>
      <w:r w:rsidRPr="00F2098E">
        <w:rPr>
          <w:rFonts w:asciiTheme="minorEastAsia" w:hAnsiTheme="minorEastAsia"/>
          <w:sz w:val="20"/>
          <w:szCs w:val="20"/>
          <w:lang w:eastAsia="ko-KR"/>
        </w:rPr>
        <w:t xml:space="preserve"> 규정할 것인가 하는 정치적 권력 관계의 하나라는 것이다.</w:t>
      </w:r>
    </w:p>
    <w:p w14:paraId="4877EAD3"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특히 의료화(medicalization)에 대한 비판은 정신의학이 정상과 비정상의 경계를 설정하는 사회적 권한을 갖는다는 점에 주목한다.[</w:t>
      </w:r>
      <w:proofErr w:type="spellStart"/>
      <w:r w:rsidRPr="00F2098E">
        <w:rPr>
          <w:rFonts w:asciiTheme="minorEastAsia" w:hAnsiTheme="minorEastAsia"/>
          <w:sz w:val="20"/>
          <w:szCs w:val="20"/>
          <w:lang w:eastAsia="ko-KR"/>
        </w:rPr>
        <w:t>Aho</w:t>
      </w:r>
      <w:proofErr w:type="spellEnd"/>
      <w:r w:rsidRPr="00F2098E">
        <w:rPr>
          <w:rFonts w:asciiTheme="minorEastAsia" w:hAnsiTheme="minorEastAsia"/>
          <w:sz w:val="20"/>
          <w:szCs w:val="20"/>
          <w:lang w:eastAsia="ko-KR"/>
        </w:rPr>
        <w:t xml:space="preserve"> (2008)](Frawley 2025) 이와 함께 주목할 개념이 Miranda Fricker가 제시한 인식론적 불의(epistemic injustice)이다. 그녀는 인식론적 불의를 크게 두 가지로 구분한다. 첫째, 증언 불의(testimonial injustice)는 화자가 지닌 사회적 신분 때문에 그의 증언이 신뢰도를 잃는 경우를 말한다.(Fricker 2007) 정신의학적 맥락에서 이는 정신장애인의 진술 자체가 증상의 하나로 치부되어 진지하게 받아들여지지 않는 상황을 포착한다. 둘째, 해석적 불의(hermeneutical injustice)는 지식의 형성과 분배의 불평등으로 인해 정신장애인들이 그들의 경험을 적절히 개념화하고 표현할 수 없는 구조적 배제를 의미한다. 이는 정신건강과 관련된 지식을 정신의학자들이 독점하고 있는 현상황에 대해, 좀더 환자들의 실제 경험과 자발적 목소리가 지식 생산과 유통에 반영되어야 비판과 맞닿아 있다.[Crichton, Carel, and Kidd (2017</w:t>
      </w:r>
      <w:proofErr w:type="gramStart"/>
      <w:r w:rsidRPr="00F2098E">
        <w:rPr>
          <w:rFonts w:asciiTheme="minorEastAsia" w:hAnsiTheme="minorEastAsia"/>
          <w:sz w:val="20"/>
          <w:szCs w:val="20"/>
          <w:lang w:eastAsia="ko-KR"/>
        </w:rPr>
        <w:t>)](</w:t>
      </w:r>
      <w:proofErr w:type="gramEnd"/>
      <w:r w:rsidRPr="00F2098E">
        <w:rPr>
          <w:rFonts w:asciiTheme="minorEastAsia" w:hAnsiTheme="minorEastAsia"/>
          <w:sz w:val="20"/>
          <w:szCs w:val="20"/>
          <w:lang w:eastAsia="ko-KR"/>
        </w:rPr>
        <w:t>Russo 2023)</w:t>
      </w:r>
    </w:p>
    <w:p w14:paraId="3B788236" w14:textId="77777777" w:rsidR="00A00B40" w:rsidRPr="00F2098E" w:rsidRDefault="00000000" w:rsidP="00F2098E">
      <w:pPr>
        <w:pStyle w:val="2"/>
        <w:jc w:val="both"/>
        <w:rPr>
          <w:rFonts w:asciiTheme="minorEastAsia" w:eastAsiaTheme="minorEastAsia" w:hAnsiTheme="minorEastAsia"/>
          <w:sz w:val="20"/>
          <w:szCs w:val="20"/>
          <w:lang w:eastAsia="ko-KR"/>
        </w:rPr>
      </w:pPr>
      <w:bookmarkStart w:id="17" w:name="원칙주의와-제한적-허용-모델"/>
      <w:bookmarkEnd w:id="13"/>
      <w:bookmarkEnd w:id="16"/>
      <w:r w:rsidRPr="00F2098E">
        <w:rPr>
          <w:rFonts w:asciiTheme="minorEastAsia" w:eastAsiaTheme="minorEastAsia" w:hAnsiTheme="minorEastAsia"/>
          <w:sz w:val="20"/>
          <w:szCs w:val="20"/>
          <w:lang w:eastAsia="ko-KR"/>
        </w:rPr>
        <w:t>원칙주의와 제한적 허용 모델</w:t>
      </w:r>
    </w:p>
    <w:p w14:paraId="19281821"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18" w:name="원칙주의의-의의와-한계"/>
      <w:r w:rsidRPr="00F2098E">
        <w:rPr>
          <w:rFonts w:asciiTheme="minorEastAsia" w:eastAsiaTheme="minorEastAsia" w:hAnsiTheme="minorEastAsia"/>
          <w:sz w:val="20"/>
          <w:szCs w:val="20"/>
          <w:lang w:eastAsia="ko-KR"/>
        </w:rPr>
        <w:t>원칙주의의 의의와 한계</w:t>
      </w:r>
    </w:p>
    <w:p w14:paraId="32325A8B"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Beauchamp와 Childress가 제안한 원칙주의(</w:t>
      </w:r>
      <w:proofErr w:type="spellStart"/>
      <w:r w:rsidRPr="00F2098E">
        <w:rPr>
          <w:rFonts w:asciiTheme="minorEastAsia" w:hAnsiTheme="minorEastAsia"/>
          <w:sz w:val="20"/>
          <w:szCs w:val="20"/>
          <w:lang w:eastAsia="ko-KR"/>
        </w:rPr>
        <w:t>principlism</w:t>
      </w:r>
      <w:proofErr w:type="spellEnd"/>
      <w:r w:rsidRPr="00F2098E">
        <w:rPr>
          <w:rFonts w:asciiTheme="minorEastAsia" w:hAnsiTheme="minorEastAsia"/>
          <w:sz w:val="20"/>
          <w:szCs w:val="20"/>
          <w:lang w:eastAsia="ko-KR"/>
        </w:rPr>
        <w:t xml:space="preserve">)는 자율성 존중, 악행 금지, 선행, 정의라는 네 가지 원칙을 통해 의료윤리 현장에서 발생하는 갈등을 분석한다.(Beauchamp and Childress 2019) 이 틀은 정신과 응급상황에서의 화학적 강박 논의에도 유용하다. 자율성 존중은 환자의 치료 거부권을 보호하도록 요구하며, 악행 금지는 강압적 개입으로 인한 신체적·심리적 </w:t>
      </w:r>
      <w:proofErr w:type="spellStart"/>
      <w:r w:rsidRPr="00F2098E">
        <w:rPr>
          <w:rFonts w:asciiTheme="minorEastAsia" w:hAnsiTheme="minorEastAsia"/>
          <w:sz w:val="20"/>
          <w:szCs w:val="20"/>
          <w:lang w:eastAsia="ko-KR"/>
        </w:rPr>
        <w:t>위해를</w:t>
      </w:r>
      <w:proofErr w:type="spellEnd"/>
      <w:r w:rsidRPr="00F2098E">
        <w:rPr>
          <w:rFonts w:asciiTheme="minorEastAsia" w:hAnsiTheme="minorEastAsia"/>
          <w:sz w:val="20"/>
          <w:szCs w:val="20"/>
          <w:lang w:eastAsia="ko-KR"/>
        </w:rPr>
        <w:t xml:space="preserve"> 피하도록 요구한다. 하지만 선행 </w:t>
      </w:r>
      <w:r w:rsidRPr="00F2098E">
        <w:rPr>
          <w:rFonts w:asciiTheme="minorEastAsia" w:hAnsiTheme="minorEastAsia"/>
          <w:sz w:val="20"/>
          <w:szCs w:val="20"/>
          <w:lang w:eastAsia="ko-KR"/>
        </w:rPr>
        <w:lastRenderedPageBreak/>
        <w:t>원칙은 환자의 증상 완화와 안전 회복을 촉구하며, 정의는 환자뿐 아니라 다른 환자, 의료진, 가족 등 제3자의 권리와 안전도 고려하도록 요구한다.</w:t>
      </w:r>
    </w:p>
    <w:p w14:paraId="50C854F2"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원칙주의는 이 네 가지 원칙을 </w:t>
      </w:r>
      <w:r w:rsidRPr="00F2098E">
        <w:rPr>
          <w:rFonts w:asciiTheme="minorEastAsia" w:hAnsiTheme="minorEastAsia"/>
          <w:i/>
          <w:iCs/>
          <w:sz w:val="20"/>
          <w:szCs w:val="20"/>
          <w:lang w:eastAsia="ko-KR"/>
        </w:rPr>
        <w:t>prima facie</w:t>
      </w:r>
      <w:r w:rsidRPr="00F2098E">
        <w:rPr>
          <w:rFonts w:asciiTheme="minorEastAsia" w:hAnsiTheme="minorEastAsia"/>
          <w:sz w:val="20"/>
          <w:szCs w:val="20"/>
          <w:lang w:eastAsia="ko-KR"/>
        </w:rPr>
        <w:t xml:space="preserve"> 의무, 즉 “다른 조건이 동일하다면(상호 충돌이 없다면) 구속력을 갖는, 그러나 다른 의무와 충돌할 때는 우선순위가 조정될 수 있는 조건부 의무”로 본다. 따라서 특정 상황과 맥락에서 원칙들이 서로 충돌할 때는 우선 순위 조정과 균형 잡기가 필요하다. 하지만 이는 원칙주의의 장점이자 동시에 한계이기도 하다. 우선 순위 조정과 균형 잡기가 강조되지만, 위기 현장에서 누가 어떤 절차로 순위를 결정해야 하는지에 대해서는 충분한 윤리적 잣대나 제도적 해답을 제공하지 않는다.(Shea 2020) 바로 이 지점에서 화학적 강박의 제한적 허용 조건과 PAD의 필요성이 등장한다.</w:t>
      </w:r>
    </w:p>
    <w:p w14:paraId="306FA893"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19" w:name="자율성-존중"/>
      <w:bookmarkEnd w:id="18"/>
      <w:r w:rsidRPr="00F2098E">
        <w:rPr>
          <w:rFonts w:asciiTheme="minorEastAsia" w:eastAsiaTheme="minorEastAsia" w:hAnsiTheme="minorEastAsia"/>
          <w:sz w:val="20"/>
          <w:szCs w:val="20"/>
          <w:lang w:eastAsia="ko-KR"/>
        </w:rPr>
        <w:t>자율성 존중</w:t>
      </w:r>
    </w:p>
    <w:p w14:paraId="46A2CF04"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자율성 존중은 환자가 충분한 정보에 근거하여 자신의 치료에 대해 결정할 권리를 의미한다. 그러나 이때 의사결정 능력을 함께 고려해야 한다. 자율성은 개인이 자신의 가치(value)와 선호(preference)에 따라 삶을 만들어갈 권리이지만, 의사결정 능력은 특정 시점에 자신이 내리는 결정이 자신이 지향하는 삶을 만들어가는데 도움이 되는지 판단할 수 있는 능력이다. 이는 자신이 놓인 상황과 맥락을 이해하고, 이를 결정 과정에 적용하며, 결과를 추론하고, 선택을 표현할 수 있는 기능적 능력이다.(Appelbaum 2007)</w:t>
      </w:r>
    </w:p>
    <w:p w14:paraId="6EECAE75"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급성 </w:t>
      </w:r>
      <w:proofErr w:type="spellStart"/>
      <w:r w:rsidRPr="00F2098E">
        <w:rPr>
          <w:rFonts w:asciiTheme="minorEastAsia" w:hAnsiTheme="minorEastAsia"/>
          <w:sz w:val="20"/>
          <w:szCs w:val="20"/>
          <w:lang w:eastAsia="ko-KR"/>
        </w:rPr>
        <w:t>정신증</w:t>
      </w:r>
      <w:proofErr w:type="spellEnd"/>
      <w:r w:rsidRPr="00F2098E">
        <w:rPr>
          <w:rFonts w:asciiTheme="minorEastAsia" w:hAnsiTheme="minorEastAsia"/>
          <w:sz w:val="20"/>
          <w:szCs w:val="20"/>
          <w:lang w:eastAsia="ko-KR"/>
        </w:rPr>
        <w:t xml:space="preserve">, 섬망, 극심한 </w:t>
      </w:r>
      <w:proofErr w:type="spellStart"/>
      <w:r w:rsidRPr="00F2098E">
        <w:rPr>
          <w:rFonts w:asciiTheme="minorEastAsia" w:hAnsiTheme="minorEastAsia"/>
          <w:sz w:val="20"/>
          <w:szCs w:val="20"/>
          <w:lang w:eastAsia="ko-KR"/>
        </w:rPr>
        <w:t>조증</w:t>
      </w:r>
      <w:proofErr w:type="spellEnd"/>
      <w:r w:rsidRPr="00F2098E">
        <w:rPr>
          <w:rFonts w:asciiTheme="minorEastAsia" w:hAnsiTheme="minorEastAsia"/>
          <w:sz w:val="20"/>
          <w:szCs w:val="20"/>
          <w:lang w:eastAsia="ko-KR"/>
        </w:rPr>
        <w:t xml:space="preserve">, 중증 물질중독, 심각한 자살 또는 </w:t>
      </w:r>
      <w:proofErr w:type="spellStart"/>
      <w:r w:rsidRPr="00F2098E">
        <w:rPr>
          <w:rFonts w:asciiTheme="minorEastAsia" w:hAnsiTheme="minorEastAsia"/>
          <w:sz w:val="20"/>
          <w:szCs w:val="20"/>
          <w:lang w:eastAsia="ko-KR"/>
        </w:rPr>
        <w:t>타해</w:t>
      </w:r>
      <w:proofErr w:type="spellEnd"/>
      <w:r w:rsidRPr="00F2098E">
        <w:rPr>
          <w:rFonts w:asciiTheme="minorEastAsia" w:hAnsiTheme="minorEastAsia"/>
          <w:sz w:val="20"/>
          <w:szCs w:val="20"/>
          <w:lang w:eastAsia="ko-KR"/>
        </w:rPr>
        <w:t xml:space="preserve"> 위험 상태에서는 의사결정 능력이 일시적으로 손상될 수 있다. 따라서 환자가 치료를 거부할 때, 이 결정이 환자의 장기적 가치와 선호를 충실히 반영하는지 판단하기 어렵다. 다만 의사결정 능력의 손상은 자의적으로 추정되어서는 안 되며, 가능한 한 객관적으로 평가되고 기록되어야 한다. 또한 회복 후에 환자가 강압적 치료의 필요성을 수긍했다는 사실만으로, 그 개입이 자동으로 정당화되는 것도 아니다. 사후 수긍은 중요한 평가 기준일 수 있지만, 정당화의 핵심은 개입 당시의 조건과 절차에 있다. 이 점은 화학적 강박의 소급적 정당화 </w:t>
      </w:r>
      <w:proofErr w:type="spellStart"/>
      <w:r w:rsidRPr="00F2098E">
        <w:rPr>
          <w:rFonts w:asciiTheme="minorEastAsia" w:hAnsiTheme="minorEastAsia"/>
          <w:sz w:val="20"/>
          <w:szCs w:val="20"/>
          <w:lang w:eastAsia="ko-KR"/>
        </w:rPr>
        <w:t>문제와도</w:t>
      </w:r>
      <w:proofErr w:type="spellEnd"/>
      <w:r w:rsidRPr="00F2098E">
        <w:rPr>
          <w:rFonts w:asciiTheme="minorEastAsia" w:hAnsiTheme="minorEastAsia"/>
          <w:sz w:val="20"/>
          <w:szCs w:val="20"/>
          <w:lang w:eastAsia="ko-KR"/>
        </w:rPr>
        <w:t xml:space="preserve"> 연결된다. 결과가 좋았다고 해도 개입 당시에 절차적 하자가 있다면 문제시된다.</w:t>
      </w:r>
    </w:p>
    <w:p w14:paraId="08EDAED3"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20" w:name="악행-금지"/>
      <w:bookmarkEnd w:id="19"/>
      <w:r w:rsidRPr="00F2098E">
        <w:rPr>
          <w:rFonts w:asciiTheme="minorEastAsia" w:eastAsiaTheme="minorEastAsia" w:hAnsiTheme="minorEastAsia"/>
          <w:sz w:val="20"/>
          <w:szCs w:val="20"/>
          <w:lang w:eastAsia="ko-KR"/>
        </w:rPr>
        <w:t>악행 금지</w:t>
      </w:r>
    </w:p>
    <w:p w14:paraId="215892EC"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화학적 강박은 부작용이 뒤따를 수 있기 때문에 악행 금지의 원칙에 따르면 가급적 피해야 하는 절차일 것이다.[Frueh et al. (2005</w:t>
      </w:r>
      <w:proofErr w:type="gramStart"/>
      <w:r w:rsidRPr="00F2098E">
        <w:rPr>
          <w:rFonts w:asciiTheme="minorEastAsia" w:hAnsiTheme="minorEastAsia"/>
          <w:sz w:val="20"/>
          <w:szCs w:val="20"/>
          <w:lang w:eastAsia="ko-KR"/>
        </w:rPr>
        <w:t>)](</w:t>
      </w:r>
      <w:proofErr w:type="gramEnd"/>
      <w:r w:rsidRPr="00F2098E">
        <w:rPr>
          <w:rFonts w:asciiTheme="minorEastAsia" w:hAnsiTheme="minorEastAsia"/>
          <w:sz w:val="20"/>
          <w:szCs w:val="20"/>
          <w:lang w:eastAsia="ko-KR"/>
        </w:rPr>
        <w:t xml:space="preserve">Georgieva, Mulder, and </w:t>
      </w:r>
      <w:proofErr w:type="spellStart"/>
      <w:r w:rsidRPr="00F2098E">
        <w:rPr>
          <w:rFonts w:asciiTheme="minorEastAsia" w:hAnsiTheme="minorEastAsia"/>
          <w:sz w:val="20"/>
          <w:szCs w:val="20"/>
          <w:lang w:eastAsia="ko-KR"/>
        </w:rPr>
        <w:t>Wierdsma</w:t>
      </w:r>
      <w:proofErr w:type="spellEnd"/>
      <w:r w:rsidRPr="00F2098E">
        <w:rPr>
          <w:rFonts w:asciiTheme="minorEastAsia" w:hAnsiTheme="minorEastAsia"/>
          <w:sz w:val="20"/>
          <w:szCs w:val="20"/>
          <w:lang w:eastAsia="ko-KR"/>
        </w:rPr>
        <w:t xml:space="preserve"> 2011)(Franks et al. 2021) 그러나 개입하지 않아서 생기는 해악도 있다. 환자가 심각한 자해나 </w:t>
      </w:r>
      <w:proofErr w:type="spellStart"/>
      <w:r w:rsidRPr="00F2098E">
        <w:rPr>
          <w:rFonts w:asciiTheme="minorEastAsia" w:hAnsiTheme="minorEastAsia"/>
          <w:sz w:val="20"/>
          <w:szCs w:val="20"/>
          <w:lang w:eastAsia="ko-KR"/>
        </w:rPr>
        <w:t>타해</w:t>
      </w:r>
      <w:proofErr w:type="spellEnd"/>
      <w:r w:rsidRPr="00F2098E">
        <w:rPr>
          <w:rFonts w:asciiTheme="minorEastAsia" w:hAnsiTheme="minorEastAsia"/>
          <w:sz w:val="20"/>
          <w:szCs w:val="20"/>
          <w:lang w:eastAsia="ko-KR"/>
        </w:rPr>
        <w:t xml:space="preserve"> 위험에 처해 있고, </w:t>
      </w:r>
      <w:proofErr w:type="spellStart"/>
      <w:r w:rsidRPr="00F2098E">
        <w:rPr>
          <w:rFonts w:asciiTheme="minorEastAsia" w:hAnsiTheme="minorEastAsia"/>
          <w:sz w:val="20"/>
          <w:szCs w:val="20"/>
          <w:lang w:eastAsia="ko-KR"/>
        </w:rPr>
        <w:t>비강압적</w:t>
      </w:r>
      <w:proofErr w:type="spellEnd"/>
      <w:r w:rsidRPr="00F2098E">
        <w:rPr>
          <w:rFonts w:asciiTheme="minorEastAsia" w:hAnsiTheme="minorEastAsia"/>
          <w:sz w:val="20"/>
          <w:szCs w:val="20"/>
          <w:lang w:eastAsia="ko-KR"/>
        </w:rPr>
        <w:t xml:space="preserve"> 방법이 실패했거나 불가능한 상황에서 의료진이 아무 조치도 하지 않는다면, 이는 분명한 악행이 되어버린다.[Resnick and Saxton (2019</w:t>
      </w:r>
      <w:proofErr w:type="gramStart"/>
      <w:r w:rsidRPr="00F2098E">
        <w:rPr>
          <w:rFonts w:asciiTheme="minorEastAsia" w:hAnsiTheme="minorEastAsia"/>
          <w:sz w:val="20"/>
          <w:szCs w:val="20"/>
          <w:lang w:eastAsia="ko-KR"/>
        </w:rPr>
        <w:t>)](</w:t>
      </w:r>
      <w:proofErr w:type="gramEnd"/>
      <w:r w:rsidRPr="00F2098E">
        <w:rPr>
          <w:rFonts w:asciiTheme="minorEastAsia" w:hAnsiTheme="minorEastAsia"/>
          <w:sz w:val="20"/>
          <w:szCs w:val="20"/>
          <w:lang w:eastAsia="ko-KR"/>
        </w:rPr>
        <w:t>Becker and Forman 2020)</w:t>
      </w:r>
    </w:p>
    <w:p w14:paraId="5E091909"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따라서 악행 금지의 원칙을 따른다고 해서, 단순히 “강압적 치료는 절대로 하지 않겠다”</w:t>
      </w:r>
      <w:proofErr w:type="spellStart"/>
      <w:r w:rsidRPr="00F2098E">
        <w:rPr>
          <w:rFonts w:asciiTheme="minorEastAsia" w:hAnsiTheme="minorEastAsia"/>
          <w:sz w:val="20"/>
          <w:szCs w:val="20"/>
          <w:lang w:eastAsia="ko-KR"/>
        </w:rPr>
        <w:t>며</w:t>
      </w:r>
      <w:proofErr w:type="spellEnd"/>
      <w:r w:rsidRPr="00F2098E">
        <w:rPr>
          <w:rFonts w:asciiTheme="minorEastAsia" w:hAnsiTheme="minorEastAsia"/>
          <w:sz w:val="20"/>
          <w:szCs w:val="20"/>
          <w:lang w:eastAsia="ko-KR"/>
        </w:rPr>
        <w:t xml:space="preserve"> 상황을 회피해선 안 된다. 어쩔 수 없이 개입해서 생기는 위해와 개입하지 않아서 생기는 </w:t>
      </w:r>
      <w:proofErr w:type="spellStart"/>
      <w:r w:rsidRPr="00F2098E">
        <w:rPr>
          <w:rFonts w:asciiTheme="minorEastAsia" w:hAnsiTheme="minorEastAsia"/>
          <w:sz w:val="20"/>
          <w:szCs w:val="20"/>
          <w:lang w:eastAsia="ko-KR"/>
        </w:rPr>
        <w:t>위해를</w:t>
      </w:r>
      <w:proofErr w:type="spellEnd"/>
      <w:r w:rsidRPr="00F2098E">
        <w:rPr>
          <w:rFonts w:asciiTheme="minorEastAsia" w:hAnsiTheme="minorEastAsia"/>
          <w:sz w:val="20"/>
          <w:szCs w:val="20"/>
          <w:lang w:eastAsia="ko-KR"/>
        </w:rPr>
        <w:t xml:space="preserve"> 저울질 할 수밖에 없다. 이 저울질은 화학적 강박을 정당화하는 구실이 아니라, 강압적 치료를 하지 않는 것 역시 윤리적 책임을 질 수 있음을 명확히 한 것이다.</w:t>
      </w:r>
    </w:p>
    <w:p w14:paraId="1E125C0B"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21" w:name="선행"/>
      <w:bookmarkEnd w:id="20"/>
      <w:r w:rsidRPr="00F2098E">
        <w:rPr>
          <w:rFonts w:asciiTheme="minorEastAsia" w:eastAsiaTheme="minorEastAsia" w:hAnsiTheme="minorEastAsia"/>
          <w:sz w:val="20"/>
          <w:szCs w:val="20"/>
          <w:lang w:eastAsia="ko-KR"/>
        </w:rPr>
        <w:lastRenderedPageBreak/>
        <w:t>선행</w:t>
      </w:r>
    </w:p>
    <w:p w14:paraId="4161C971"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선행은 환자의 이익을 증진하고 회복을 돕는 의무를 의미한다. 급성 초조와 폭력 상황에서 화학적 강박의 목표는 환자를 처벌하거나 소란을 피하기 위한 것이 아니라, 극심한 고통과 위험을 완화하고, 환자가 다시 온전한 판단을 할 수 있도록 돕는 것이다.</w:t>
      </w:r>
    </w:p>
    <w:p w14:paraId="5F79DDC6"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이 점에서 중요한 것은 의료진의 주관적 선의가 아니라, 개입의 치료적 목적이 기록과 사후 검토를 통해 확인될 수 있어야 한다는 점이다. 같은 절차라도 환자의 치료와 회복을 위해 사용되었는지, 아니면 기관의 편의와 통제를 위해 사용되었는지에 따라 윤리적 성격이 달라진다. 따라서 치료 목적은 약물 선택, 용량, 투여 경로, 개입 이후 설명, 치료 계획 반영 여부를 통해 간접적으로 평가되어야 한다. 또한 선행의 원칙은 약물 개입이 단기적 효과만이 아니라 이후 치료동맹, 환자의 경험, 장기적 회복을 함께 고려해야 할 것을 요구한다.</w:t>
      </w:r>
    </w:p>
    <w:p w14:paraId="613DDA15"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22" w:name="정의"/>
      <w:bookmarkEnd w:id="21"/>
      <w:r w:rsidRPr="00F2098E">
        <w:rPr>
          <w:rFonts w:asciiTheme="minorEastAsia" w:eastAsiaTheme="minorEastAsia" w:hAnsiTheme="minorEastAsia"/>
          <w:sz w:val="20"/>
          <w:szCs w:val="20"/>
          <w:lang w:eastAsia="ko-KR"/>
        </w:rPr>
        <w:t>정의</w:t>
      </w:r>
    </w:p>
    <w:p w14:paraId="1CE439B6"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정의의 원칙은 화학적 강박이 차별적으로 적용되지 않아야 한다는 것이다. 정신장애인이라는 이유만으로 화학적 강박을 당하는 것은 차별에 해당할 수 있으며(Bergan 2024), 미국과 같은 </w:t>
      </w:r>
      <w:proofErr w:type="spellStart"/>
      <w:r w:rsidRPr="00F2098E">
        <w:rPr>
          <w:rFonts w:asciiTheme="minorEastAsia" w:hAnsiTheme="minorEastAsia"/>
          <w:sz w:val="20"/>
          <w:szCs w:val="20"/>
          <w:lang w:eastAsia="ko-KR"/>
        </w:rPr>
        <w:t>다인종</w:t>
      </w:r>
      <w:proofErr w:type="spellEnd"/>
      <w:r w:rsidRPr="00F2098E">
        <w:rPr>
          <w:rFonts w:asciiTheme="minorEastAsia" w:hAnsiTheme="minorEastAsia"/>
          <w:sz w:val="20"/>
          <w:szCs w:val="20"/>
          <w:lang w:eastAsia="ko-KR"/>
        </w:rPr>
        <w:t xml:space="preserve"> 국가에서는 화학적 강박 사용이 인종, 성별, 사회경제적 지위에 따라 불균등하게 분포한다는 근거도 있다.(Belayneh et al. 2024) 의료 인력과 정신건강 자원의 부족 때문에 강제적 개입이 반복된다면, 이는 개별 임상의의 판단 문제를 넘어 사회 전체의 자원 분배 정의와 연결된다.</w:t>
      </w:r>
    </w:p>
    <w:p w14:paraId="7A86CC09"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하지만 동시에 정의는 제3자의 권리도 고려할 것을 요구한다. 여기서 차별 금지의 요구와 타인의 안전 보호 요구는 서로 긴장 관계에 놓인다. 구체적이고 임박한 위해가 예상되는 상황에서 피해자의 안전을 방관하는 것 역시 정의롭지 않기 때문이다. 따라서 이 두 요구가 충돌할 때 어떻게 균형을 잡을 것인가는 아래에서 제시하는 가중적 조건 구조와 직접 연결된다. 화학적 강박이 차별 금지 원칙을 침해하지 않으면서도 제3자의 안전을 보호하기 위해 동원될 수 있으려면, 구체적이고 임박한 신체적 위해가 있어야 한다.(</w:t>
      </w:r>
      <w:proofErr w:type="spellStart"/>
      <w:r w:rsidRPr="00F2098E">
        <w:rPr>
          <w:rFonts w:asciiTheme="minorEastAsia" w:hAnsiTheme="minorEastAsia"/>
          <w:sz w:val="20"/>
          <w:szCs w:val="20"/>
          <w:lang w:eastAsia="ko-KR"/>
        </w:rPr>
        <w:t>Chieze</w:t>
      </w:r>
      <w:proofErr w:type="spellEnd"/>
      <w:r w:rsidRPr="00F2098E">
        <w:rPr>
          <w:rFonts w:asciiTheme="minorEastAsia" w:hAnsiTheme="minorEastAsia"/>
          <w:sz w:val="20"/>
          <w:szCs w:val="20"/>
          <w:lang w:eastAsia="ko-KR"/>
        </w:rPr>
        <w:t xml:space="preserve"> et al. 2021)</w:t>
      </w:r>
    </w:p>
    <w:p w14:paraId="204E7C11"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23" w:name="제한적-허용의-필수보강-조건"/>
      <w:bookmarkEnd w:id="22"/>
      <w:r w:rsidRPr="00F2098E">
        <w:rPr>
          <w:rFonts w:asciiTheme="minorEastAsia" w:eastAsiaTheme="minorEastAsia" w:hAnsiTheme="minorEastAsia"/>
          <w:sz w:val="20"/>
          <w:szCs w:val="20"/>
          <w:lang w:eastAsia="ko-KR"/>
        </w:rPr>
        <w:t>제한적 허용의 필수·보강 조건</w:t>
      </w:r>
    </w:p>
    <w:p w14:paraId="7DFA6952"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이러한 원칙주의의 네 원칙을 화학적 강박에 적용할 때, 제한적 허용은 단순한 임상 재량이 아니라 엄격한 조건 구조를 필요로 한다. 여기 나열한 조건들이 모두 동일한 비중을 지닌 것은 아니며, 반드시 먼저 충족되어야 할 필수 조건과 정당성을 보강하는 절차 조건으로 구분된다.[Hem et al. (2016</w:t>
      </w:r>
      <w:proofErr w:type="gramStart"/>
      <w:r w:rsidRPr="00F2098E">
        <w:rPr>
          <w:rFonts w:asciiTheme="minorEastAsia" w:hAnsiTheme="minorEastAsia"/>
          <w:sz w:val="20"/>
          <w:szCs w:val="20"/>
          <w:lang w:eastAsia="ko-KR"/>
        </w:rPr>
        <w:t>)](</w:t>
      </w:r>
      <w:proofErr w:type="gramEnd"/>
      <w:r w:rsidRPr="00F2098E">
        <w:rPr>
          <w:rFonts w:asciiTheme="minorEastAsia" w:hAnsiTheme="minorEastAsia"/>
          <w:sz w:val="20"/>
          <w:szCs w:val="20"/>
          <w:lang w:eastAsia="ko-KR"/>
        </w:rPr>
        <w:t>Crutchfield and Redinger 2022)(Steinert 2023) 이 조건들은 어느 하나만 충족되어도 개입이 정당화되거나, 반대로 하나라도 빠지면 곧바로 불허되는 단순한 체크리스트가 아니다. 그보다는 조건이 많이 충족될수록 개입의 윤리적 정당성이 높아지는 가중적(cumulative) 구조로 이해해야 하며, 특히 앞의 세 조건은 필수 조건으로, 뒤의 세 조건은 남용을 막기 위한 절차적 보호장치로 볼 수 있다.</w:t>
      </w:r>
    </w:p>
    <w:p w14:paraId="0AA76421" w14:textId="77777777" w:rsidR="00A00B40" w:rsidRPr="00F2098E" w:rsidRDefault="00000000" w:rsidP="00F2098E">
      <w:pPr>
        <w:numPr>
          <w:ilvl w:val="0"/>
          <w:numId w:val="2"/>
        </w:numPr>
        <w:jc w:val="both"/>
        <w:rPr>
          <w:rFonts w:asciiTheme="minorEastAsia" w:hAnsiTheme="minorEastAsia"/>
          <w:sz w:val="20"/>
          <w:szCs w:val="20"/>
          <w:lang w:eastAsia="ko-KR"/>
        </w:rPr>
      </w:pPr>
      <w:r w:rsidRPr="00F2098E">
        <w:rPr>
          <w:rFonts w:asciiTheme="minorEastAsia" w:hAnsiTheme="minorEastAsia"/>
          <w:b/>
          <w:bCs/>
          <w:sz w:val="20"/>
          <w:szCs w:val="20"/>
          <w:lang w:eastAsia="ko-KR"/>
        </w:rPr>
        <w:t>의사결정 능력의 실질적 손상</w:t>
      </w:r>
      <w:r w:rsidRPr="00F2098E">
        <w:rPr>
          <w:rFonts w:asciiTheme="minorEastAsia" w:hAnsiTheme="minorEastAsia"/>
          <w:sz w:val="20"/>
          <w:szCs w:val="20"/>
          <w:lang w:eastAsia="ko-KR"/>
        </w:rPr>
        <w:t>: 환자가 응급상황에서 치료 결정에 필요한 정보를 이해하고, 자신의 상황에 적용하며, 결과를 추론하고, 선택을 안정적으로 표현할 능력이 실질적으로 손상되어 있어야 한다.</w:t>
      </w:r>
    </w:p>
    <w:p w14:paraId="52B90AB2" w14:textId="77777777" w:rsidR="00A00B40" w:rsidRPr="00F2098E" w:rsidRDefault="00000000" w:rsidP="00F2098E">
      <w:pPr>
        <w:numPr>
          <w:ilvl w:val="0"/>
          <w:numId w:val="2"/>
        </w:numPr>
        <w:jc w:val="both"/>
        <w:rPr>
          <w:rFonts w:asciiTheme="minorEastAsia" w:hAnsiTheme="minorEastAsia"/>
          <w:sz w:val="20"/>
          <w:szCs w:val="20"/>
          <w:lang w:eastAsia="ko-KR"/>
        </w:rPr>
      </w:pPr>
      <w:r w:rsidRPr="00F2098E">
        <w:rPr>
          <w:rFonts w:asciiTheme="minorEastAsia" w:hAnsiTheme="minorEastAsia"/>
          <w:b/>
          <w:bCs/>
          <w:sz w:val="20"/>
          <w:szCs w:val="20"/>
          <w:lang w:eastAsia="ko-KR"/>
        </w:rPr>
        <w:lastRenderedPageBreak/>
        <w:t>임박하고 중대한 신체적 위해</w:t>
      </w:r>
      <w:r w:rsidRPr="00F2098E">
        <w:rPr>
          <w:rFonts w:asciiTheme="minorEastAsia" w:hAnsiTheme="minorEastAsia"/>
          <w:sz w:val="20"/>
          <w:szCs w:val="20"/>
          <w:lang w:eastAsia="ko-KR"/>
        </w:rPr>
        <w:t>: 환자 자신 또는 타인에게 구체적이고 임박한 신체적 위해가 예상되어야 한다. 단순한 치료 거부, 언어적 적대, 병동 질서 저해만으로는 충분하지 않다.</w:t>
      </w:r>
    </w:p>
    <w:p w14:paraId="1FDC3E29" w14:textId="77777777" w:rsidR="00A00B40" w:rsidRPr="00F2098E" w:rsidRDefault="00000000" w:rsidP="00F2098E">
      <w:pPr>
        <w:numPr>
          <w:ilvl w:val="0"/>
          <w:numId w:val="2"/>
        </w:numPr>
        <w:jc w:val="both"/>
        <w:rPr>
          <w:rFonts w:asciiTheme="minorEastAsia" w:hAnsiTheme="minorEastAsia"/>
          <w:sz w:val="20"/>
          <w:szCs w:val="20"/>
          <w:lang w:eastAsia="ko-KR"/>
        </w:rPr>
      </w:pPr>
      <w:proofErr w:type="spellStart"/>
      <w:r w:rsidRPr="00F2098E">
        <w:rPr>
          <w:rFonts w:asciiTheme="minorEastAsia" w:hAnsiTheme="minorEastAsia"/>
          <w:b/>
          <w:bCs/>
          <w:sz w:val="20"/>
          <w:szCs w:val="20"/>
          <w:lang w:eastAsia="ko-KR"/>
        </w:rPr>
        <w:t>비강압적</w:t>
      </w:r>
      <w:proofErr w:type="spellEnd"/>
      <w:r w:rsidRPr="00F2098E">
        <w:rPr>
          <w:rFonts w:asciiTheme="minorEastAsia" w:hAnsiTheme="minorEastAsia"/>
          <w:b/>
          <w:bCs/>
          <w:sz w:val="20"/>
          <w:szCs w:val="20"/>
          <w:lang w:eastAsia="ko-KR"/>
        </w:rPr>
        <w:t xml:space="preserve"> 대안의 실패 또는 불가능</w:t>
      </w:r>
      <w:r w:rsidRPr="00F2098E">
        <w:rPr>
          <w:rFonts w:asciiTheme="minorEastAsia" w:hAnsiTheme="minorEastAsia"/>
          <w:sz w:val="20"/>
          <w:szCs w:val="20"/>
          <w:lang w:eastAsia="ko-KR"/>
        </w:rPr>
        <w:t xml:space="preserve">: 언어적 진정, 환경 조절, 감각 조절, 지지적 면담, 가족 또는 신뢰 인물의 개입 등 덜 침습적인 방법이 시도되었으나 실패했거나, </w:t>
      </w:r>
      <w:proofErr w:type="spellStart"/>
      <w:r w:rsidRPr="00F2098E">
        <w:rPr>
          <w:rFonts w:asciiTheme="minorEastAsia" w:hAnsiTheme="minorEastAsia"/>
          <w:sz w:val="20"/>
          <w:szCs w:val="20"/>
          <w:lang w:eastAsia="ko-KR"/>
        </w:rPr>
        <w:t>위해의</w:t>
      </w:r>
      <w:proofErr w:type="spellEnd"/>
      <w:r w:rsidRPr="00F2098E">
        <w:rPr>
          <w:rFonts w:asciiTheme="minorEastAsia" w:hAnsiTheme="minorEastAsia"/>
          <w:sz w:val="20"/>
          <w:szCs w:val="20"/>
          <w:lang w:eastAsia="ko-KR"/>
        </w:rPr>
        <w:t xml:space="preserve"> </w:t>
      </w:r>
      <w:proofErr w:type="spellStart"/>
      <w:r w:rsidRPr="00F2098E">
        <w:rPr>
          <w:rFonts w:asciiTheme="minorEastAsia" w:hAnsiTheme="minorEastAsia"/>
          <w:sz w:val="20"/>
          <w:szCs w:val="20"/>
          <w:lang w:eastAsia="ko-KR"/>
        </w:rPr>
        <w:t>임박성</w:t>
      </w:r>
      <w:proofErr w:type="spellEnd"/>
      <w:r w:rsidRPr="00F2098E">
        <w:rPr>
          <w:rFonts w:asciiTheme="minorEastAsia" w:hAnsiTheme="minorEastAsia"/>
          <w:sz w:val="20"/>
          <w:szCs w:val="20"/>
          <w:lang w:eastAsia="ko-KR"/>
        </w:rPr>
        <w:t xml:space="preserve"> 때문에 시도할 수 없는 상황이어야 한다.</w:t>
      </w:r>
    </w:p>
    <w:p w14:paraId="5F496929" w14:textId="77777777" w:rsidR="00A00B40" w:rsidRPr="00F2098E" w:rsidRDefault="00000000" w:rsidP="00F2098E">
      <w:pPr>
        <w:numPr>
          <w:ilvl w:val="0"/>
          <w:numId w:val="2"/>
        </w:numPr>
        <w:jc w:val="both"/>
        <w:rPr>
          <w:rFonts w:asciiTheme="minorEastAsia" w:hAnsiTheme="minorEastAsia"/>
          <w:sz w:val="20"/>
          <w:szCs w:val="20"/>
          <w:lang w:eastAsia="ko-KR"/>
        </w:rPr>
      </w:pPr>
      <w:r w:rsidRPr="00F2098E">
        <w:rPr>
          <w:rFonts w:asciiTheme="minorEastAsia" w:hAnsiTheme="minorEastAsia"/>
          <w:b/>
          <w:bCs/>
          <w:sz w:val="20"/>
          <w:szCs w:val="20"/>
          <w:lang w:eastAsia="ko-KR"/>
        </w:rPr>
        <w:t>최소 약물 및 최소 용량</w:t>
      </w:r>
      <w:r w:rsidRPr="00F2098E">
        <w:rPr>
          <w:rFonts w:asciiTheme="minorEastAsia" w:hAnsiTheme="minorEastAsia"/>
          <w:sz w:val="20"/>
          <w:szCs w:val="20"/>
          <w:lang w:eastAsia="ko-KR"/>
        </w:rPr>
        <w:t>: 약물의 종류, 용량, 투여 경로는 행동 통제가 아니라 안전 회복과 의사결정 능력 회복을 목적으로 최소한으로 선택되어야 한다.</w:t>
      </w:r>
    </w:p>
    <w:p w14:paraId="1E542190" w14:textId="77777777" w:rsidR="00A00B40" w:rsidRPr="00F2098E" w:rsidRDefault="00000000" w:rsidP="00F2098E">
      <w:pPr>
        <w:numPr>
          <w:ilvl w:val="0"/>
          <w:numId w:val="2"/>
        </w:numPr>
        <w:jc w:val="both"/>
        <w:rPr>
          <w:rFonts w:asciiTheme="minorEastAsia" w:hAnsiTheme="minorEastAsia"/>
          <w:sz w:val="20"/>
          <w:szCs w:val="20"/>
          <w:lang w:eastAsia="ko-KR"/>
        </w:rPr>
      </w:pPr>
      <w:r w:rsidRPr="00F2098E">
        <w:rPr>
          <w:rFonts w:asciiTheme="minorEastAsia" w:hAnsiTheme="minorEastAsia"/>
          <w:b/>
          <w:bCs/>
          <w:sz w:val="20"/>
          <w:szCs w:val="20"/>
          <w:lang w:eastAsia="ko-KR"/>
        </w:rPr>
        <w:t>기록과 사후 설명</w:t>
      </w:r>
      <w:r w:rsidRPr="00F2098E">
        <w:rPr>
          <w:rFonts w:asciiTheme="minorEastAsia" w:hAnsiTheme="minorEastAsia"/>
          <w:sz w:val="20"/>
          <w:szCs w:val="20"/>
          <w:lang w:eastAsia="ko-KR"/>
        </w:rPr>
        <w:t>: 개입의 이유, 대안 시도 여부, 의사결정 능력 평가, 약물 선택의 근거, 환자의 반응이 기록되어야 하며, 회복 후 환자에게 설명되고 가능한 경우 치료 계획에 반영되어야 한다.</w:t>
      </w:r>
    </w:p>
    <w:p w14:paraId="1C9858B9" w14:textId="77777777" w:rsidR="00A00B40" w:rsidRPr="00F2098E" w:rsidRDefault="00000000" w:rsidP="00F2098E">
      <w:pPr>
        <w:numPr>
          <w:ilvl w:val="0"/>
          <w:numId w:val="2"/>
        </w:numPr>
        <w:jc w:val="both"/>
        <w:rPr>
          <w:rFonts w:asciiTheme="minorEastAsia" w:hAnsiTheme="minorEastAsia"/>
          <w:sz w:val="20"/>
          <w:szCs w:val="20"/>
          <w:lang w:eastAsia="ko-KR"/>
        </w:rPr>
      </w:pPr>
      <w:r w:rsidRPr="00F2098E">
        <w:rPr>
          <w:rFonts w:asciiTheme="minorEastAsia" w:hAnsiTheme="minorEastAsia"/>
          <w:b/>
          <w:bCs/>
          <w:sz w:val="20"/>
          <w:szCs w:val="20"/>
          <w:lang w:eastAsia="ko-KR"/>
        </w:rPr>
        <w:t>독립적 검토</w:t>
      </w:r>
      <w:r w:rsidRPr="00F2098E">
        <w:rPr>
          <w:rFonts w:asciiTheme="minorEastAsia" w:hAnsiTheme="minorEastAsia"/>
          <w:sz w:val="20"/>
          <w:szCs w:val="20"/>
          <w:lang w:eastAsia="ko-KR"/>
        </w:rPr>
        <w:t>: 반복적 사용, 고위험 사례, 이견이 있었던 사례는 독립적 또는 다학제적 검토를 받아야 한다. 이는 남용, 차별적 적용, 절차적 불투명성을 줄이기 위한 최소한의 보호장치이다.</w:t>
      </w:r>
    </w:p>
    <w:p w14:paraId="1B9068A8"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이러한 조건들은 화학적 강박을 정당화하는 명분을 찾기 위해 제시한 것은 아니며, 오히려 사용 가능성을 좁히기 위해 작성되었다. 화학적 강박은 원칙적으로 피해야 하지만, 예외 없이 금지한다면 오히려 환자의 본래 가치관, 제3자의 신체 불가침성, 의료진의 악행 금지 의무 등이 모두 훼손될 우려가 있다.(Prinsen and Delden 2008) 따라서 원칙주의의 </w:t>
      </w:r>
      <w:r w:rsidRPr="00F2098E">
        <w:rPr>
          <w:rFonts w:asciiTheme="minorEastAsia" w:hAnsiTheme="minorEastAsia"/>
          <w:i/>
          <w:iCs/>
          <w:sz w:val="20"/>
          <w:szCs w:val="20"/>
          <w:lang w:eastAsia="ko-KR"/>
        </w:rPr>
        <w:t>prima facie</w:t>
      </w:r>
      <w:r w:rsidRPr="00F2098E">
        <w:rPr>
          <w:rFonts w:asciiTheme="minorEastAsia" w:hAnsiTheme="minorEastAsia"/>
          <w:sz w:val="20"/>
          <w:szCs w:val="20"/>
          <w:lang w:eastAsia="ko-KR"/>
        </w:rPr>
        <w:t xml:space="preserve"> 구조를 빌려 다중 의무 충돌 사태의 돌파구를 마련하고자 한 것이다.(Beauchamp and Childress 2019)</w:t>
      </w:r>
    </w:p>
    <w:p w14:paraId="0E0BB865"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다만 이러한 필수, 보강 조건을 마련해도 그 하나하나의 조건을 평가하는 것이 여전히 의료진이라면, 화학적 강박은 계속해서 권력 비대칭과 인권 침해 논란에서 자유롭지 못할 것이다.(Shea 2020) 이 구조적 공백을 메우기 위해서는 위기가 닥치기 전에 환자의 의사를 타진하여 이를 명문화하는 장치가 필요하다. 현재 의사결정 능력을 보유한 환자가, 미래에 닥칠지도 모르는 위기 상황에서 자신에게 허용되거나 금지될 처우를 미리 정해두는 정신건강 사전의향서(PAD)는, 균형 잡기의 권리와 책임을 부분적으로 환자에게 되돌려주는 메커니즘이다.(Scholten et al. 2019)</w:t>
      </w:r>
    </w:p>
    <w:p w14:paraId="72ADB97B" w14:textId="77777777" w:rsidR="00A00B40" w:rsidRPr="00F2098E" w:rsidRDefault="00000000" w:rsidP="00F2098E">
      <w:pPr>
        <w:pStyle w:val="a0"/>
        <w:jc w:val="both"/>
        <w:rPr>
          <w:rFonts w:asciiTheme="minorEastAsia" w:hAnsiTheme="minorEastAsia"/>
          <w:sz w:val="20"/>
          <w:szCs w:val="20"/>
          <w:lang w:eastAsia="ko-KR"/>
        </w:rPr>
      </w:pPr>
      <w:proofErr w:type="spellStart"/>
      <w:r w:rsidRPr="00F2098E">
        <w:rPr>
          <w:rFonts w:asciiTheme="minorEastAsia" w:hAnsiTheme="minorEastAsia"/>
          <w:sz w:val="20"/>
          <w:szCs w:val="20"/>
          <w:lang w:eastAsia="ko-KR"/>
        </w:rPr>
        <w:t>Szmukler</w:t>
      </w:r>
      <w:proofErr w:type="spellEnd"/>
      <w:r w:rsidRPr="00F2098E">
        <w:rPr>
          <w:rFonts w:asciiTheme="minorEastAsia" w:hAnsiTheme="minorEastAsia"/>
          <w:sz w:val="20"/>
          <w:szCs w:val="20"/>
          <w:lang w:eastAsia="ko-KR"/>
        </w:rPr>
        <w:t>((</w:t>
      </w:r>
      <w:proofErr w:type="spellStart"/>
      <w:r w:rsidRPr="00F2098E">
        <w:rPr>
          <w:rFonts w:asciiTheme="minorEastAsia" w:hAnsiTheme="minorEastAsia"/>
          <w:sz w:val="20"/>
          <w:szCs w:val="20"/>
          <w:lang w:eastAsia="ko-KR"/>
        </w:rPr>
        <w:t>Szmukler</w:t>
      </w:r>
      <w:proofErr w:type="spellEnd"/>
      <w:r w:rsidRPr="00F2098E">
        <w:rPr>
          <w:rFonts w:asciiTheme="minorEastAsia" w:hAnsiTheme="minorEastAsia"/>
          <w:sz w:val="20"/>
          <w:szCs w:val="20"/>
          <w:lang w:eastAsia="ko-KR"/>
        </w:rPr>
        <w:t xml:space="preserve"> 2019))는 환자가 표현하는 “의지”</w:t>
      </w:r>
      <w:proofErr w:type="spellStart"/>
      <w:r w:rsidRPr="00F2098E">
        <w:rPr>
          <w:rFonts w:asciiTheme="minorEastAsia" w:hAnsiTheme="minorEastAsia"/>
          <w:sz w:val="20"/>
          <w:szCs w:val="20"/>
          <w:lang w:eastAsia="ko-KR"/>
        </w:rPr>
        <w:t>를</w:t>
      </w:r>
      <w:proofErr w:type="spellEnd"/>
      <w:r w:rsidRPr="00F2098E">
        <w:rPr>
          <w:rFonts w:asciiTheme="minorEastAsia" w:hAnsiTheme="minorEastAsia"/>
          <w:sz w:val="20"/>
          <w:szCs w:val="20"/>
          <w:lang w:eastAsia="ko-KR"/>
        </w:rPr>
        <w:t xml:space="preserve"> 지속적, 통합적 가치 체계로, “선호”</w:t>
      </w:r>
      <w:proofErr w:type="spellStart"/>
      <w:r w:rsidRPr="00F2098E">
        <w:rPr>
          <w:rFonts w:asciiTheme="minorEastAsia" w:hAnsiTheme="minorEastAsia"/>
          <w:sz w:val="20"/>
          <w:szCs w:val="20"/>
          <w:lang w:eastAsia="ko-KR"/>
        </w:rPr>
        <w:t>를</w:t>
      </w:r>
      <w:proofErr w:type="spellEnd"/>
      <w:r w:rsidRPr="00F2098E">
        <w:rPr>
          <w:rFonts w:asciiTheme="minorEastAsia" w:hAnsiTheme="minorEastAsia"/>
          <w:sz w:val="20"/>
          <w:szCs w:val="20"/>
          <w:lang w:eastAsia="ko-KR"/>
        </w:rPr>
        <w:t xml:space="preserve"> 특정 시점의 욕구로 구별하며, 가치관을 반영한 지속적 의지(학업을 마치고자 함, 가족과의 관계를 유지하고자 함, 재발을 피하고자 함)와 급성기에 표현된 선호(약물 거부)가 충돌할 때, 후자만을 </w:t>
      </w:r>
      <w:proofErr w:type="spellStart"/>
      <w:r w:rsidRPr="00F2098E">
        <w:rPr>
          <w:rFonts w:asciiTheme="minorEastAsia" w:hAnsiTheme="minorEastAsia"/>
          <w:sz w:val="20"/>
          <w:szCs w:val="20"/>
          <w:lang w:eastAsia="ko-KR"/>
        </w:rPr>
        <w:t>절대화하는</w:t>
      </w:r>
      <w:proofErr w:type="spellEnd"/>
      <w:r w:rsidRPr="00F2098E">
        <w:rPr>
          <w:rFonts w:asciiTheme="minorEastAsia" w:hAnsiTheme="minorEastAsia"/>
          <w:sz w:val="20"/>
          <w:szCs w:val="20"/>
          <w:lang w:eastAsia="ko-KR"/>
        </w:rPr>
        <w:t xml:space="preserve"> 것은 환자에게 선행을 베푸는 것이라 할 수 없다고 논하고 있다. 이런 관점에서 PAD는 자율성의 시간적 확장인 동시에, “지속적 의지”</w:t>
      </w:r>
      <w:proofErr w:type="spellStart"/>
      <w:r w:rsidRPr="00F2098E">
        <w:rPr>
          <w:rFonts w:asciiTheme="minorEastAsia" w:hAnsiTheme="minorEastAsia"/>
          <w:sz w:val="20"/>
          <w:szCs w:val="20"/>
          <w:lang w:eastAsia="ko-KR"/>
        </w:rPr>
        <w:t>를</w:t>
      </w:r>
      <w:proofErr w:type="spellEnd"/>
      <w:r w:rsidRPr="00F2098E">
        <w:rPr>
          <w:rFonts w:asciiTheme="minorEastAsia" w:hAnsiTheme="minorEastAsia"/>
          <w:sz w:val="20"/>
          <w:szCs w:val="20"/>
          <w:lang w:eastAsia="ko-KR"/>
        </w:rPr>
        <w:t xml:space="preserve"> 제도화하는 장치이기도 하다.(</w:t>
      </w:r>
      <w:proofErr w:type="spellStart"/>
      <w:r w:rsidRPr="00F2098E">
        <w:rPr>
          <w:rFonts w:asciiTheme="minorEastAsia" w:hAnsiTheme="minorEastAsia"/>
          <w:sz w:val="20"/>
          <w:szCs w:val="20"/>
          <w:lang w:eastAsia="ko-KR"/>
        </w:rPr>
        <w:t>Szmukler</w:t>
      </w:r>
      <w:proofErr w:type="spellEnd"/>
      <w:r w:rsidRPr="00F2098E">
        <w:rPr>
          <w:rFonts w:asciiTheme="minorEastAsia" w:hAnsiTheme="minorEastAsia"/>
          <w:sz w:val="20"/>
          <w:szCs w:val="20"/>
          <w:lang w:eastAsia="ko-KR"/>
        </w:rPr>
        <w:t xml:space="preserve"> 2019)</w:t>
      </w:r>
    </w:p>
    <w:p w14:paraId="0DB185C5" w14:textId="77777777" w:rsidR="00A00B40" w:rsidRPr="00F2098E" w:rsidRDefault="00000000" w:rsidP="00F2098E">
      <w:pPr>
        <w:pStyle w:val="2"/>
        <w:jc w:val="both"/>
        <w:rPr>
          <w:rFonts w:asciiTheme="minorEastAsia" w:eastAsiaTheme="minorEastAsia" w:hAnsiTheme="minorEastAsia"/>
          <w:sz w:val="20"/>
          <w:szCs w:val="20"/>
          <w:lang w:eastAsia="ko-KR"/>
        </w:rPr>
      </w:pPr>
      <w:bookmarkStart w:id="24" w:name="정신건강-사전-의향서"/>
      <w:bookmarkEnd w:id="17"/>
      <w:bookmarkEnd w:id="23"/>
      <w:r w:rsidRPr="00F2098E">
        <w:rPr>
          <w:rFonts w:asciiTheme="minorEastAsia" w:eastAsiaTheme="minorEastAsia" w:hAnsiTheme="minorEastAsia"/>
          <w:sz w:val="20"/>
          <w:szCs w:val="20"/>
          <w:lang w:eastAsia="ko-KR"/>
        </w:rPr>
        <w:t>정신건강 사전 의향서</w:t>
      </w:r>
    </w:p>
    <w:p w14:paraId="6E658133"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25" w:name="개념적-정의"/>
      <w:r w:rsidRPr="00F2098E">
        <w:rPr>
          <w:rFonts w:asciiTheme="minorEastAsia" w:eastAsiaTheme="minorEastAsia" w:hAnsiTheme="minorEastAsia"/>
          <w:sz w:val="20"/>
          <w:szCs w:val="20"/>
          <w:lang w:eastAsia="ko-KR"/>
        </w:rPr>
        <w:t>개념적 정의</w:t>
      </w:r>
    </w:p>
    <w:p w14:paraId="471A68EE"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PAD는 의사결정 능력을 갖춘 성인이 미래의 정신과적 위기 상황에서 자신의 치료 선호도를 미리 명시하거나, 자신을 대리할 의사결정자를 지정하는 법적 또는 </w:t>
      </w:r>
      <w:proofErr w:type="spellStart"/>
      <w:r w:rsidRPr="00F2098E">
        <w:rPr>
          <w:rFonts w:asciiTheme="minorEastAsia" w:hAnsiTheme="minorEastAsia"/>
          <w:sz w:val="20"/>
          <w:szCs w:val="20"/>
          <w:lang w:eastAsia="ko-KR"/>
        </w:rPr>
        <w:t>준법적</w:t>
      </w:r>
      <w:proofErr w:type="spellEnd"/>
      <w:r w:rsidRPr="00F2098E">
        <w:rPr>
          <w:rFonts w:asciiTheme="minorEastAsia" w:hAnsiTheme="minorEastAsia"/>
          <w:sz w:val="20"/>
          <w:szCs w:val="20"/>
          <w:lang w:eastAsia="ko-KR"/>
        </w:rPr>
        <w:t xml:space="preserve"> 문서이다.[Swanson et al. (2006</w:t>
      </w:r>
      <w:proofErr w:type="gramStart"/>
      <w:r w:rsidRPr="00F2098E">
        <w:rPr>
          <w:rFonts w:asciiTheme="minorEastAsia" w:hAnsiTheme="minorEastAsia"/>
          <w:sz w:val="20"/>
          <w:szCs w:val="20"/>
          <w:lang w:eastAsia="ko-KR"/>
        </w:rPr>
        <w:t>)](</w:t>
      </w:r>
      <w:proofErr w:type="gramEnd"/>
      <w:r w:rsidRPr="00F2098E">
        <w:rPr>
          <w:rFonts w:asciiTheme="minorEastAsia" w:hAnsiTheme="minorEastAsia"/>
          <w:sz w:val="20"/>
          <w:szCs w:val="20"/>
          <w:lang w:eastAsia="ko-KR"/>
        </w:rPr>
        <w:t xml:space="preserve">Scholten et al. 2019) 여기에는 위기 카드(crisis cards), 공동 위기 계획(joint crisis plans, JCP), </w:t>
      </w:r>
      <w:r w:rsidRPr="00F2098E">
        <w:rPr>
          <w:rFonts w:asciiTheme="minorEastAsia" w:hAnsiTheme="minorEastAsia"/>
          <w:sz w:val="20"/>
          <w:szCs w:val="20"/>
          <w:lang w:eastAsia="ko-KR"/>
        </w:rPr>
        <w:lastRenderedPageBreak/>
        <w:t>자기구속 지시(self-binding directives, 일명 율리시스 계약) 등 다양한 형태가 포함된다.(Gaillard et al. 2023) PAD는 공유 의사결정(shared decision making)의 정신과적 적용으로 볼 수 있다. 당사자가 의료진과 함께 미래의 위기 상황을 어떻게 다룰지 미리 논의하여 그 결과를 기록하는 방식이기 때문이다.</w:t>
      </w:r>
    </w:p>
    <w:p w14:paraId="5B383F69"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화학적 강박 논쟁에서 PAD가 중요한 이유는 위기 시점에서의 거부와 안정기에서 의지를 구분하여, 강제 치료의 정당화 주체를 의료진에서 환자 자신으로 부분적으로 이전시키기 때문이다. 즉 PAD는 어떤 상황에서 어떤 약물이나 개입을 허용하거나 거부할 것인지에 대한 환자의 선행 의사를 명확히 함으로써 응급상황의 윤리적 불확실성을 줄이는 장치이다.</w:t>
      </w:r>
    </w:p>
    <w:p w14:paraId="17E58DE4"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강압적 치료와 관련하여 가장 논쟁적인 형태는 율리시스 계약(Ulysses contract)이라 불리는 자기구속(self-binding) 지시이다.(Stephenson et al. 2023) 이는 그리스 신화에서 율리시스가 </w:t>
      </w:r>
      <w:proofErr w:type="spellStart"/>
      <w:r w:rsidRPr="00F2098E">
        <w:rPr>
          <w:rFonts w:asciiTheme="minorEastAsia" w:hAnsiTheme="minorEastAsia"/>
          <w:sz w:val="20"/>
          <w:szCs w:val="20"/>
          <w:lang w:eastAsia="ko-KR"/>
        </w:rPr>
        <w:t>세이렌의</w:t>
      </w:r>
      <w:proofErr w:type="spellEnd"/>
      <w:r w:rsidRPr="00F2098E">
        <w:rPr>
          <w:rFonts w:asciiTheme="minorEastAsia" w:hAnsiTheme="minorEastAsia"/>
          <w:sz w:val="20"/>
          <w:szCs w:val="20"/>
          <w:lang w:eastAsia="ko-KR"/>
        </w:rPr>
        <w:t xml:space="preserve"> 노래를 들으면서도 배를 </w:t>
      </w:r>
      <w:proofErr w:type="spellStart"/>
      <w:r w:rsidRPr="00F2098E">
        <w:rPr>
          <w:rFonts w:asciiTheme="minorEastAsia" w:hAnsiTheme="minorEastAsia"/>
          <w:sz w:val="20"/>
          <w:szCs w:val="20"/>
          <w:lang w:eastAsia="ko-KR"/>
        </w:rPr>
        <w:t>좌초시키지</w:t>
      </w:r>
      <w:proofErr w:type="spellEnd"/>
      <w:r w:rsidRPr="00F2098E">
        <w:rPr>
          <w:rFonts w:asciiTheme="minorEastAsia" w:hAnsiTheme="minorEastAsia"/>
          <w:sz w:val="20"/>
          <w:szCs w:val="20"/>
          <w:lang w:eastAsia="ko-KR"/>
        </w:rPr>
        <w:t xml:space="preserve"> 않기 위해 선원들에게 자신을 돛대에 묶고, 나중에 아무리 풀어달라고 해도 들어주지 말라고 명령한 이야기에서 유래한다. 정신과적 맥락에서는 안정기 환자가 미래의 위기 상황에서 자신이 치료를 거부하더라도 특정 치료를 시행해 달라고 사전에 요청하는 형태를 뜻한다. 물론 모든 PAD가 자기구속을 의미하는 것은 아니다. 일부 PAD는 특정 치료를 피해달라고 하거나, 선호하는 병원과 대리인을 지정하는 방식으로 기록되기도 한다.</w:t>
      </w:r>
    </w:p>
    <w:p w14:paraId="5AC129A1" w14:textId="7544B7E6" w:rsidR="00D46BC7" w:rsidRPr="00D46BC7" w:rsidRDefault="00000000" w:rsidP="00F2098E">
      <w:pPr>
        <w:pStyle w:val="a0"/>
        <w:jc w:val="both"/>
        <w:rPr>
          <w:rFonts w:asciiTheme="minorEastAsia" w:hAnsiTheme="minorEastAsia" w:hint="eastAsia"/>
          <w:sz w:val="20"/>
          <w:szCs w:val="20"/>
          <w:lang w:eastAsia="ko-KR"/>
        </w:rPr>
      </w:pPr>
      <w:r w:rsidRPr="00F2098E">
        <w:rPr>
          <w:rFonts w:asciiTheme="minorEastAsia" w:hAnsiTheme="minorEastAsia"/>
          <w:sz w:val="20"/>
          <w:szCs w:val="20"/>
          <w:lang w:eastAsia="ko-KR"/>
        </w:rPr>
        <w:t>율리시스 계약은 유망한 타협안이지만, 미래 자율성을 침해할 수 있다는 반론을 피할 수 없다. 따라서 자기구속 지시가 정당성을 갖기 위해서는 유효기간, 구체적 발동 조건, 철회 가능 시점, 독립 상담, 대리인 확인, 정기적 갱신, 사후 검토 같은 안전장치가 필요하다. 특히 “모든 치료를 거부한다” 또는 “어떤 경우에도 강제 투약을 허용한다”와 같은 포괄적 문구는 임상적, 법적 불확실성을 키우므로, 가능한 한 구체적 상황과 선호 약물, 금기 약물, 신뢰할 수 있는 의사결정 지원자를 명시해야 한다.</w:t>
      </w:r>
    </w:p>
    <w:p w14:paraId="6213FE3A"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26" w:name="제도-현황"/>
      <w:bookmarkEnd w:id="25"/>
      <w:r w:rsidRPr="00F2098E">
        <w:rPr>
          <w:rFonts w:asciiTheme="minorEastAsia" w:eastAsiaTheme="minorEastAsia" w:hAnsiTheme="minorEastAsia"/>
          <w:sz w:val="20"/>
          <w:szCs w:val="20"/>
          <w:lang w:eastAsia="ko-KR"/>
        </w:rPr>
        <w:t>제도 현황</w:t>
      </w:r>
    </w:p>
    <w:p w14:paraId="340CE118" w14:textId="77777777" w:rsidR="00A00B40" w:rsidRPr="00F2098E" w:rsidRDefault="00000000" w:rsidP="00F2098E">
      <w:pPr>
        <w:pStyle w:val="4"/>
        <w:jc w:val="both"/>
        <w:rPr>
          <w:rFonts w:asciiTheme="minorEastAsia" w:eastAsiaTheme="minorEastAsia" w:hAnsiTheme="minorEastAsia"/>
          <w:sz w:val="20"/>
          <w:szCs w:val="20"/>
          <w:lang w:eastAsia="ko-KR"/>
        </w:rPr>
      </w:pPr>
      <w:bookmarkStart w:id="27" w:name="미국"/>
      <w:r w:rsidRPr="00F2098E">
        <w:rPr>
          <w:rFonts w:asciiTheme="minorEastAsia" w:eastAsiaTheme="minorEastAsia" w:hAnsiTheme="minorEastAsia"/>
          <w:sz w:val="20"/>
          <w:szCs w:val="20"/>
          <w:lang w:eastAsia="ko-KR"/>
        </w:rPr>
        <w:t>미국</w:t>
      </w:r>
    </w:p>
    <w:p w14:paraId="6D243061"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정신과 이외의 의료 영역에서 사전 의향서의 역사는 깊다. 미국에서는 1970년대부터 주 정부 차원의 사전 의향서 제도가 마련되었고, 1990년 제정된 환자 자기결정법(Patient Self-Determination Act)은 연방법 차원에서 입원 환자에게 사전 의향서 제도를 설명하고 기관 정책을 수립하도록 요구하였다.(Cox and Sachs 1994)</w:t>
      </w:r>
    </w:p>
    <w:p w14:paraId="2060F133"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정신과 영역에서의 제도화는 더디게 진행되었지만, 현재 약 3분의 2의 주에서 정신건강 관련 사전 의향서 입법이 이루어졌다.(Zelle, Kemp, and Bonnie 2015) 특히 버지니아 주의 입법은 율리시스 계약을 명문화하여, 위기 상황에서 본인이 거부 의사를 표현하더라도 사전에 지정한 치료를 계속하도록 하는 조항을 포함한다.(Zelle, Kemp, and Bonnie 2015) 미국 사례가 시사하는 바는 PAD의 실효성이 단순한 문서 작성이 아니라 법적 구속력, 위기 시 철회 가능성, 임상의의 면책 범위, 절차 요건의 명확성에 달려 있다는 점이다.</w:t>
      </w:r>
    </w:p>
    <w:p w14:paraId="42120406" w14:textId="77777777" w:rsidR="00A00B40" w:rsidRPr="00F2098E" w:rsidRDefault="00000000" w:rsidP="00F2098E">
      <w:pPr>
        <w:pStyle w:val="4"/>
        <w:jc w:val="both"/>
        <w:rPr>
          <w:rFonts w:asciiTheme="minorEastAsia" w:eastAsiaTheme="minorEastAsia" w:hAnsiTheme="minorEastAsia"/>
          <w:sz w:val="20"/>
          <w:szCs w:val="20"/>
          <w:lang w:eastAsia="ko-KR"/>
        </w:rPr>
      </w:pPr>
      <w:bookmarkStart w:id="28" w:name="영국"/>
      <w:bookmarkEnd w:id="27"/>
      <w:r w:rsidRPr="00F2098E">
        <w:rPr>
          <w:rFonts w:asciiTheme="minorEastAsia" w:eastAsiaTheme="minorEastAsia" w:hAnsiTheme="minorEastAsia"/>
          <w:sz w:val="20"/>
          <w:szCs w:val="20"/>
          <w:lang w:eastAsia="ko-KR"/>
        </w:rPr>
        <w:lastRenderedPageBreak/>
        <w:t>영국</w:t>
      </w:r>
    </w:p>
    <w:p w14:paraId="4831337E"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영국에서는 2005년 Mental Capacity Act가 제정되어 개인이 미리 자신의 치료에 관한 의사를 표명할 수 있는 길을 제도적으로 열었다.(Halliday 2009) 이 법은 법적 구속력이 있는 사전 결정(advance decision)과 대리 의사결정 권한을 부여하는 제도를 포함한다. 반면 공동 위기 계획(JCP)은 환자와 의료진이 위기 상황의 대응 전략을 사전에 합의하는 임상적 문서이다.로서, 법적 구속력의 성격이 사전 결정보다 좀 약하다.(Farrelly et al. 2015) 따라서 영국 사례는 PAD라는 큰 범주 안에서도 법적 구속력이 있는 사전결정, 대리인 지정, 위기 해소를 위한 합의문 등이 구분되어야 함을 보여준다.</w:t>
      </w:r>
    </w:p>
    <w:p w14:paraId="22915665"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29" w:name="법리적-해석"/>
      <w:bookmarkEnd w:id="26"/>
      <w:bookmarkEnd w:id="28"/>
      <w:r w:rsidRPr="00F2098E">
        <w:rPr>
          <w:rFonts w:asciiTheme="minorEastAsia" w:eastAsiaTheme="minorEastAsia" w:hAnsiTheme="minorEastAsia"/>
          <w:sz w:val="20"/>
          <w:szCs w:val="20"/>
          <w:lang w:eastAsia="ko-KR"/>
        </w:rPr>
        <w:t>법리적 해석</w:t>
      </w:r>
    </w:p>
    <w:p w14:paraId="3CAC3091"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PAD의 법적 구속력은 관할 지역마다 크게 다르며, 일반 의학에서의 사전 의향서보다 제한된 효력을 지니는 경향이 있다. 이는 정신질환에 대한 편견과 낙인, 강압적 치료에 대한 논란, 의사결정 능력 판단의 어려움, 온정적 간섭주의에 대한 경계심이 복합적으로 작용하기 때문이다.(Gloeckler et al. 2025)</w:t>
      </w:r>
    </w:p>
    <w:p w14:paraId="34CFF648"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핵심 쟁점은 안정기 자아의 선행 의사와 위기 시점의 현재 선호가 충돌할 때 어느 쪽을 존중할 것인가이다. 법적 능력(legal capacity)과 의사결정 능력(decision-making capacity)의 구분도 이 문제와 연결된다. CRPD는 의사결정 능력이 제한되었다고 해서 법적 능력을 박탈해서는 안 된다는 입장을 취하지만, 이러한 해석이 PAD가 가장 필요한 상황에서 오히려 PAD의 효력을 약화시킬 수 있다는 비판도 있다.(Gloeckler et al. 2025)</w:t>
      </w:r>
    </w:p>
    <w:p w14:paraId="2927E633"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율리시스 계약의 법리적 해석은 계약 체결 당시의 시점 1과 위기 발생 당시의 시점 2를 구분한다. </w:t>
      </w:r>
      <w:proofErr w:type="spellStart"/>
      <w:r w:rsidRPr="00F2098E">
        <w:rPr>
          <w:rFonts w:asciiTheme="minorEastAsia" w:hAnsiTheme="minorEastAsia"/>
          <w:sz w:val="20"/>
          <w:szCs w:val="20"/>
          <w:lang w:eastAsia="ko-KR"/>
        </w:rPr>
        <w:t>충분성</w:t>
      </w:r>
      <w:proofErr w:type="spellEnd"/>
      <w:r w:rsidRPr="00F2098E">
        <w:rPr>
          <w:rFonts w:asciiTheme="minorEastAsia" w:hAnsiTheme="minorEastAsia"/>
          <w:sz w:val="20"/>
          <w:szCs w:val="20"/>
          <w:lang w:eastAsia="ko-KR"/>
        </w:rPr>
        <w:t xml:space="preserve"> 관점(sufficiency view)에 따르면 시점 2에서 내린 치료 거부도 온전한 의사결정으로 인정된다면 율리시스 계약은 무효가 된다고 본다.(BROCK 1993) 반면 무력화 관점(defeater view)에 의하면 시점 1의 소망이 더 지속적이고 진정한 선호를 반영하므로, 시점 2에 일정한 의사결정 능력이 남아 있더라도 계약은 유효하다고 본다.(</w:t>
      </w:r>
      <w:proofErr w:type="spellStart"/>
      <w:r w:rsidRPr="00F2098E">
        <w:rPr>
          <w:rFonts w:asciiTheme="minorEastAsia" w:hAnsiTheme="minorEastAsia"/>
          <w:sz w:val="20"/>
          <w:szCs w:val="20"/>
          <w:lang w:eastAsia="ko-KR"/>
        </w:rPr>
        <w:t>Spellecy</w:t>
      </w:r>
      <w:proofErr w:type="spellEnd"/>
      <w:r w:rsidRPr="00F2098E">
        <w:rPr>
          <w:rFonts w:asciiTheme="minorEastAsia" w:hAnsiTheme="minorEastAsia"/>
          <w:sz w:val="20"/>
          <w:szCs w:val="20"/>
          <w:lang w:eastAsia="ko-KR"/>
        </w:rPr>
        <w:t xml:space="preserve"> 2003) 즉 한번 작성한 사전의향서의 해지 가능성에 있어서도 법적 해석이 엇갈릴 우려가 있다.</w:t>
      </w:r>
    </w:p>
    <w:p w14:paraId="7AB6F549" w14:textId="77777777" w:rsidR="00A00B40"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Davis((Davis 2008))는 시점 1과 시점 2의 소망 중 어느 쪽을 존중할지 선택하는 방식 자체가, 모두 과거의 특정 순간에 고정된 관점이라고 비판한다. </w:t>
      </w:r>
      <w:proofErr w:type="spellStart"/>
      <w:r w:rsidRPr="00F2098E">
        <w:rPr>
          <w:rFonts w:asciiTheme="minorEastAsia" w:hAnsiTheme="minorEastAsia"/>
          <w:sz w:val="20"/>
          <w:szCs w:val="20"/>
          <w:lang w:eastAsia="ko-KR"/>
        </w:rPr>
        <w:t>충분성</w:t>
      </w:r>
      <w:proofErr w:type="spellEnd"/>
      <w:r w:rsidRPr="00F2098E">
        <w:rPr>
          <w:rFonts w:asciiTheme="minorEastAsia" w:hAnsiTheme="minorEastAsia"/>
          <w:sz w:val="20"/>
          <w:szCs w:val="20"/>
          <w:lang w:eastAsia="ko-KR"/>
        </w:rPr>
        <w:t xml:space="preserve"> 관점이 현재 의사를 중시하고, 무력화 관점이 과거의 의사를 더 존중하는데 비해, Davis는 환자가 시간의 흐름 속에서 어떤 삶의 방향을 만들어가고자 하는 지 묻는다. 따라서 그의 논지는 무력화 관점과 결론이 일부 겹칠 수 있지만, 정당화의 근거를 통시적 삶의 형성과 전향적 자율성에 둔다는 점에서 구별된다.</w:t>
      </w:r>
    </w:p>
    <w:p w14:paraId="63D0C433" w14:textId="644EAA9A" w:rsidR="005E4ADC" w:rsidRPr="005E4ADC" w:rsidRDefault="005E4ADC" w:rsidP="005E4ADC">
      <w:pPr>
        <w:pStyle w:val="a0"/>
        <w:jc w:val="both"/>
        <w:rPr>
          <w:rFonts w:asciiTheme="minorEastAsia" w:hAnsiTheme="minorEastAsia" w:hint="eastAsia"/>
          <w:sz w:val="20"/>
          <w:szCs w:val="20"/>
          <w:lang w:eastAsia="ko-KR"/>
        </w:rPr>
      </w:pPr>
      <w:r>
        <w:rPr>
          <w:rFonts w:asciiTheme="minorEastAsia" w:hAnsiTheme="minorEastAsia" w:hint="eastAsia"/>
          <w:sz w:val="20"/>
          <w:szCs w:val="20"/>
          <w:lang w:eastAsia="ko-KR"/>
        </w:rPr>
        <w:t>(</w:t>
      </w:r>
      <w:r w:rsidRPr="005E4ADC">
        <w:rPr>
          <w:rFonts w:asciiTheme="minorEastAsia" w:hAnsiTheme="minorEastAsia" w:hint="eastAsia"/>
          <w:color w:val="00B050"/>
          <w:sz w:val="20"/>
          <w:szCs w:val="20"/>
          <w:lang w:eastAsia="ko-KR"/>
        </w:rPr>
        <w:t xml:space="preserve">다음 사항에 대한 </w:t>
      </w:r>
      <w:r w:rsidRPr="005E4ADC">
        <w:rPr>
          <w:rFonts w:asciiTheme="minorEastAsia" w:hAnsiTheme="minorEastAsia"/>
          <w:color w:val="00B050"/>
          <w:sz w:val="20"/>
          <w:szCs w:val="20"/>
          <w:lang w:eastAsia="ko-KR"/>
        </w:rPr>
        <w:t>nuance</w:t>
      </w:r>
      <w:r w:rsidRPr="005E4ADC">
        <w:rPr>
          <w:rFonts w:asciiTheme="minorEastAsia" w:hAnsiTheme="minorEastAsia" w:hint="eastAsia"/>
          <w:color w:val="00B050"/>
          <w:sz w:val="20"/>
          <w:szCs w:val="20"/>
          <w:lang w:eastAsia="ko-KR"/>
        </w:rPr>
        <w:t xml:space="preserve">가 </w:t>
      </w:r>
      <w:proofErr w:type="spellStart"/>
      <w:r>
        <w:rPr>
          <w:rFonts w:asciiTheme="minorEastAsia" w:hAnsiTheme="minorEastAsia" w:hint="eastAsia"/>
          <w:color w:val="00B050"/>
          <w:sz w:val="20"/>
          <w:szCs w:val="20"/>
          <w:lang w:eastAsia="ko-KR"/>
        </w:rPr>
        <w:t>한줄</w:t>
      </w:r>
      <w:proofErr w:type="spellEnd"/>
      <w:r>
        <w:rPr>
          <w:rFonts w:asciiTheme="minorEastAsia" w:hAnsiTheme="minorEastAsia" w:hint="eastAsia"/>
          <w:color w:val="00B050"/>
          <w:sz w:val="20"/>
          <w:szCs w:val="20"/>
          <w:lang w:eastAsia="ko-KR"/>
        </w:rPr>
        <w:t xml:space="preserve"> 정도 들어갈 </w:t>
      </w:r>
      <w:r w:rsidRPr="005E4ADC">
        <w:rPr>
          <w:rFonts w:asciiTheme="minorEastAsia" w:hAnsiTheme="minorEastAsia" w:hint="eastAsia"/>
          <w:color w:val="00B050"/>
          <w:sz w:val="20"/>
          <w:szCs w:val="20"/>
          <w:lang w:eastAsia="ko-KR"/>
        </w:rPr>
        <w:t>필요</w:t>
      </w:r>
      <w:r>
        <w:rPr>
          <w:rFonts w:asciiTheme="minorEastAsia" w:hAnsiTheme="minorEastAsia" w:hint="eastAsia"/>
          <w:color w:val="00B050"/>
          <w:sz w:val="20"/>
          <w:szCs w:val="20"/>
          <w:lang w:eastAsia="ko-KR"/>
        </w:rPr>
        <w:t xml:space="preserve">가 있지 </w:t>
      </w:r>
      <w:r w:rsidRPr="005E4ADC">
        <w:rPr>
          <w:rFonts w:asciiTheme="minorEastAsia" w:hAnsiTheme="minorEastAsia" w:hint="eastAsia"/>
          <w:color w:val="00B050"/>
          <w:sz w:val="20"/>
          <w:szCs w:val="20"/>
          <w:lang w:eastAsia="ko-KR"/>
        </w:rPr>
        <w:t>않을지</w:t>
      </w:r>
      <w:r>
        <w:rPr>
          <w:rFonts w:asciiTheme="minorEastAsia" w:hAnsiTheme="minorEastAsia" w:hint="eastAsia"/>
          <w:color w:val="00B050"/>
          <w:sz w:val="20"/>
          <w:szCs w:val="20"/>
          <w:lang w:eastAsia="ko-KR"/>
        </w:rPr>
        <w:t>요</w:t>
      </w:r>
      <w:r w:rsidRPr="005E4ADC">
        <w:rPr>
          <w:rFonts w:asciiTheme="minorEastAsia" w:hAnsiTheme="minorEastAsia" w:hint="eastAsia"/>
          <w:color w:val="00B050"/>
          <w:sz w:val="20"/>
          <w:szCs w:val="20"/>
          <w:lang w:eastAsia="ko-KR"/>
        </w:rPr>
        <w:t>?</w:t>
      </w:r>
      <w:r w:rsidRPr="005E4ADC">
        <w:rPr>
          <w:rFonts w:asciiTheme="minorEastAsia" w:hAnsiTheme="minorEastAsia"/>
          <w:color w:val="00B050"/>
          <w:sz w:val="20"/>
          <w:szCs w:val="20"/>
          <w:lang w:eastAsia="ko-KR"/>
        </w:rPr>
        <w:t xml:space="preserve"> </w:t>
      </w:r>
      <w:r w:rsidRPr="005E4ADC">
        <w:rPr>
          <w:rFonts w:asciiTheme="minorEastAsia" w:hAnsiTheme="minorEastAsia" w:hint="eastAsia"/>
          <w:b/>
          <w:bCs/>
          <w:color w:val="00B050"/>
          <w:sz w:val="20"/>
          <w:szCs w:val="20"/>
          <w:lang w:eastAsia="ko-KR"/>
        </w:rPr>
        <w:t>환자의 자율성(PAD)과 공공의 안전(생명 보호)이 충돌할 때, 예외적으로 PAD</w:t>
      </w:r>
      <w:proofErr w:type="spellStart"/>
      <w:r w:rsidRPr="005E4ADC">
        <w:rPr>
          <w:rFonts w:asciiTheme="minorEastAsia" w:hAnsiTheme="minorEastAsia" w:hint="eastAsia"/>
          <w:b/>
          <w:bCs/>
          <w:color w:val="00B050"/>
          <w:sz w:val="20"/>
          <w:szCs w:val="20"/>
          <w:lang w:eastAsia="ko-KR"/>
        </w:rPr>
        <w:t>를</w:t>
      </w:r>
      <w:proofErr w:type="spellEnd"/>
      <w:r w:rsidRPr="005E4ADC">
        <w:rPr>
          <w:rFonts w:asciiTheme="minorEastAsia" w:hAnsiTheme="minorEastAsia" w:hint="eastAsia"/>
          <w:b/>
          <w:bCs/>
          <w:color w:val="00B050"/>
          <w:sz w:val="20"/>
          <w:szCs w:val="20"/>
          <w:lang w:eastAsia="ko-KR"/>
        </w:rPr>
        <w:t xml:space="preserve"> 거부하고 개입할 수 있는 '</w:t>
      </w:r>
      <w:proofErr w:type="spellStart"/>
      <w:r w:rsidRPr="005E4ADC">
        <w:rPr>
          <w:rFonts w:asciiTheme="minorEastAsia" w:hAnsiTheme="minorEastAsia" w:hint="eastAsia"/>
          <w:b/>
          <w:bCs/>
          <w:color w:val="00B050"/>
          <w:sz w:val="20"/>
          <w:szCs w:val="20"/>
          <w:lang w:eastAsia="ko-KR"/>
        </w:rPr>
        <w:t>오버라이드</w:t>
      </w:r>
      <w:proofErr w:type="spellEnd"/>
      <w:r w:rsidRPr="005E4ADC">
        <w:rPr>
          <w:rFonts w:asciiTheme="minorEastAsia" w:hAnsiTheme="minorEastAsia" w:hint="eastAsia"/>
          <w:b/>
          <w:bCs/>
          <w:color w:val="00B050"/>
          <w:sz w:val="20"/>
          <w:szCs w:val="20"/>
          <w:lang w:eastAsia="ko-KR"/>
        </w:rPr>
        <w:t>(Override)' 기준을 법으로 정해두고 있다</w:t>
      </w:r>
      <w:r w:rsidRPr="005E4ADC">
        <w:rPr>
          <w:rFonts w:asciiTheme="minorEastAsia" w:hAnsiTheme="minorEastAsia" w:hint="eastAsia"/>
          <w:color w:val="00B050"/>
          <w:sz w:val="20"/>
          <w:szCs w:val="20"/>
          <w:lang w:eastAsia="ko-KR"/>
        </w:rPr>
        <w:t>.</w:t>
      </w:r>
      <w:r w:rsidRPr="005E4ADC">
        <w:rPr>
          <w:rFonts w:asciiTheme="minorEastAsia" w:hAnsiTheme="minorEastAsia"/>
          <w:color w:val="00B050"/>
          <w:sz w:val="20"/>
          <w:szCs w:val="20"/>
          <w:lang w:eastAsia="ko-KR"/>
        </w:rPr>
        <w:t xml:space="preserve"> </w:t>
      </w:r>
      <w:r w:rsidRPr="005E4ADC">
        <w:rPr>
          <w:rFonts w:asciiTheme="minorEastAsia" w:hAnsiTheme="minorEastAsia" w:hint="eastAsia"/>
          <w:color w:val="00B050"/>
          <w:sz w:val="20"/>
          <w:szCs w:val="20"/>
          <w:lang w:eastAsia="ko-KR"/>
        </w:rPr>
        <w:t>핵심적인 거부 기준 3가지는 다음과 같습니다.</w:t>
      </w:r>
      <w:r w:rsidRPr="005E4ADC">
        <w:rPr>
          <w:rFonts w:asciiTheme="minorEastAsia" w:hAnsiTheme="minorEastAsia"/>
          <w:color w:val="00B050"/>
          <w:sz w:val="20"/>
          <w:szCs w:val="20"/>
          <w:lang w:eastAsia="ko-KR"/>
        </w:rPr>
        <w:t xml:space="preserve"> </w:t>
      </w:r>
      <w:r w:rsidRPr="005E4ADC">
        <w:rPr>
          <w:rFonts w:asciiTheme="minorEastAsia" w:hAnsiTheme="minorEastAsia" w:hint="eastAsia"/>
          <w:color w:val="00B050"/>
          <w:sz w:val="20"/>
          <w:szCs w:val="20"/>
          <w:lang w:eastAsia="ko-KR"/>
        </w:rPr>
        <w:t>1. 응급 상황 및 생명 보호 (Emergency Exception)</w:t>
      </w:r>
      <w:r w:rsidRPr="005E4ADC">
        <w:rPr>
          <w:rFonts w:asciiTheme="minorEastAsia" w:hAnsiTheme="minorEastAsia"/>
          <w:color w:val="00B050"/>
          <w:sz w:val="20"/>
          <w:szCs w:val="20"/>
          <w:lang w:eastAsia="ko-KR"/>
        </w:rPr>
        <w:t xml:space="preserve">: </w:t>
      </w:r>
      <w:r w:rsidRPr="005E4ADC">
        <w:rPr>
          <w:rFonts w:asciiTheme="minorEastAsia" w:hAnsiTheme="minorEastAsia" w:hint="eastAsia"/>
          <w:color w:val="00B050"/>
          <w:sz w:val="20"/>
          <w:szCs w:val="20"/>
          <w:lang w:eastAsia="ko-KR"/>
        </w:rPr>
        <w:t>가장 보편적인 거부 사유</w:t>
      </w:r>
      <w:r w:rsidRPr="005E4ADC">
        <w:rPr>
          <w:rFonts w:asciiTheme="minorEastAsia" w:hAnsiTheme="minorEastAsia" w:hint="eastAsia"/>
          <w:color w:val="00B050"/>
          <w:sz w:val="20"/>
          <w:szCs w:val="20"/>
          <w:lang w:eastAsia="ko-KR"/>
        </w:rPr>
        <w:t>임</w:t>
      </w:r>
      <w:r w:rsidRPr="005E4ADC">
        <w:rPr>
          <w:rFonts w:asciiTheme="minorEastAsia" w:hAnsiTheme="minorEastAsia" w:hint="eastAsia"/>
          <w:color w:val="00B050"/>
          <w:sz w:val="20"/>
          <w:szCs w:val="20"/>
          <w:lang w:eastAsia="ko-KR"/>
        </w:rPr>
        <w:t>.</w:t>
      </w:r>
      <w:r w:rsidRPr="005E4ADC">
        <w:rPr>
          <w:rFonts w:asciiTheme="minorEastAsia" w:hAnsiTheme="minorEastAsia"/>
          <w:color w:val="00B050"/>
          <w:sz w:val="20"/>
          <w:szCs w:val="20"/>
          <w:lang w:eastAsia="ko-KR"/>
        </w:rPr>
        <w:t xml:space="preserve"> </w:t>
      </w:r>
      <w:r w:rsidRPr="005E4ADC">
        <w:rPr>
          <w:rFonts w:asciiTheme="minorEastAsia" w:hAnsiTheme="minorEastAsia" w:hint="eastAsia"/>
          <w:color w:val="00B050"/>
          <w:sz w:val="20"/>
          <w:szCs w:val="20"/>
          <w:lang w:eastAsia="ko-KR"/>
        </w:rPr>
        <w:t>2. 의학적 표준 및 법적 기준과의 충돌</w:t>
      </w:r>
      <w:r w:rsidRPr="005E4ADC">
        <w:rPr>
          <w:rFonts w:asciiTheme="minorEastAsia" w:hAnsiTheme="minorEastAsia" w:hint="eastAsia"/>
          <w:color w:val="00B050"/>
          <w:sz w:val="20"/>
          <w:szCs w:val="20"/>
          <w:lang w:eastAsia="ko-KR"/>
        </w:rPr>
        <w:t>:</w:t>
      </w:r>
      <w:r w:rsidRPr="005E4ADC">
        <w:rPr>
          <w:rFonts w:asciiTheme="minorEastAsia" w:hAnsiTheme="minorEastAsia"/>
          <w:color w:val="00B050"/>
          <w:sz w:val="20"/>
          <w:szCs w:val="20"/>
          <w:lang w:eastAsia="ko-KR"/>
        </w:rPr>
        <w:t xml:space="preserve"> </w:t>
      </w:r>
      <w:r w:rsidRPr="005E4ADC">
        <w:rPr>
          <w:rFonts w:asciiTheme="minorEastAsia" w:hAnsiTheme="minorEastAsia" w:hint="eastAsia"/>
          <w:color w:val="00B050"/>
          <w:sz w:val="20"/>
          <w:szCs w:val="20"/>
          <w:lang w:eastAsia="ko-KR"/>
        </w:rPr>
        <w:t>환자가 PAD에 요구한 내용이 현실적으로 불가능하거나 불법적일 때 거부</w:t>
      </w:r>
      <w:r w:rsidRPr="005E4ADC">
        <w:rPr>
          <w:rFonts w:asciiTheme="minorEastAsia" w:hAnsiTheme="minorEastAsia" w:hint="eastAsia"/>
          <w:color w:val="00B050"/>
          <w:sz w:val="20"/>
          <w:szCs w:val="20"/>
          <w:lang w:eastAsia="ko-KR"/>
        </w:rPr>
        <w:t>됨.</w:t>
      </w:r>
      <w:r w:rsidRPr="005E4ADC">
        <w:rPr>
          <w:rFonts w:asciiTheme="minorEastAsia" w:hAnsiTheme="minorEastAsia"/>
          <w:color w:val="00B050"/>
          <w:sz w:val="20"/>
          <w:szCs w:val="20"/>
          <w:lang w:eastAsia="ko-KR"/>
        </w:rPr>
        <w:t xml:space="preserve"> </w:t>
      </w:r>
      <w:r w:rsidRPr="005E4ADC">
        <w:rPr>
          <w:rFonts w:asciiTheme="minorEastAsia" w:hAnsiTheme="minorEastAsia" w:hint="eastAsia"/>
          <w:color w:val="00B050"/>
          <w:sz w:val="20"/>
          <w:szCs w:val="20"/>
          <w:lang w:eastAsia="ko-KR"/>
        </w:rPr>
        <w:t>3. '객관적 이익'의 현저한 훼손 (Best Interests Test)</w:t>
      </w:r>
      <w:r w:rsidRPr="005E4ADC">
        <w:rPr>
          <w:rFonts w:asciiTheme="minorEastAsia" w:hAnsiTheme="minorEastAsia"/>
          <w:color w:val="00B050"/>
          <w:sz w:val="20"/>
          <w:szCs w:val="20"/>
          <w:lang w:eastAsia="ko-KR"/>
        </w:rPr>
        <w:t xml:space="preserve">: </w:t>
      </w:r>
      <w:r w:rsidRPr="005E4ADC">
        <w:rPr>
          <w:rFonts w:asciiTheme="minorEastAsia" w:hAnsiTheme="minorEastAsia" w:hint="eastAsia"/>
          <w:color w:val="00B050"/>
          <w:sz w:val="20"/>
          <w:szCs w:val="20"/>
          <w:lang w:eastAsia="ko-KR"/>
        </w:rPr>
        <w:t>주로 유럽(특히 영국)에서 강조되는 개념</w:t>
      </w:r>
      <w:r w:rsidRPr="005E4ADC">
        <w:rPr>
          <w:rFonts w:asciiTheme="minorEastAsia" w:hAnsiTheme="minorEastAsia" w:hint="eastAsia"/>
          <w:color w:val="00B050"/>
          <w:sz w:val="20"/>
          <w:szCs w:val="20"/>
          <w:lang w:eastAsia="ko-KR"/>
        </w:rPr>
        <w:t>임.</w:t>
      </w:r>
      <w:r w:rsidRPr="005E4ADC">
        <w:rPr>
          <w:rFonts w:asciiTheme="minorEastAsia" w:hAnsiTheme="minorEastAsia"/>
          <w:color w:val="00B050"/>
          <w:sz w:val="20"/>
          <w:szCs w:val="20"/>
          <w:lang w:eastAsia="ko-KR"/>
        </w:rPr>
        <w:t xml:space="preserve"> </w:t>
      </w:r>
      <w:proofErr w:type="spellStart"/>
      <w:r w:rsidRPr="005E4ADC">
        <w:rPr>
          <w:rFonts w:asciiTheme="minorEastAsia" w:hAnsiTheme="minorEastAsia" w:hint="eastAsia"/>
          <w:color w:val="00B050"/>
          <w:sz w:val="20"/>
          <w:szCs w:val="20"/>
          <w:lang w:eastAsia="ko-KR"/>
        </w:rPr>
        <w:t>오버라이드</w:t>
      </w:r>
      <w:proofErr w:type="spellEnd"/>
      <w:r w:rsidRPr="005E4ADC">
        <w:rPr>
          <w:rFonts w:asciiTheme="minorEastAsia" w:hAnsiTheme="minorEastAsia" w:hint="eastAsia"/>
          <w:color w:val="00B050"/>
          <w:sz w:val="20"/>
          <w:szCs w:val="20"/>
          <w:lang w:eastAsia="ko-KR"/>
        </w:rPr>
        <w:t xml:space="preserve"> 이후의 절차</w:t>
      </w:r>
      <w:r w:rsidRPr="005E4ADC">
        <w:rPr>
          <w:rFonts w:asciiTheme="minorEastAsia" w:hAnsiTheme="minorEastAsia" w:hint="eastAsia"/>
          <w:color w:val="00B050"/>
          <w:sz w:val="20"/>
          <w:szCs w:val="20"/>
          <w:lang w:eastAsia="ko-KR"/>
        </w:rPr>
        <w:t>:</w:t>
      </w:r>
      <w:r w:rsidRPr="005E4ADC">
        <w:rPr>
          <w:rFonts w:asciiTheme="minorEastAsia" w:hAnsiTheme="minorEastAsia"/>
          <w:color w:val="00B050"/>
          <w:sz w:val="20"/>
          <w:szCs w:val="20"/>
          <w:lang w:eastAsia="ko-KR"/>
        </w:rPr>
        <w:t xml:space="preserve"> </w:t>
      </w:r>
      <w:r w:rsidRPr="005E4ADC">
        <w:rPr>
          <w:rFonts w:asciiTheme="minorEastAsia" w:hAnsiTheme="minorEastAsia" w:hint="eastAsia"/>
          <w:color w:val="00B050"/>
          <w:sz w:val="20"/>
          <w:szCs w:val="20"/>
          <w:lang w:eastAsia="ko-KR"/>
        </w:rPr>
        <w:t xml:space="preserve"> 거부 기준만큼 중요한 </w:t>
      </w:r>
      <w:r w:rsidRPr="005E4ADC">
        <w:rPr>
          <w:rFonts w:asciiTheme="minorEastAsia" w:hAnsiTheme="minorEastAsia" w:hint="eastAsia"/>
          <w:color w:val="00B050"/>
          <w:sz w:val="20"/>
          <w:szCs w:val="20"/>
          <w:lang w:eastAsia="ko-KR"/>
        </w:rPr>
        <w:lastRenderedPageBreak/>
        <w:t>것이 '사후 절차'</w:t>
      </w:r>
      <w:r w:rsidRPr="005E4ADC">
        <w:rPr>
          <w:rFonts w:asciiTheme="minorEastAsia" w:hAnsiTheme="minorEastAsia" w:hint="eastAsia"/>
          <w:color w:val="00B050"/>
          <w:sz w:val="20"/>
          <w:szCs w:val="20"/>
          <w:lang w:eastAsia="ko-KR"/>
        </w:rPr>
        <w:t>임</w:t>
      </w:r>
      <w:r w:rsidRPr="005E4ADC">
        <w:rPr>
          <w:rFonts w:asciiTheme="minorEastAsia" w:hAnsiTheme="minorEastAsia" w:hint="eastAsia"/>
          <w:color w:val="00B050"/>
          <w:sz w:val="20"/>
          <w:szCs w:val="20"/>
          <w:lang w:eastAsia="ko-KR"/>
        </w:rPr>
        <w:t>. 선진국 시스템에서는 PAD</w:t>
      </w:r>
      <w:proofErr w:type="spellStart"/>
      <w:r w:rsidRPr="005E4ADC">
        <w:rPr>
          <w:rFonts w:asciiTheme="minorEastAsia" w:hAnsiTheme="minorEastAsia" w:hint="eastAsia"/>
          <w:color w:val="00B050"/>
          <w:sz w:val="20"/>
          <w:szCs w:val="20"/>
          <w:lang w:eastAsia="ko-KR"/>
        </w:rPr>
        <w:t>를</w:t>
      </w:r>
      <w:proofErr w:type="spellEnd"/>
      <w:r w:rsidRPr="005E4ADC">
        <w:rPr>
          <w:rFonts w:asciiTheme="minorEastAsia" w:hAnsiTheme="minorEastAsia" w:hint="eastAsia"/>
          <w:color w:val="00B050"/>
          <w:sz w:val="20"/>
          <w:szCs w:val="20"/>
          <w:lang w:eastAsia="ko-KR"/>
        </w:rPr>
        <w:t xml:space="preserve"> 거부했을 때 다음과 같은 의무가 따</w:t>
      </w:r>
      <w:r w:rsidRPr="005E4ADC">
        <w:rPr>
          <w:rFonts w:asciiTheme="minorEastAsia" w:hAnsiTheme="minorEastAsia" w:hint="eastAsia"/>
          <w:color w:val="00B050"/>
          <w:sz w:val="20"/>
          <w:szCs w:val="20"/>
          <w:lang w:eastAsia="ko-KR"/>
        </w:rPr>
        <w:t>름</w:t>
      </w:r>
      <w:r w:rsidRPr="005E4ADC">
        <w:rPr>
          <w:rFonts w:asciiTheme="minorEastAsia" w:hAnsiTheme="minorEastAsia" w:hint="eastAsia"/>
          <w:color w:val="00B050"/>
          <w:sz w:val="20"/>
          <w:szCs w:val="20"/>
          <w:lang w:eastAsia="ko-KR"/>
        </w:rPr>
        <w:t>.</w:t>
      </w:r>
      <w:r w:rsidRPr="005E4ADC">
        <w:rPr>
          <w:rFonts w:asciiTheme="minorEastAsia" w:hAnsiTheme="minorEastAsia"/>
          <w:color w:val="00B050"/>
          <w:sz w:val="20"/>
          <w:szCs w:val="20"/>
          <w:lang w:eastAsia="ko-KR"/>
        </w:rPr>
        <w:t xml:space="preserve"> </w:t>
      </w:r>
      <w:r w:rsidRPr="005E4ADC">
        <w:rPr>
          <w:rFonts w:asciiTheme="minorEastAsia" w:hAnsiTheme="minorEastAsia" w:hint="eastAsia"/>
          <w:color w:val="00B050"/>
          <w:sz w:val="20"/>
          <w:szCs w:val="20"/>
          <w:lang w:eastAsia="ko-KR"/>
        </w:rPr>
        <w:t>즉시 기록 및 보고: 왜 PAD</w:t>
      </w:r>
      <w:proofErr w:type="spellStart"/>
      <w:r w:rsidRPr="005E4ADC">
        <w:rPr>
          <w:rFonts w:asciiTheme="minorEastAsia" w:hAnsiTheme="minorEastAsia" w:hint="eastAsia"/>
          <w:color w:val="00B050"/>
          <w:sz w:val="20"/>
          <w:szCs w:val="20"/>
          <w:lang w:eastAsia="ko-KR"/>
        </w:rPr>
        <w:t>를</w:t>
      </w:r>
      <w:proofErr w:type="spellEnd"/>
      <w:r w:rsidRPr="005E4ADC">
        <w:rPr>
          <w:rFonts w:asciiTheme="minorEastAsia" w:hAnsiTheme="minorEastAsia" w:hint="eastAsia"/>
          <w:color w:val="00B050"/>
          <w:sz w:val="20"/>
          <w:szCs w:val="20"/>
          <w:lang w:eastAsia="ko-KR"/>
        </w:rPr>
        <w:t xml:space="preserve"> 따르지 않았는지, 어떤 응급 상황이었는지 상세히 기록하여 외부 감독 기구에 보고해야 </w:t>
      </w:r>
      <w:r w:rsidRPr="005E4ADC">
        <w:rPr>
          <w:rFonts w:asciiTheme="minorEastAsia" w:hAnsiTheme="minorEastAsia" w:hint="eastAsia"/>
          <w:color w:val="00B050"/>
          <w:sz w:val="20"/>
          <w:szCs w:val="20"/>
          <w:lang w:eastAsia="ko-KR"/>
        </w:rPr>
        <w:t>함.</w:t>
      </w:r>
      <w:r w:rsidRPr="005E4ADC">
        <w:rPr>
          <w:rFonts w:asciiTheme="minorEastAsia" w:hAnsiTheme="minorEastAsia"/>
          <w:color w:val="00B050"/>
          <w:sz w:val="20"/>
          <w:szCs w:val="20"/>
          <w:lang w:eastAsia="ko-KR"/>
        </w:rPr>
        <w:t xml:space="preserve"> </w:t>
      </w:r>
      <w:r w:rsidRPr="005E4ADC">
        <w:rPr>
          <w:rFonts w:asciiTheme="minorEastAsia" w:hAnsiTheme="minorEastAsia" w:hint="eastAsia"/>
          <w:color w:val="00B050"/>
          <w:sz w:val="20"/>
          <w:szCs w:val="20"/>
          <w:lang w:eastAsia="ko-KR"/>
        </w:rPr>
        <w:t>사후 설명: 환자가 정신적 안정을 되찾은 후, 왜 당신의 지시를 따를 수 없었는지 충분히 설명하고 사과하거나 이해를 구하는 과정을 거</w:t>
      </w:r>
      <w:r w:rsidRPr="005E4ADC">
        <w:rPr>
          <w:rFonts w:asciiTheme="minorEastAsia" w:hAnsiTheme="minorEastAsia" w:hint="eastAsia"/>
          <w:color w:val="00B050"/>
          <w:sz w:val="20"/>
          <w:szCs w:val="20"/>
          <w:lang w:eastAsia="ko-KR"/>
        </w:rPr>
        <w:t>침</w:t>
      </w:r>
      <w:r w:rsidRPr="005E4ADC">
        <w:rPr>
          <w:rFonts w:asciiTheme="minorEastAsia" w:hAnsiTheme="minorEastAsia" w:hint="eastAsia"/>
          <w:color w:val="00B050"/>
          <w:sz w:val="20"/>
          <w:szCs w:val="20"/>
          <w:lang w:eastAsia="ko-KR"/>
        </w:rPr>
        <w:t>.</w:t>
      </w:r>
      <w:r w:rsidRPr="005E4ADC">
        <w:rPr>
          <w:rFonts w:asciiTheme="minorEastAsia" w:hAnsiTheme="minorEastAsia"/>
          <w:color w:val="00B050"/>
          <w:sz w:val="20"/>
          <w:szCs w:val="20"/>
          <w:lang w:eastAsia="ko-KR"/>
        </w:rPr>
        <w:t xml:space="preserve"> </w:t>
      </w:r>
      <w:r w:rsidRPr="005E4ADC">
        <w:rPr>
          <w:rFonts w:asciiTheme="minorEastAsia" w:hAnsiTheme="minorEastAsia" w:hint="eastAsia"/>
          <w:color w:val="00B050"/>
          <w:sz w:val="20"/>
          <w:szCs w:val="20"/>
          <w:lang w:eastAsia="ko-KR"/>
        </w:rPr>
        <w:t xml:space="preserve">PAD 수정 제안: 비슷한 상황이 재발하지 않도록, 환자와 함께 PAD의 내용을 현실적으로 수정하도록 </w:t>
      </w:r>
      <w:r w:rsidRPr="005E4ADC">
        <w:rPr>
          <w:rFonts w:asciiTheme="minorEastAsia" w:hAnsiTheme="minorEastAsia" w:hint="eastAsia"/>
          <w:color w:val="00B050"/>
          <w:sz w:val="20"/>
          <w:szCs w:val="20"/>
          <w:lang w:eastAsia="ko-KR"/>
        </w:rPr>
        <w:t>도움</w:t>
      </w:r>
      <w:r>
        <w:rPr>
          <w:rFonts w:asciiTheme="minorEastAsia" w:hAnsiTheme="minorEastAsia" w:hint="eastAsia"/>
          <w:sz w:val="20"/>
          <w:szCs w:val="20"/>
          <w:lang w:eastAsia="ko-KR"/>
        </w:rPr>
        <w:t>)</w:t>
      </w:r>
      <w:r w:rsidRPr="005E4ADC">
        <w:rPr>
          <w:rFonts w:asciiTheme="minorEastAsia" w:hAnsiTheme="minorEastAsia" w:hint="eastAsia"/>
          <w:sz w:val="20"/>
          <w:szCs w:val="20"/>
          <w:lang w:eastAsia="ko-KR"/>
        </w:rPr>
        <w:t>.</w:t>
      </w:r>
    </w:p>
    <w:p w14:paraId="57ECEBA7" w14:textId="77777777" w:rsidR="00A00B40" w:rsidRPr="00F2098E" w:rsidRDefault="00000000" w:rsidP="00F2098E">
      <w:pPr>
        <w:pStyle w:val="3"/>
        <w:jc w:val="both"/>
        <w:rPr>
          <w:rFonts w:asciiTheme="minorEastAsia" w:eastAsiaTheme="minorEastAsia" w:hAnsiTheme="minorEastAsia"/>
          <w:sz w:val="20"/>
          <w:szCs w:val="20"/>
          <w:lang w:eastAsia="ko-KR"/>
        </w:rPr>
      </w:pPr>
      <w:bookmarkStart w:id="30" w:name="한국에서의-적용-가능성"/>
      <w:bookmarkEnd w:id="29"/>
      <w:r w:rsidRPr="00F2098E">
        <w:rPr>
          <w:rFonts w:asciiTheme="minorEastAsia" w:eastAsiaTheme="minorEastAsia" w:hAnsiTheme="minorEastAsia"/>
          <w:sz w:val="20"/>
          <w:szCs w:val="20"/>
          <w:lang w:eastAsia="ko-KR"/>
        </w:rPr>
        <w:t>한국에서의 적용 가능성</w:t>
      </w:r>
    </w:p>
    <w:p w14:paraId="3719425B"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아시아의 임상 경험은 PAD 도입에 사회적, 문화적 장벽이 존재함을 보여준다.(Poremski et al. 2019) PAD는 개인의 자율성과 미래 지향적 의사결정을 전제로 하지만, 많은 아시아 사회에서는 가족 중심 의사결정 전통이 강하여, 환자가 사전에 결정을 </w:t>
      </w:r>
      <w:proofErr w:type="spellStart"/>
      <w:r w:rsidRPr="00F2098E">
        <w:rPr>
          <w:rFonts w:asciiTheme="minorEastAsia" w:hAnsiTheme="minorEastAsia"/>
          <w:sz w:val="20"/>
          <w:szCs w:val="20"/>
          <w:lang w:eastAsia="ko-KR"/>
        </w:rPr>
        <w:t>해두었더라도</w:t>
      </w:r>
      <w:proofErr w:type="spellEnd"/>
      <w:r w:rsidRPr="00F2098E">
        <w:rPr>
          <w:rFonts w:asciiTheme="minorEastAsia" w:hAnsiTheme="minorEastAsia"/>
          <w:sz w:val="20"/>
          <w:szCs w:val="20"/>
          <w:lang w:eastAsia="ko-KR"/>
        </w:rPr>
        <w:t xml:space="preserve"> 가족이 반발할 수 있다. 또한 </w:t>
      </w:r>
      <w:proofErr w:type="spellStart"/>
      <w:r w:rsidRPr="00F2098E">
        <w:rPr>
          <w:rFonts w:asciiTheme="minorEastAsia" w:hAnsiTheme="minorEastAsia"/>
          <w:sz w:val="20"/>
          <w:szCs w:val="20"/>
          <w:lang w:eastAsia="ko-KR"/>
        </w:rPr>
        <w:t>유교권</w:t>
      </w:r>
      <w:proofErr w:type="spellEnd"/>
      <w:r w:rsidRPr="00F2098E">
        <w:rPr>
          <w:rFonts w:asciiTheme="minorEastAsia" w:hAnsiTheme="minorEastAsia"/>
          <w:sz w:val="20"/>
          <w:szCs w:val="20"/>
          <w:lang w:eastAsia="ko-KR"/>
        </w:rPr>
        <w:t xml:space="preserve"> 문화의 온정적 간섭주의 역시 중요한 장애물이다. 환자의 최선의 이익을 의료진이나 가족이 결정하는 관행은 환자의 사전의향을 존중하려는 시도와 충돌할 수 있다. 제도적·교육적 기반의 부족 역시 중요한 요인이다.</w:t>
      </w:r>
    </w:p>
    <w:p w14:paraId="5F136AFC"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한국에서도 유사한 쟁점이 예상된다. 현재 시행 중인 </w:t>
      </w:r>
      <w:proofErr w:type="spellStart"/>
      <w:r w:rsidRPr="00F2098E">
        <w:rPr>
          <w:rFonts w:asciiTheme="minorEastAsia" w:hAnsiTheme="minorEastAsia"/>
          <w:sz w:val="20"/>
          <w:szCs w:val="20"/>
          <w:lang w:eastAsia="ko-KR"/>
        </w:rPr>
        <w:t>사전연명의료의향서는</w:t>
      </w:r>
      <w:proofErr w:type="spellEnd"/>
      <w:r w:rsidRPr="00F2098E">
        <w:rPr>
          <w:rFonts w:asciiTheme="minorEastAsia" w:hAnsiTheme="minorEastAsia"/>
          <w:sz w:val="20"/>
          <w:szCs w:val="20"/>
          <w:lang w:eastAsia="ko-KR"/>
        </w:rPr>
        <w:t xml:space="preserve"> PAD와는 성격이 다르지만, 안정기에서의 의향을 미래 의료 상황에 반영하는 제도라는 점에서 참고가 된다. 현실적으로 </w:t>
      </w:r>
      <w:proofErr w:type="spellStart"/>
      <w:r w:rsidRPr="00F2098E">
        <w:rPr>
          <w:rFonts w:asciiTheme="minorEastAsia" w:hAnsiTheme="minorEastAsia"/>
          <w:sz w:val="20"/>
          <w:szCs w:val="20"/>
          <w:lang w:eastAsia="ko-KR"/>
        </w:rPr>
        <w:t>사전연명의료의향서도</w:t>
      </w:r>
      <w:proofErr w:type="spellEnd"/>
      <w:r w:rsidRPr="00F2098E">
        <w:rPr>
          <w:rFonts w:asciiTheme="minorEastAsia" w:hAnsiTheme="minorEastAsia"/>
          <w:sz w:val="20"/>
          <w:szCs w:val="20"/>
          <w:lang w:eastAsia="ko-KR"/>
        </w:rPr>
        <w:t xml:space="preserve"> 임종 시점의 해석, 가족과 의료진의 이견, 환자의 철회 의사와 당시 의사결정 능력 평가 등 문제때문에 분쟁이 일어나곤 한다.(</w:t>
      </w:r>
      <w:proofErr w:type="spellStart"/>
      <w:r w:rsidRPr="00F2098E">
        <w:rPr>
          <w:rFonts w:asciiTheme="minorEastAsia" w:hAnsiTheme="minorEastAsia"/>
          <w:sz w:val="20"/>
          <w:szCs w:val="20"/>
          <w:lang w:eastAsia="ko-KR"/>
        </w:rPr>
        <w:t>이부하</w:t>
      </w:r>
      <w:proofErr w:type="spellEnd"/>
      <w:r w:rsidRPr="00F2098E">
        <w:rPr>
          <w:rFonts w:asciiTheme="minorEastAsia" w:hAnsiTheme="minorEastAsia"/>
          <w:sz w:val="20"/>
          <w:szCs w:val="20"/>
          <w:lang w:eastAsia="ko-KR"/>
        </w:rPr>
        <w:t xml:space="preserve"> 2020) 이러한 경험은 PAD</w:t>
      </w:r>
      <w:proofErr w:type="spellStart"/>
      <w:r w:rsidRPr="00F2098E">
        <w:rPr>
          <w:rFonts w:asciiTheme="minorEastAsia" w:hAnsiTheme="minorEastAsia"/>
          <w:sz w:val="20"/>
          <w:szCs w:val="20"/>
          <w:lang w:eastAsia="ko-KR"/>
        </w:rPr>
        <w:t>를</w:t>
      </w:r>
      <w:proofErr w:type="spellEnd"/>
      <w:r w:rsidRPr="00F2098E">
        <w:rPr>
          <w:rFonts w:asciiTheme="minorEastAsia" w:hAnsiTheme="minorEastAsia"/>
          <w:sz w:val="20"/>
          <w:szCs w:val="20"/>
          <w:lang w:eastAsia="ko-KR"/>
        </w:rPr>
        <w:t xml:space="preserve"> 도입할 때도, 문서의 작성 절차를 정하는 것만으로는 충분하지 않고, 발동 조건과 철회 조건, 가족과 대리인의 역할, 의료진의 책임 범위가 명확히 규정되어야 함을 시사한다.</w:t>
      </w:r>
    </w:p>
    <w:p w14:paraId="06FC1BCB" w14:textId="63752629" w:rsidR="00A00B40" w:rsidRDefault="00000000" w:rsidP="00FE15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정신과 영역에서의 PAD 도입은 국내에서도 논의가 시작되었고, 정신건강복지 관련 기본 계획에서 “PAD 도입 추진 검토”가 제안된 바 있으나</w:t>
      </w:r>
      <w:r w:rsidR="00FE158E">
        <w:rPr>
          <w:rFonts w:asciiTheme="minorEastAsia" w:hAnsiTheme="minorEastAsia" w:hint="eastAsia"/>
          <w:sz w:val="20"/>
          <w:szCs w:val="20"/>
          <w:lang w:eastAsia="ko-KR"/>
        </w:rPr>
        <w:t xml:space="preserve"> </w:t>
      </w:r>
      <w:r w:rsidR="00FE158E">
        <w:rPr>
          <w:rFonts w:asciiTheme="minorEastAsia" w:hAnsiTheme="minorEastAsia"/>
          <w:sz w:val="20"/>
          <w:szCs w:val="20"/>
          <w:lang w:eastAsia="ko-KR"/>
        </w:rPr>
        <w:t>(</w:t>
      </w:r>
      <w:hyperlink r:id="rId5" w:history="1">
        <w:r w:rsidR="00FE158E" w:rsidRPr="000A5B20">
          <w:rPr>
            <w:rStyle w:val="ac"/>
            <w:rFonts w:asciiTheme="minorEastAsia" w:hAnsiTheme="minorEastAsia"/>
            <w:sz w:val="20"/>
            <w:szCs w:val="20"/>
            <w:lang w:eastAsia="ko-KR"/>
          </w:rPr>
          <w:t>https://www.dongascience.com/en/news/62779?utm_sour</w:t>
        </w:r>
        <w:r w:rsidR="00FE158E" w:rsidRPr="000A5B20">
          <w:rPr>
            <w:rStyle w:val="ac"/>
            <w:rFonts w:asciiTheme="minorEastAsia" w:hAnsiTheme="minorEastAsia"/>
            <w:sz w:val="20"/>
            <w:szCs w:val="20"/>
            <w:lang w:eastAsia="ko-KR"/>
          </w:rPr>
          <w:t>c</w:t>
        </w:r>
        <w:r w:rsidR="00FE158E" w:rsidRPr="000A5B20">
          <w:rPr>
            <w:rStyle w:val="ac"/>
            <w:rFonts w:asciiTheme="minorEastAsia" w:hAnsiTheme="minorEastAsia"/>
            <w:sz w:val="20"/>
            <w:szCs w:val="20"/>
            <w:lang w:eastAsia="ko-KR"/>
          </w:rPr>
          <w:t>e=chatgpt.com</w:t>
        </w:r>
      </w:hyperlink>
      <w:r w:rsidR="00FE158E">
        <w:rPr>
          <w:rFonts w:asciiTheme="minorEastAsia" w:hAnsiTheme="minorEastAsia"/>
          <w:sz w:val="20"/>
          <w:szCs w:val="20"/>
          <w:lang w:eastAsia="ko-KR"/>
        </w:rPr>
        <w:t>)</w:t>
      </w:r>
      <w:r w:rsidR="00FE158E">
        <w:rPr>
          <w:rFonts w:asciiTheme="minorEastAsia" w:hAnsiTheme="minorEastAsia" w:hint="eastAsia"/>
          <w:sz w:val="20"/>
          <w:szCs w:val="20"/>
          <w:lang w:eastAsia="ko-KR"/>
        </w:rPr>
        <w:t xml:space="preserve"> </w:t>
      </w:r>
      <w:r w:rsidRPr="00F2098E">
        <w:rPr>
          <w:rFonts w:asciiTheme="minorEastAsia" w:hAnsiTheme="minorEastAsia"/>
          <w:sz w:val="20"/>
          <w:szCs w:val="20"/>
          <w:lang w:eastAsia="ko-KR"/>
        </w:rPr>
        <w:t>아직 구체적 입법 단계에는 이르지 못하였다.(</w:t>
      </w:r>
      <w:proofErr w:type="spellStart"/>
      <w:r w:rsidRPr="00F2098E">
        <w:rPr>
          <w:rFonts w:asciiTheme="minorEastAsia" w:hAnsiTheme="minorEastAsia"/>
          <w:sz w:val="20"/>
          <w:szCs w:val="20"/>
          <w:lang w:eastAsia="ko-KR"/>
        </w:rPr>
        <w:t>박종은</w:t>
      </w:r>
      <w:proofErr w:type="spellEnd"/>
      <w:r w:rsidRPr="00F2098E">
        <w:rPr>
          <w:rFonts w:asciiTheme="minorEastAsia" w:hAnsiTheme="minorEastAsia"/>
          <w:sz w:val="20"/>
          <w:szCs w:val="20"/>
          <w:lang w:eastAsia="ko-KR"/>
        </w:rPr>
        <w:t xml:space="preserve"> 2026) 실제 입법이 이루어진다 하더라도 해결해야 할 문제는 많다. 전술한 율리시스 계약 조항을 한국 법문화 안에서 어떻게 강제할 수 있는지, 환자가 합리적으로 PAD</w:t>
      </w:r>
      <w:proofErr w:type="spellStart"/>
      <w:r w:rsidRPr="00F2098E">
        <w:rPr>
          <w:rFonts w:asciiTheme="minorEastAsia" w:hAnsiTheme="minorEastAsia"/>
          <w:sz w:val="20"/>
          <w:szCs w:val="20"/>
          <w:lang w:eastAsia="ko-KR"/>
        </w:rPr>
        <w:t>를</w:t>
      </w:r>
      <w:proofErr w:type="spellEnd"/>
      <w:r w:rsidRPr="00F2098E">
        <w:rPr>
          <w:rFonts w:asciiTheme="minorEastAsia" w:hAnsiTheme="minorEastAsia"/>
          <w:sz w:val="20"/>
          <w:szCs w:val="20"/>
          <w:lang w:eastAsia="ko-KR"/>
        </w:rPr>
        <w:t xml:space="preserve"> 작성하도록 어떤 지원을 제공할 것인지, PAD</w:t>
      </w:r>
      <w:proofErr w:type="spellStart"/>
      <w:r w:rsidRPr="00F2098E">
        <w:rPr>
          <w:rFonts w:asciiTheme="minorEastAsia" w:hAnsiTheme="minorEastAsia"/>
          <w:sz w:val="20"/>
          <w:szCs w:val="20"/>
          <w:lang w:eastAsia="ko-KR"/>
        </w:rPr>
        <w:t>를</w:t>
      </w:r>
      <w:proofErr w:type="spellEnd"/>
      <w:r w:rsidRPr="00F2098E">
        <w:rPr>
          <w:rFonts w:asciiTheme="minorEastAsia" w:hAnsiTheme="minorEastAsia"/>
          <w:sz w:val="20"/>
          <w:szCs w:val="20"/>
          <w:lang w:eastAsia="ko-KR"/>
        </w:rPr>
        <w:t xml:space="preserve"> 준수하여 의료진이 특정 치료를 하지 않았을 때 발생할 수 있는 법적 책임을 누구에게 지울 것인지, 환자가 모든 치료를 포괄적으로 거부한 경우 이를 어디까지 존중할 것인지가 핵심 쟁점이다.</w:t>
      </w:r>
    </w:p>
    <w:p w14:paraId="669581B5" w14:textId="779EC3FA" w:rsidR="000E40B3" w:rsidRDefault="000E40B3" w:rsidP="00FE158E">
      <w:pPr>
        <w:pStyle w:val="a0"/>
        <w:jc w:val="both"/>
        <w:rPr>
          <w:rFonts w:asciiTheme="minorEastAsia" w:hAnsiTheme="minorEastAsia" w:hint="eastAsia"/>
          <w:sz w:val="20"/>
          <w:szCs w:val="20"/>
          <w:lang w:eastAsia="ko-KR"/>
        </w:rPr>
      </w:pPr>
      <w:r>
        <w:rPr>
          <w:rFonts w:asciiTheme="minorEastAsia" w:hAnsiTheme="minorEastAsia" w:hint="eastAsia"/>
          <w:sz w:val="20"/>
          <w:szCs w:val="20"/>
          <w:lang w:eastAsia="ko-KR"/>
        </w:rPr>
        <w:t>(</w:t>
      </w:r>
      <w:r w:rsidRPr="000E40B3">
        <w:rPr>
          <w:rFonts w:asciiTheme="minorEastAsia" w:hAnsiTheme="minorEastAsia" w:hint="eastAsia"/>
          <w:color w:val="00B050"/>
          <w:sz w:val="20"/>
          <w:szCs w:val="20"/>
          <w:lang w:eastAsia="ko-KR"/>
        </w:rPr>
        <w:t xml:space="preserve">다음 사항이 문제가 될 수 </w:t>
      </w:r>
      <w:r w:rsidRPr="00F0221F">
        <w:rPr>
          <w:rFonts w:asciiTheme="minorEastAsia" w:hAnsiTheme="minorEastAsia" w:hint="eastAsia"/>
          <w:b/>
          <w:bCs/>
          <w:color w:val="00B050"/>
          <w:sz w:val="20"/>
          <w:szCs w:val="20"/>
          <w:lang w:eastAsia="ko-KR"/>
        </w:rPr>
        <w:t xml:space="preserve">있다는 </w:t>
      </w:r>
      <w:r w:rsidRPr="00F0221F">
        <w:rPr>
          <w:rFonts w:asciiTheme="minorEastAsia" w:hAnsiTheme="minorEastAsia"/>
          <w:b/>
          <w:bCs/>
          <w:color w:val="00B050"/>
          <w:sz w:val="20"/>
          <w:szCs w:val="20"/>
          <w:lang w:eastAsia="ko-KR"/>
        </w:rPr>
        <w:t>nuance</w:t>
      </w:r>
      <w:proofErr w:type="spellStart"/>
      <w:r w:rsidRPr="00F0221F">
        <w:rPr>
          <w:rFonts w:asciiTheme="minorEastAsia" w:hAnsiTheme="minorEastAsia" w:hint="eastAsia"/>
          <w:b/>
          <w:bCs/>
          <w:color w:val="00B050"/>
          <w:sz w:val="20"/>
          <w:szCs w:val="20"/>
          <w:lang w:eastAsia="ko-KR"/>
        </w:rPr>
        <w:t>를</w:t>
      </w:r>
      <w:proofErr w:type="spellEnd"/>
      <w:r w:rsidRPr="00F0221F">
        <w:rPr>
          <w:rFonts w:asciiTheme="minorEastAsia" w:hAnsiTheme="minorEastAsia" w:hint="eastAsia"/>
          <w:b/>
          <w:bCs/>
          <w:color w:val="00B050"/>
          <w:sz w:val="20"/>
          <w:szCs w:val="20"/>
          <w:lang w:eastAsia="ko-KR"/>
        </w:rPr>
        <w:t xml:space="preserve"> 문장안에 포함하는 것이 어떨지</w:t>
      </w:r>
      <w:r w:rsidRPr="000E40B3">
        <w:rPr>
          <w:rFonts w:asciiTheme="minorEastAsia" w:hAnsiTheme="minorEastAsia" w:hint="eastAsia"/>
          <w:color w:val="00B050"/>
          <w:sz w:val="20"/>
          <w:szCs w:val="20"/>
          <w:lang w:eastAsia="ko-KR"/>
        </w:rPr>
        <w:t>?</w:t>
      </w:r>
      <w:r w:rsidRPr="000E40B3">
        <w:rPr>
          <w:rFonts w:asciiTheme="minorEastAsia" w:hAnsiTheme="minorEastAsia"/>
          <w:color w:val="00B050"/>
          <w:sz w:val="20"/>
          <w:szCs w:val="20"/>
          <w:lang w:eastAsia="ko-KR"/>
        </w:rPr>
        <w:t xml:space="preserve"> </w:t>
      </w:r>
      <w:r w:rsidR="00F0221F" w:rsidRPr="00F0221F">
        <w:rPr>
          <w:rFonts w:asciiTheme="minorEastAsia" w:hAnsiTheme="minorEastAsia" w:hint="eastAsia"/>
          <w:color w:val="00B050"/>
          <w:sz w:val="20"/>
          <w:szCs w:val="20"/>
          <w:lang w:eastAsia="ko-KR"/>
        </w:rPr>
        <w:t xml:space="preserve">한국 정신건강 시스템의 중요한 특징 중 하나인 </w:t>
      </w:r>
      <w:r w:rsidR="00F0221F" w:rsidRPr="00F0221F">
        <w:rPr>
          <w:rFonts w:asciiTheme="minorEastAsia" w:hAnsiTheme="minorEastAsia" w:hint="eastAsia"/>
          <w:b/>
          <w:bCs/>
          <w:color w:val="00B050"/>
          <w:sz w:val="20"/>
          <w:szCs w:val="20"/>
          <w:lang w:eastAsia="ko-KR"/>
        </w:rPr>
        <w:t>보호의무자에 의한 입원 제도는</w:t>
      </w:r>
      <w:r w:rsidR="00F0221F" w:rsidRPr="00F0221F">
        <w:rPr>
          <w:rFonts w:asciiTheme="minorEastAsia" w:hAnsiTheme="minorEastAsia" w:hint="eastAsia"/>
          <w:color w:val="00B050"/>
          <w:sz w:val="20"/>
          <w:szCs w:val="20"/>
          <w:lang w:eastAsia="ko-KR"/>
        </w:rPr>
        <w:t>, PAD(Psychiatric Advance Directives)가 국내에 도입되는 과정에서 복합적인 상호작용을 형성한다. 비자의입원 절차는 과거에 비해 법적 통제가 강화되었으나, 여전히 가족의 역할이 중요한 요소로 작용하고 있다는 점에서 PAD</w:t>
      </w:r>
      <w:proofErr w:type="spellStart"/>
      <w:r w:rsidR="00F0221F" w:rsidRPr="00F0221F">
        <w:rPr>
          <w:rFonts w:asciiTheme="minorEastAsia" w:hAnsiTheme="minorEastAsia" w:hint="eastAsia"/>
          <w:color w:val="00B050"/>
          <w:sz w:val="20"/>
          <w:szCs w:val="20"/>
          <w:lang w:eastAsia="ko-KR"/>
        </w:rPr>
        <w:t>와의</w:t>
      </w:r>
      <w:proofErr w:type="spellEnd"/>
      <w:r w:rsidR="00F0221F" w:rsidRPr="00F0221F">
        <w:rPr>
          <w:rFonts w:asciiTheme="minorEastAsia" w:hAnsiTheme="minorEastAsia" w:hint="eastAsia"/>
          <w:color w:val="00B050"/>
          <w:sz w:val="20"/>
          <w:szCs w:val="20"/>
          <w:lang w:eastAsia="ko-KR"/>
        </w:rPr>
        <w:t xml:space="preserve"> 관계는 단순하지 않다</w:t>
      </w:r>
      <w:r w:rsidR="00F0221F">
        <w:rPr>
          <w:rFonts w:asciiTheme="minorEastAsia" w:hAnsiTheme="minorEastAsia" w:hint="eastAsia"/>
          <w:color w:val="00B050"/>
          <w:sz w:val="20"/>
          <w:szCs w:val="20"/>
          <w:lang w:eastAsia="ko-KR"/>
        </w:rPr>
        <w:t>.</w:t>
      </w:r>
      <w:r w:rsidR="00F0221F">
        <w:rPr>
          <w:rFonts w:asciiTheme="minorEastAsia" w:hAnsiTheme="minorEastAsia"/>
          <w:color w:val="00B050"/>
          <w:sz w:val="20"/>
          <w:szCs w:val="20"/>
          <w:lang w:eastAsia="ko-KR"/>
        </w:rPr>
        <w:t xml:space="preserve"> </w:t>
      </w:r>
      <w:r w:rsidR="00F0221F" w:rsidRPr="00F0221F">
        <w:rPr>
          <w:rFonts w:asciiTheme="minorEastAsia" w:hAnsiTheme="minorEastAsia" w:hint="eastAsia"/>
          <w:color w:val="00B050"/>
          <w:sz w:val="20"/>
          <w:szCs w:val="20"/>
          <w:lang w:eastAsia="ko-KR"/>
        </w:rPr>
        <w:t>한국의 특수한 상황에서 PAD가 성공하려면 "보호의무자의 권한보다 환자가 안정기에 작성한 PAD의 법적 효력이 우선한다"는 명확한 법적 가이드라인이 필요</w:t>
      </w:r>
      <w:r w:rsidR="00F0221F">
        <w:rPr>
          <w:rFonts w:asciiTheme="minorEastAsia" w:hAnsiTheme="minorEastAsia" w:hint="eastAsia"/>
          <w:color w:val="00B050"/>
          <w:sz w:val="20"/>
          <w:szCs w:val="20"/>
          <w:lang w:eastAsia="ko-KR"/>
        </w:rPr>
        <w:t>하다?</w:t>
      </w:r>
      <w:r w:rsidR="00F0221F" w:rsidRPr="00F0221F">
        <w:rPr>
          <w:rFonts w:asciiTheme="minorEastAsia" w:hAnsiTheme="minorEastAsia" w:hint="eastAsia"/>
          <w:color w:val="00B050"/>
          <w:sz w:val="20"/>
          <w:szCs w:val="20"/>
          <w:lang w:eastAsia="ko-KR"/>
        </w:rPr>
        <w:t>.</w:t>
      </w:r>
      <w:r>
        <w:rPr>
          <w:rFonts w:asciiTheme="minorEastAsia" w:hAnsiTheme="minorEastAsia"/>
          <w:sz w:val="20"/>
          <w:szCs w:val="20"/>
          <w:lang w:eastAsia="ko-KR"/>
        </w:rPr>
        <w:t>)</w:t>
      </w:r>
    </w:p>
    <w:p w14:paraId="219E6DDB" w14:textId="3C7FE95C" w:rsidR="00A00B40" w:rsidRPr="00F2098E" w:rsidRDefault="00000000" w:rsidP="00FE158E">
      <w:pPr>
        <w:pStyle w:val="2"/>
        <w:jc w:val="both"/>
        <w:rPr>
          <w:rFonts w:asciiTheme="minorEastAsia" w:eastAsiaTheme="minorEastAsia" w:hAnsiTheme="minorEastAsia" w:hint="eastAsia"/>
          <w:sz w:val="20"/>
          <w:szCs w:val="20"/>
          <w:lang w:eastAsia="ko-KR"/>
        </w:rPr>
      </w:pPr>
      <w:bookmarkStart w:id="31" w:name="결론"/>
      <w:bookmarkEnd w:id="24"/>
      <w:bookmarkEnd w:id="30"/>
      <w:r w:rsidRPr="00F2098E">
        <w:rPr>
          <w:rFonts w:asciiTheme="minorEastAsia" w:eastAsiaTheme="minorEastAsia" w:hAnsiTheme="minorEastAsia"/>
          <w:sz w:val="20"/>
          <w:szCs w:val="20"/>
          <w:lang w:eastAsia="ko-KR"/>
        </w:rPr>
        <w:lastRenderedPageBreak/>
        <w:t>결론</w:t>
      </w:r>
      <w:bookmarkStart w:id="32" w:name="section-2"/>
    </w:p>
    <w:p w14:paraId="55E926CD" w14:textId="77777777" w:rsidR="00A00B40" w:rsidRPr="00F2098E" w:rsidRDefault="00000000" w:rsidP="00F2098E">
      <w:pPr>
        <w:pStyle w:val="FirstParagraph"/>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본 논문은 화학적 강박을 둘러싼 핵심 긴장이 인권 이상과 임상 현실 중 하나를 선택하는 문제가 아니라, 위기 상황에서 누구의 의사와 어떤 절차가 판단을 이끌어야 </w:t>
      </w:r>
      <w:proofErr w:type="spellStart"/>
      <w:r w:rsidRPr="00F2098E">
        <w:rPr>
          <w:rFonts w:asciiTheme="minorEastAsia" w:hAnsiTheme="minorEastAsia"/>
          <w:sz w:val="20"/>
          <w:szCs w:val="20"/>
          <w:lang w:eastAsia="ko-KR"/>
        </w:rPr>
        <w:t>하는가의</w:t>
      </w:r>
      <w:proofErr w:type="spellEnd"/>
      <w:r w:rsidRPr="00F2098E">
        <w:rPr>
          <w:rFonts w:asciiTheme="minorEastAsia" w:hAnsiTheme="minorEastAsia"/>
          <w:sz w:val="20"/>
          <w:szCs w:val="20"/>
          <w:lang w:eastAsia="ko-KR"/>
        </w:rPr>
        <w:t xml:space="preserve"> 문제라는 관점에서 논의를 전개하였다. 이 긴장이 국제 인권법 내부의 절대주의 해석과 법조/의료계의 비례주의 해석 사이의 좁힐 수 없는 교착 상태에서 비롯되고 있음을 살펴보았고, 의료윤리학의 원칙주의 틀에서 자율성 존중, 악행 금지, 선행, 정의의 네 원칙이 정신과 응급 상황에서 어떤 방식으로 충돌하는지를 분석하였다. 마지막으로 PAD가 안정기 자아의 의사를 위기 시점의 임상 판단과 연결하는 절차적 장치로 기능할 수 있음을 논하였다.</w:t>
      </w:r>
    </w:p>
    <w:p w14:paraId="6C8261CF"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이러한 검토를 통해 다음과 같은 입장을 나열할 수 있다. 첫째, 화학적 강박을 전면 금지하는 절대주의적 입장과 의학적 필요성에 근거하여 광범위하게 허용하는 입장은 모두 정당화되기 어렵다. 전자는 임박한 신체적 위해가 존재하는 응급 상황에서 환자의 본래 가치관과 제3자의 안전을 동시에 방치할 수 있고, 후자는 권력 비대칭과 절차적 불투명성을 그대로 둔 채 의료진의 재량에 윤리적 부담을 떠넘긴다. 둘째, 화학적 강박은 의사결정 능력의 손상, 임박하고 중대한 위해, </w:t>
      </w:r>
      <w:proofErr w:type="spellStart"/>
      <w:r w:rsidRPr="00F2098E">
        <w:rPr>
          <w:rFonts w:asciiTheme="minorEastAsia" w:hAnsiTheme="minorEastAsia"/>
          <w:sz w:val="20"/>
          <w:szCs w:val="20"/>
          <w:lang w:eastAsia="ko-KR"/>
        </w:rPr>
        <w:t>비강압적</w:t>
      </w:r>
      <w:proofErr w:type="spellEnd"/>
      <w:r w:rsidRPr="00F2098E">
        <w:rPr>
          <w:rFonts w:asciiTheme="minorEastAsia" w:hAnsiTheme="minorEastAsia"/>
          <w:sz w:val="20"/>
          <w:szCs w:val="20"/>
          <w:lang w:eastAsia="ko-KR"/>
        </w:rPr>
        <w:t xml:space="preserve"> 대안의 실패라는 필수 조건과 추가되는 절차상의 조건을 함께 충족하는 가중적 조건 구조를 통해 제한적으로 허용될 수 있을 것이다. 셋째, 이러한 조건들을 평가하는 주체가 여전히 의료진이라면 인식론적 불의를 완전히 해소하지 못하기 때문에, 정신건강 사전의향서(PAD)라는 제도적 장치를 통해 안정기 환자의 의사를 위기 시점의 판단 안으로 끌어들이는 보완이 필요하다.</w:t>
      </w:r>
    </w:p>
    <w:p w14:paraId="60EF2C25"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그러나 본 논문이 갖는 한계점을 명확히 할 필요가 있다. 첫째, 본 논문은 개념적 분석에 기반한 종설이며, 제시된 가중적 조건 구조의 실제 임상 적용 가능성을 </w:t>
      </w:r>
      <w:proofErr w:type="spellStart"/>
      <w:r w:rsidRPr="00F2098E">
        <w:rPr>
          <w:rFonts w:asciiTheme="minorEastAsia" w:hAnsiTheme="minorEastAsia"/>
          <w:sz w:val="20"/>
          <w:szCs w:val="20"/>
          <w:lang w:eastAsia="ko-KR"/>
        </w:rPr>
        <w:t>따져보디는</w:t>
      </w:r>
      <w:proofErr w:type="spellEnd"/>
      <w:r w:rsidRPr="00F2098E">
        <w:rPr>
          <w:rFonts w:asciiTheme="minorEastAsia" w:hAnsiTheme="minorEastAsia"/>
          <w:sz w:val="20"/>
          <w:szCs w:val="20"/>
          <w:lang w:eastAsia="ko-KR"/>
        </w:rPr>
        <w:t xml:space="preserve"> 못하였다. 각 조건에 포함된 “임박하고 중대한 위해”나 “</w:t>
      </w:r>
      <w:proofErr w:type="spellStart"/>
      <w:r w:rsidRPr="00F2098E">
        <w:rPr>
          <w:rFonts w:asciiTheme="minorEastAsia" w:hAnsiTheme="minorEastAsia"/>
          <w:sz w:val="20"/>
          <w:szCs w:val="20"/>
          <w:lang w:eastAsia="ko-KR"/>
        </w:rPr>
        <w:t>비강압적</w:t>
      </w:r>
      <w:proofErr w:type="spellEnd"/>
      <w:r w:rsidRPr="00F2098E">
        <w:rPr>
          <w:rFonts w:asciiTheme="minorEastAsia" w:hAnsiTheme="minorEastAsia"/>
          <w:sz w:val="20"/>
          <w:szCs w:val="20"/>
          <w:lang w:eastAsia="ko-KR"/>
        </w:rPr>
        <w:t xml:space="preserve"> 대안의 실패”와 같은 표현들은 여전히 해석의 여지를 남기며, 구체적 실천 방안이 마련되지 </w:t>
      </w:r>
      <w:proofErr w:type="spellStart"/>
      <w:r w:rsidRPr="00F2098E">
        <w:rPr>
          <w:rFonts w:asciiTheme="minorEastAsia" w:hAnsiTheme="minorEastAsia"/>
          <w:sz w:val="20"/>
          <w:szCs w:val="20"/>
          <w:lang w:eastAsia="ko-KR"/>
        </w:rPr>
        <w:t>않고서는</w:t>
      </w:r>
      <w:proofErr w:type="spellEnd"/>
      <w:r w:rsidRPr="00F2098E">
        <w:rPr>
          <w:rFonts w:asciiTheme="minorEastAsia" w:hAnsiTheme="minorEastAsia"/>
          <w:sz w:val="20"/>
          <w:szCs w:val="20"/>
          <w:lang w:eastAsia="ko-KR"/>
        </w:rPr>
        <w:t xml:space="preserve"> 임상 현장에 적용하기 어렵다.</w:t>
      </w:r>
    </w:p>
    <w:p w14:paraId="527D8180"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둘째, 본 논문이 검토한 국제 인권법, 판례, 입법 사례는 주로 영미권과 유럽 </w:t>
      </w:r>
      <w:proofErr w:type="spellStart"/>
      <w:r w:rsidRPr="00F2098E">
        <w:rPr>
          <w:rFonts w:asciiTheme="minorEastAsia" w:hAnsiTheme="minorEastAsia"/>
          <w:sz w:val="20"/>
          <w:szCs w:val="20"/>
          <w:lang w:eastAsia="ko-KR"/>
        </w:rPr>
        <w:t>대륙권</w:t>
      </w:r>
      <w:proofErr w:type="spellEnd"/>
      <w:r w:rsidRPr="00F2098E">
        <w:rPr>
          <w:rFonts w:asciiTheme="minorEastAsia" w:hAnsiTheme="minorEastAsia"/>
          <w:sz w:val="20"/>
          <w:szCs w:val="20"/>
          <w:lang w:eastAsia="ko-KR"/>
        </w:rPr>
        <w:t xml:space="preserve"> 자료에 편중되어 있다. 비서구권 특히 아시아와 한국의 자료를 충분히 다루지 못하였다. 한국에서의 적용 가능성에 대한 논의 역시 </w:t>
      </w:r>
      <w:proofErr w:type="spellStart"/>
      <w:r w:rsidRPr="00F2098E">
        <w:rPr>
          <w:rFonts w:asciiTheme="minorEastAsia" w:hAnsiTheme="minorEastAsia"/>
          <w:sz w:val="20"/>
          <w:szCs w:val="20"/>
          <w:lang w:eastAsia="ko-KR"/>
        </w:rPr>
        <w:t>사전연명의료의향서</w:t>
      </w:r>
      <w:proofErr w:type="spellEnd"/>
      <w:r w:rsidRPr="00F2098E">
        <w:rPr>
          <w:rFonts w:asciiTheme="minorEastAsia" w:hAnsiTheme="minorEastAsia"/>
          <w:sz w:val="20"/>
          <w:szCs w:val="20"/>
          <w:lang w:eastAsia="ko-KR"/>
        </w:rPr>
        <w:t xml:space="preserve"> 운용 </w:t>
      </w:r>
      <w:proofErr w:type="spellStart"/>
      <w:r w:rsidRPr="00F2098E">
        <w:rPr>
          <w:rFonts w:asciiTheme="minorEastAsia" w:hAnsiTheme="minorEastAsia"/>
          <w:sz w:val="20"/>
          <w:szCs w:val="20"/>
          <w:lang w:eastAsia="ko-KR"/>
        </w:rPr>
        <w:t>경험으로부터</w:t>
      </w:r>
      <w:proofErr w:type="spellEnd"/>
      <w:r w:rsidRPr="00F2098E">
        <w:rPr>
          <w:rFonts w:asciiTheme="minorEastAsia" w:hAnsiTheme="minorEastAsia"/>
          <w:sz w:val="20"/>
          <w:szCs w:val="20"/>
          <w:lang w:eastAsia="ko-KR"/>
        </w:rPr>
        <w:t xml:space="preserve"> 간접적으로 유추하고 있어서, 심도 깊은 논의에 달하지 못하였다.</w:t>
      </w:r>
    </w:p>
    <w:p w14:paraId="33DDE138"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셋째, 본 논문은 원칙주의를 분석 틀로 채택하였으나 이 이론 자체가 맹렬한 비판을 받고 있다. 원칙주의는 충돌하는 원칙 사이의 우선 순위를 누군가가 조정해야만 하는데, 정작 이를 조율하는 원칙은 존재하지 않는다. 게다가 여전히 온정적 간섭주의의 잔재를 버리지 못하고 있으며, 권력의 비대칭과 구조적 불의를 충분히 다루지 못하고 있다.[Shea (2020</w:t>
      </w:r>
      <w:proofErr w:type="gramStart"/>
      <w:r w:rsidRPr="00F2098E">
        <w:rPr>
          <w:rFonts w:asciiTheme="minorEastAsia" w:hAnsiTheme="minorEastAsia"/>
          <w:sz w:val="20"/>
          <w:szCs w:val="20"/>
          <w:lang w:eastAsia="ko-KR"/>
        </w:rPr>
        <w:t>)](</w:t>
      </w:r>
      <w:proofErr w:type="gramEnd"/>
      <w:r w:rsidRPr="00F2098E">
        <w:rPr>
          <w:rFonts w:asciiTheme="minorEastAsia" w:hAnsiTheme="minorEastAsia"/>
          <w:sz w:val="20"/>
          <w:szCs w:val="20"/>
          <w:lang w:eastAsia="ko-KR"/>
        </w:rPr>
        <w:t>Mangal and Scheiner 2024)</w:t>
      </w:r>
    </w:p>
    <w:p w14:paraId="6215F363" w14:textId="77777777" w:rsidR="00A00B40"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t xml:space="preserve">넷째, 본 논문은 화학적 강박에 초점을 맞추고 있지만 강압적 치료의 다른 </w:t>
      </w:r>
      <w:proofErr w:type="spellStart"/>
      <w:r w:rsidRPr="00F2098E">
        <w:rPr>
          <w:rFonts w:asciiTheme="minorEastAsia" w:hAnsiTheme="minorEastAsia"/>
          <w:sz w:val="20"/>
          <w:szCs w:val="20"/>
          <w:lang w:eastAsia="ko-KR"/>
        </w:rPr>
        <w:t>양상들과의</w:t>
      </w:r>
      <w:proofErr w:type="spellEnd"/>
      <w:r w:rsidRPr="00F2098E">
        <w:rPr>
          <w:rFonts w:asciiTheme="minorEastAsia" w:hAnsiTheme="minorEastAsia"/>
          <w:sz w:val="20"/>
          <w:szCs w:val="20"/>
          <w:lang w:eastAsia="ko-KR"/>
        </w:rPr>
        <w:t xml:space="preserve"> 차이점을 제대로 다루지 못하였다. 이 때문에 여기서 논의하는 내용들은 강압적 치료 전반에 모두 적용된다. 물론 신체적 강박보다는 “치료적” 요소의 비중이 더 높다는 차이가 있지만, 화학적 강박에 고유한 윤리적 문제들을 제대로 다루지 못하였다. 이러한 한계는 자연스레 </w:t>
      </w:r>
      <w:proofErr w:type="spellStart"/>
      <w:r w:rsidRPr="00F2098E">
        <w:rPr>
          <w:rFonts w:asciiTheme="minorEastAsia" w:hAnsiTheme="minorEastAsia"/>
          <w:sz w:val="20"/>
          <w:szCs w:val="20"/>
          <w:lang w:eastAsia="ko-KR"/>
        </w:rPr>
        <w:t>비강압적</w:t>
      </w:r>
      <w:proofErr w:type="spellEnd"/>
      <w:r w:rsidRPr="00F2098E">
        <w:rPr>
          <w:rFonts w:asciiTheme="minorEastAsia" w:hAnsiTheme="minorEastAsia"/>
          <w:sz w:val="20"/>
          <w:szCs w:val="20"/>
          <w:lang w:eastAsia="ko-KR"/>
        </w:rPr>
        <w:t xml:space="preserve"> 대안에 대한 논의가 빠진 </w:t>
      </w:r>
      <w:proofErr w:type="spellStart"/>
      <w:r w:rsidRPr="00F2098E">
        <w:rPr>
          <w:rFonts w:asciiTheme="minorEastAsia" w:hAnsiTheme="minorEastAsia"/>
          <w:sz w:val="20"/>
          <w:szCs w:val="20"/>
          <w:lang w:eastAsia="ko-KR"/>
        </w:rPr>
        <w:t>것과도</w:t>
      </w:r>
      <w:proofErr w:type="spellEnd"/>
      <w:r w:rsidRPr="00F2098E">
        <w:rPr>
          <w:rFonts w:asciiTheme="minorEastAsia" w:hAnsiTheme="minorEastAsia"/>
          <w:sz w:val="20"/>
          <w:szCs w:val="20"/>
          <w:lang w:eastAsia="ko-KR"/>
        </w:rPr>
        <w:t xml:space="preserve"> 연결된다. 화학적 강박을 제한적이나마 허용하기 위해선, </w:t>
      </w:r>
      <w:proofErr w:type="spellStart"/>
      <w:r w:rsidRPr="00F2098E">
        <w:rPr>
          <w:rFonts w:asciiTheme="minorEastAsia" w:hAnsiTheme="minorEastAsia"/>
          <w:sz w:val="20"/>
          <w:szCs w:val="20"/>
          <w:lang w:eastAsia="ko-KR"/>
        </w:rPr>
        <w:t>비강압적</w:t>
      </w:r>
      <w:proofErr w:type="spellEnd"/>
      <w:r w:rsidRPr="00F2098E">
        <w:rPr>
          <w:rFonts w:asciiTheme="minorEastAsia" w:hAnsiTheme="minorEastAsia"/>
          <w:sz w:val="20"/>
          <w:szCs w:val="20"/>
          <w:lang w:eastAsia="ko-KR"/>
        </w:rPr>
        <w:t xml:space="preserve"> 치료로는 도저히 달성할 수 없는 목표를 화학적 강박은 달성할 수 있음이 </w:t>
      </w:r>
      <w:proofErr w:type="spellStart"/>
      <w:r w:rsidRPr="00F2098E">
        <w:rPr>
          <w:rFonts w:asciiTheme="minorEastAsia" w:hAnsiTheme="minorEastAsia"/>
          <w:sz w:val="20"/>
          <w:szCs w:val="20"/>
          <w:lang w:eastAsia="ko-KR"/>
        </w:rPr>
        <w:t>확실해져야</w:t>
      </w:r>
      <w:proofErr w:type="spellEnd"/>
      <w:r w:rsidRPr="00F2098E">
        <w:rPr>
          <w:rFonts w:asciiTheme="minorEastAsia" w:hAnsiTheme="minorEastAsia"/>
          <w:sz w:val="20"/>
          <w:szCs w:val="20"/>
          <w:lang w:eastAsia="ko-KR"/>
        </w:rPr>
        <w:t xml:space="preserve"> 한다.</w:t>
      </w:r>
    </w:p>
    <w:p w14:paraId="7F271931" w14:textId="06DF0A45" w:rsidR="00B91303" w:rsidRPr="00F2098E" w:rsidRDefault="00000000" w:rsidP="00F2098E">
      <w:pPr>
        <w:pStyle w:val="a0"/>
        <w:jc w:val="both"/>
        <w:rPr>
          <w:rFonts w:asciiTheme="minorEastAsia" w:hAnsiTheme="minorEastAsia"/>
          <w:sz w:val="20"/>
          <w:szCs w:val="20"/>
          <w:lang w:eastAsia="ko-KR"/>
        </w:rPr>
      </w:pPr>
      <w:r w:rsidRPr="00F2098E">
        <w:rPr>
          <w:rFonts w:asciiTheme="minorEastAsia" w:hAnsiTheme="minorEastAsia"/>
          <w:sz w:val="20"/>
          <w:szCs w:val="20"/>
          <w:lang w:eastAsia="ko-KR"/>
        </w:rPr>
        <w:lastRenderedPageBreak/>
        <w:t xml:space="preserve">화학적 강박을 둘러싼 논쟁은 본질적으로 의학적 필요성과 인권 사이의 양자택일이 아니다. 그것은 환자가 가장 취약한 순간에 그의 안정기 자아와 위기 시점의 자아, 의료진의 임상 판단, 제3자의 안전이 어떤 절차를 통해 조정되어야 하는지에 관한 문제이다. 본 논문이 제시한 가중적 조건 구조와 PAD의 결합은 이 조정의 절차를 </w:t>
      </w:r>
      <w:proofErr w:type="spellStart"/>
      <w:r w:rsidRPr="00F2098E">
        <w:rPr>
          <w:rFonts w:asciiTheme="minorEastAsia" w:hAnsiTheme="minorEastAsia"/>
          <w:sz w:val="20"/>
          <w:szCs w:val="20"/>
          <w:lang w:eastAsia="ko-KR"/>
        </w:rPr>
        <w:t>명시화하려는</w:t>
      </w:r>
      <w:proofErr w:type="spellEnd"/>
      <w:r w:rsidRPr="00F2098E">
        <w:rPr>
          <w:rFonts w:asciiTheme="minorEastAsia" w:hAnsiTheme="minorEastAsia"/>
          <w:sz w:val="20"/>
          <w:szCs w:val="20"/>
          <w:lang w:eastAsia="ko-KR"/>
        </w:rPr>
        <w:t xml:space="preserve"> 한 가지 시도이며, 위기 상황 관리의 주안점을 “통제”로부터 “사전 합의”로 전환하려는 모색의 하나이다. 이를 계기로 더욱 활발한 논의가 진행되기를 희망한다.</w:t>
      </w:r>
    </w:p>
    <w:p w14:paraId="3599BE3A" w14:textId="77777777" w:rsidR="00B91303" w:rsidRDefault="00B91303">
      <w:pPr>
        <w:rPr>
          <w:lang w:eastAsia="ko-KR"/>
        </w:rPr>
      </w:pPr>
      <w:r>
        <w:rPr>
          <w:lang w:eastAsia="ko-KR"/>
        </w:rPr>
        <w:br w:type="page"/>
      </w:r>
    </w:p>
    <w:p w14:paraId="6E492360" w14:textId="2E1210D3" w:rsidR="00A00B40" w:rsidRDefault="00B91303">
      <w:pPr>
        <w:pStyle w:val="a0"/>
      </w:pPr>
      <w:r>
        <w:lastRenderedPageBreak/>
        <w:t>References</w:t>
      </w:r>
    </w:p>
    <w:p w14:paraId="143C6822" w14:textId="77777777" w:rsidR="00B91303" w:rsidRDefault="00B91303">
      <w:pPr>
        <w:pStyle w:val="a0"/>
      </w:pPr>
    </w:p>
    <w:p w14:paraId="19FE7326" w14:textId="77777777" w:rsidR="00A00B40" w:rsidRDefault="00000000">
      <w:pPr>
        <w:pStyle w:val="a7"/>
      </w:pPr>
      <w:bookmarkStart w:id="33" w:name="ref-aho2008medicalizing"/>
      <w:bookmarkStart w:id="34" w:name="refs"/>
      <w:r>
        <w:t xml:space="preserve">Aho, Kevin. 2008. “Medicalizing Mental Health: A Phenomenological Alternative.” </w:t>
      </w:r>
      <w:r>
        <w:rPr>
          <w:i/>
          <w:iCs/>
        </w:rPr>
        <w:t>Journal of Medical Humanities</w:t>
      </w:r>
      <w:r>
        <w:t xml:space="preserve"> 29: 243–59. </w:t>
      </w:r>
      <w:hyperlink r:id="rId6">
        <w:r>
          <w:rPr>
            <w:rStyle w:val="ac"/>
          </w:rPr>
          <w:t>https://doi.org/10.1007/s10912-008-9065-1</w:t>
        </w:r>
      </w:hyperlink>
      <w:r>
        <w:t>.</w:t>
      </w:r>
    </w:p>
    <w:p w14:paraId="51944681" w14:textId="77777777" w:rsidR="00A00B40" w:rsidRDefault="00000000">
      <w:pPr>
        <w:pStyle w:val="a7"/>
      </w:pPr>
      <w:bookmarkStart w:id="35" w:name="ref-alexandrov2021coercive"/>
      <w:bookmarkEnd w:id="33"/>
      <w:r>
        <w:t xml:space="preserve">Alexandrov, Nikita V., and Natalie Schuck. 2021. “Coercive Interventions Under the New Dutch Mental Health Law: Towards a CRPD-Compliant Law?” </w:t>
      </w:r>
      <w:r>
        <w:rPr>
          <w:i/>
          <w:iCs/>
        </w:rPr>
        <w:t>International Journal of Law and Psychiatry</w:t>
      </w:r>
      <w:r>
        <w:t xml:space="preserve"> 76: 101685. </w:t>
      </w:r>
      <w:hyperlink r:id="rId7">
        <w:r>
          <w:rPr>
            <w:rStyle w:val="ac"/>
          </w:rPr>
          <w:t>https://doi.org/10.1016/j.ijlp.2021.101685</w:t>
        </w:r>
      </w:hyperlink>
      <w:r>
        <w:t>.</w:t>
      </w:r>
    </w:p>
    <w:p w14:paraId="4061AA90" w14:textId="77777777" w:rsidR="00A00B40" w:rsidRDefault="00000000">
      <w:pPr>
        <w:pStyle w:val="a7"/>
      </w:pPr>
      <w:bookmarkStart w:id="36" w:name="ref-allison2014"/>
      <w:bookmarkEnd w:id="35"/>
      <w:r>
        <w:t xml:space="preserve">Allison, Laura, and Joanna Moncrieff. 2014. “‘Rapid Tranquillisation’: An Historical Perspective on Its Emergence in the Context of the Development of Antipsychotic Medications.” </w:t>
      </w:r>
      <w:r>
        <w:rPr>
          <w:i/>
          <w:iCs/>
        </w:rPr>
        <w:t>History of Psychiatry</w:t>
      </w:r>
      <w:r>
        <w:t xml:space="preserve"> 25 (1): 57–69. </w:t>
      </w:r>
      <w:hyperlink r:id="rId8">
        <w:r>
          <w:rPr>
            <w:rStyle w:val="ac"/>
          </w:rPr>
          <w:t>https://doi.org/10.1177/0957154x13512573</w:t>
        </w:r>
      </w:hyperlink>
      <w:r>
        <w:t>.</w:t>
      </w:r>
    </w:p>
    <w:p w14:paraId="7DD93F22" w14:textId="77777777" w:rsidR="00A00B40" w:rsidRDefault="00000000">
      <w:pPr>
        <w:pStyle w:val="a7"/>
      </w:pPr>
      <w:bookmarkStart w:id="37" w:name="ref-appelbaum2007assessment"/>
      <w:bookmarkEnd w:id="36"/>
      <w:r>
        <w:t xml:space="preserve">Appelbaum, Paul S. 2007. “Assessment of Patients’ Competence to Consent to Treatment.” </w:t>
      </w:r>
      <w:r>
        <w:rPr>
          <w:i/>
          <w:iCs/>
        </w:rPr>
        <w:t>New England Journal of Medicine</w:t>
      </w:r>
      <w:r>
        <w:t xml:space="preserve"> 357: 1834–40. </w:t>
      </w:r>
      <w:hyperlink r:id="rId9">
        <w:r>
          <w:rPr>
            <w:rStyle w:val="ac"/>
          </w:rPr>
          <w:t>https://doi.org/10.1056/NEJMcp074045</w:t>
        </w:r>
      </w:hyperlink>
      <w:r>
        <w:t>.</w:t>
      </w:r>
    </w:p>
    <w:p w14:paraId="1257FFFA" w14:textId="77777777" w:rsidR="00A00B40" w:rsidRDefault="00000000">
      <w:pPr>
        <w:pStyle w:val="a7"/>
      </w:pPr>
      <w:bookmarkStart w:id="38" w:name="ref-Bartlett2007Compulsory"/>
      <w:bookmarkEnd w:id="37"/>
      <w:r>
        <w:t xml:space="preserve">Bartlett, Peter. 2007. “The Test of Compulsion in Mental Health Law: Capacity, Therapeutic Benefit and Dangerousness as Possible Criteria.” </w:t>
      </w:r>
      <w:r>
        <w:rPr>
          <w:i/>
          <w:iCs/>
        </w:rPr>
        <w:t>Medical Law Review</w:t>
      </w:r>
      <w:r>
        <w:t xml:space="preserve"> 15 (1): 86–114. </w:t>
      </w:r>
      <w:hyperlink r:id="rId10">
        <w:r>
          <w:rPr>
            <w:rStyle w:val="ac"/>
          </w:rPr>
          <w:t>https://doi.org/10.1093/medlaw/fwl024</w:t>
        </w:r>
      </w:hyperlink>
      <w:r>
        <w:t>.</w:t>
      </w:r>
    </w:p>
    <w:p w14:paraId="5503E0A0" w14:textId="77777777" w:rsidR="00A00B40" w:rsidRDefault="00000000">
      <w:pPr>
        <w:pStyle w:val="a7"/>
      </w:pPr>
      <w:bookmarkStart w:id="39" w:name="ref-beauchamp2019principles"/>
      <w:bookmarkEnd w:id="38"/>
      <w:r>
        <w:t xml:space="preserve">Beauchamp, Tom L., and James F. Childress. 2019. </w:t>
      </w:r>
      <w:r>
        <w:rPr>
          <w:i/>
          <w:iCs/>
        </w:rPr>
        <w:t>Principles of Biomedical Ethics</w:t>
      </w:r>
      <w:r>
        <w:t>. 8th ed. New York: Oxford University Press.</w:t>
      </w:r>
    </w:p>
    <w:p w14:paraId="10CD4CEB" w14:textId="77777777" w:rsidR="00A00B40" w:rsidRDefault="00000000">
      <w:pPr>
        <w:pStyle w:val="a7"/>
      </w:pPr>
      <w:bookmarkStart w:id="40" w:name="ref-becker2020implied"/>
      <w:bookmarkEnd w:id="39"/>
      <w:r>
        <w:t xml:space="preserve">Becker, Sarah H. D., and Howard Forman. 2020. “Implied Consent in Treating Psychiatric Emergencies.” </w:t>
      </w:r>
      <w:r>
        <w:rPr>
          <w:i/>
          <w:iCs/>
        </w:rPr>
        <w:t>Frontiers in Psychiatry</w:t>
      </w:r>
      <w:r>
        <w:t xml:space="preserve"> 11. </w:t>
      </w:r>
      <w:hyperlink r:id="rId11">
        <w:r>
          <w:rPr>
            <w:rStyle w:val="ac"/>
          </w:rPr>
          <w:t>https://doi.org/10.3389/fpsyt.2020.00127</w:t>
        </w:r>
      </w:hyperlink>
      <w:r>
        <w:t>.</w:t>
      </w:r>
    </w:p>
    <w:p w14:paraId="2F0C9157" w14:textId="77777777" w:rsidR="00A00B40" w:rsidRDefault="00000000">
      <w:pPr>
        <w:pStyle w:val="a7"/>
      </w:pPr>
      <w:bookmarkStart w:id="41" w:name="ref-belayneh2024prevalence"/>
      <w:bookmarkEnd w:id="40"/>
      <w:r>
        <w:t xml:space="preserve">Belayneh, Zelalem, Jacinta Chavulak, Den‐Ching A. Lee, Melissa Petrakis, and Terry P. Haines. 2024. “Prevalence and Variability of Restrictive Care Practice Use (Physical Restraint, Seclusion and Chemical Restraint) in Adult Mental Health Inpatient Settings: A Systematic Review and Meta‐analysis.” </w:t>
      </w:r>
      <w:r>
        <w:rPr>
          <w:i/>
          <w:iCs/>
        </w:rPr>
        <w:t>Journal of Clinical Nursing</w:t>
      </w:r>
      <w:r>
        <w:t xml:space="preserve"> 33: 1256–81. </w:t>
      </w:r>
      <w:hyperlink r:id="rId12">
        <w:r>
          <w:rPr>
            <w:rStyle w:val="ac"/>
          </w:rPr>
          <w:t>https://doi.org/10.1111/jocn.17041</w:t>
        </w:r>
      </w:hyperlink>
      <w:r>
        <w:t>.</w:t>
      </w:r>
    </w:p>
    <w:p w14:paraId="10307267" w14:textId="77777777" w:rsidR="00A00B40" w:rsidRDefault="00000000">
      <w:pPr>
        <w:pStyle w:val="a7"/>
      </w:pPr>
      <w:bookmarkStart w:id="42" w:name="ref-bendor2015how"/>
      <w:bookmarkEnd w:id="41"/>
      <w:r>
        <w:t xml:space="preserve">Bendor, Ariel L., and Tal Sela. 2015. “How Proportional Is Proportionality?” </w:t>
      </w:r>
      <w:r>
        <w:rPr>
          <w:i/>
          <w:iCs/>
        </w:rPr>
        <w:t>International Journal of Constitutional Law</w:t>
      </w:r>
      <w:r>
        <w:t xml:space="preserve"> 13: 530–44. </w:t>
      </w:r>
      <w:hyperlink r:id="rId13">
        <w:r>
          <w:rPr>
            <w:rStyle w:val="ac"/>
          </w:rPr>
          <w:t>https://doi.org/10.1093/icon/mov028</w:t>
        </w:r>
      </w:hyperlink>
      <w:r>
        <w:t>.</w:t>
      </w:r>
    </w:p>
    <w:p w14:paraId="2DA18AF2" w14:textId="77777777" w:rsidR="00A00B40" w:rsidRDefault="00000000">
      <w:pPr>
        <w:pStyle w:val="a7"/>
      </w:pPr>
      <w:bookmarkStart w:id="43" w:name="ref-bergan2024right"/>
      <w:bookmarkEnd w:id="42"/>
      <w:r>
        <w:t xml:space="preserve">Bergan, Courtney. 2024. “The Right to Choose and Refuse Mental Health Care: A Human Rights Based Approach to Ending Compulsory Psychiatric Intervention.” </w:t>
      </w:r>
      <w:r>
        <w:rPr>
          <w:i/>
          <w:iCs/>
        </w:rPr>
        <w:t>Journal of Health Care Law &amp; Policy</w:t>
      </w:r>
      <w:r>
        <w:t xml:space="preserve"> 27 (1): 49–?</w:t>
      </w:r>
    </w:p>
    <w:p w14:paraId="295C423A" w14:textId="77777777" w:rsidR="00A00B40" w:rsidRDefault="00000000">
      <w:pPr>
        <w:pStyle w:val="a7"/>
      </w:pPr>
      <w:bookmarkStart w:id="44" w:name="ref-bieber2020the"/>
      <w:bookmarkEnd w:id="43"/>
      <w:r>
        <w:t xml:space="preserve">Bieber, Ewa D., Gail A. Edelsohn, Maria E. McGee, Julia Shekunov, Magdalena Romanowicz, Jennifer L. Vande Voort, and Alastair J. S. McKean. 2020. “The Role of Parental Capacity for Medical Decision-Making in Medical Ethics and the Care of Psychiatrically Ill Youth: Case Report.” </w:t>
      </w:r>
      <w:r>
        <w:rPr>
          <w:i/>
          <w:iCs/>
        </w:rPr>
        <w:t>Frontiers in Psychiatry</w:t>
      </w:r>
      <w:r>
        <w:t xml:space="preserve"> 11. </w:t>
      </w:r>
      <w:hyperlink r:id="rId14">
        <w:r>
          <w:rPr>
            <w:rStyle w:val="ac"/>
          </w:rPr>
          <w:t>https://doi.org/10.3389/fpsyt.2020.559263</w:t>
        </w:r>
      </w:hyperlink>
      <w:r>
        <w:t>.</w:t>
      </w:r>
    </w:p>
    <w:p w14:paraId="53657C84" w14:textId="77777777" w:rsidR="00A00B40" w:rsidRDefault="00000000">
      <w:pPr>
        <w:pStyle w:val="a7"/>
      </w:pPr>
      <w:bookmarkStart w:id="45" w:name="ref-boardman2020personcentred"/>
      <w:bookmarkEnd w:id="44"/>
      <w:r>
        <w:lastRenderedPageBreak/>
        <w:t xml:space="preserve">Boardman, Jed, and Subodh Dave. 2020. “Person-Centred Care and Psychiatry: Some Key Perspectives.” </w:t>
      </w:r>
      <w:r>
        <w:rPr>
          <w:i/>
          <w:iCs/>
        </w:rPr>
        <w:t>BJPsych International</w:t>
      </w:r>
      <w:r>
        <w:t xml:space="preserve"> 17: 65–68. </w:t>
      </w:r>
      <w:hyperlink r:id="rId15">
        <w:r>
          <w:rPr>
            <w:rStyle w:val="ac"/>
          </w:rPr>
          <w:t>https://doi.org/10.1192/bji.2020.21</w:t>
        </w:r>
      </w:hyperlink>
      <w:r>
        <w:t>.</w:t>
      </w:r>
    </w:p>
    <w:p w14:paraId="7766BECC" w14:textId="77777777" w:rsidR="00A00B40" w:rsidRDefault="00000000">
      <w:pPr>
        <w:pStyle w:val="a7"/>
      </w:pPr>
      <w:bookmarkStart w:id="46" w:name="ref-brock1993a"/>
      <w:bookmarkEnd w:id="45"/>
      <w:r>
        <w:t xml:space="preserve">BROCK, DAN W. 1993. “A PROPOSAL FOR THE USE OF ADVANCE DIRECTIVES IN THE TREATMENT OF INCOMPETENT MENTALLY ILL PERSONS.” </w:t>
      </w:r>
      <w:r>
        <w:rPr>
          <w:i/>
          <w:iCs/>
        </w:rPr>
        <w:t>Bioethics</w:t>
      </w:r>
      <w:r>
        <w:t xml:space="preserve"> 7: 247–56. </w:t>
      </w:r>
      <w:hyperlink r:id="rId16">
        <w:r>
          <w:rPr>
            <w:rStyle w:val="ac"/>
          </w:rPr>
          <w:t>https://doi.org/10.1111/j.1467-8519.1993.tb00291.x</w:t>
        </w:r>
      </w:hyperlink>
      <w:r>
        <w:t>.</w:t>
      </w:r>
    </w:p>
    <w:p w14:paraId="3BB29910" w14:textId="77777777" w:rsidR="00A00B40" w:rsidRDefault="00000000">
      <w:pPr>
        <w:pStyle w:val="a7"/>
      </w:pPr>
      <w:bookmarkStart w:id="47" w:name="ref-butterworth2022"/>
      <w:bookmarkEnd w:id="46"/>
      <w:r>
        <w:t xml:space="preserve">Butterworth, Hannah, Lisa Wood, and Sarah Rowe. 2022. “Patients’ and Staff Members’ Experiences of Restrictive Practices in Acute Mental Health in-Patient Settings: Systematic Review and Thematic Synthesis.” </w:t>
      </w:r>
      <w:r>
        <w:rPr>
          <w:i/>
          <w:iCs/>
        </w:rPr>
        <w:t>BJPsych Open</w:t>
      </w:r>
      <w:r>
        <w:t xml:space="preserve"> 8 (6). </w:t>
      </w:r>
      <w:hyperlink r:id="rId17">
        <w:r>
          <w:rPr>
            <w:rStyle w:val="ac"/>
          </w:rPr>
          <w:t>https://doi.org/10.1192/bjo.2022.574</w:t>
        </w:r>
      </w:hyperlink>
      <w:r>
        <w:t>.</w:t>
      </w:r>
    </w:p>
    <w:p w14:paraId="4DA6C584" w14:textId="77777777" w:rsidR="00A00B40" w:rsidRDefault="00000000">
      <w:pPr>
        <w:pStyle w:val="a7"/>
      </w:pPr>
      <w:bookmarkStart w:id="48" w:name="ref-CMS2008SC0818"/>
      <w:bookmarkEnd w:id="47"/>
      <w:r>
        <w:t xml:space="preserve">Centers for Medicare &amp; Medicaid Services, Survey and Certification Group. 2008. “Hospitals – Restraint/Seclusion Interpretive Guidelines &amp; Updated State Operations Manual (SOM) Appendix A.” Survey {\&amp;} Certification Letter S&amp;C-08-18. Baltimore, Maryland: Department of Health &amp; Human Services, Centers for Medicare &amp; Medicaid Services. </w:t>
      </w:r>
      <w:hyperlink r:id="rId18">
        <w:r>
          <w:rPr>
            <w:rStyle w:val="ac"/>
          </w:rPr>
          <w:t>https://www.cms.gov/Medicare/Provider-Enrollment-and-Certification/SurveyCertificationGenInfo/downloads/scletter08-18.pdf</w:t>
        </w:r>
      </w:hyperlink>
      <w:r>
        <w:t>.</w:t>
      </w:r>
    </w:p>
    <w:p w14:paraId="11F43677" w14:textId="77777777" w:rsidR="00A00B40" w:rsidRDefault="00000000">
      <w:pPr>
        <w:pStyle w:val="a7"/>
      </w:pPr>
      <w:bookmarkStart w:id="49" w:name="ref-chieze2021"/>
      <w:bookmarkEnd w:id="48"/>
      <w:r>
        <w:t xml:space="preserve">Chieze, Marie, Christine Clavien, Stefan Kaiser, and Samia Hurst. 2021. “Coercive Measures in Psychiatry: A Review of Ethical Arguments.” </w:t>
      </w:r>
      <w:r>
        <w:rPr>
          <w:i/>
          <w:iCs/>
        </w:rPr>
        <w:t>Frontiers in Psychiatry</w:t>
      </w:r>
      <w:r>
        <w:t xml:space="preserve"> 12 (December). </w:t>
      </w:r>
      <w:hyperlink r:id="rId19">
        <w:r>
          <w:rPr>
            <w:rStyle w:val="ac"/>
          </w:rPr>
          <w:t>https://doi.org/10.3389/fpsyt.2021.790886</w:t>
        </w:r>
      </w:hyperlink>
      <w:r>
        <w:t>.</w:t>
      </w:r>
    </w:p>
    <w:p w14:paraId="60DA4114" w14:textId="77777777" w:rsidR="00A00B40" w:rsidRDefault="00000000">
      <w:pPr>
        <w:pStyle w:val="a7"/>
      </w:pPr>
      <w:bookmarkStart w:id="50" w:name="ref-chieze2019effects"/>
      <w:bookmarkEnd w:id="49"/>
      <w:r>
        <w:t xml:space="preserve">Chieze, Marie, Samia Hurst, Stefan Kaiser, and Othman Sentissi. 2019. “Effects of Seclusion and Restraint in Adult Psychiatry: A Systematic Review.” </w:t>
      </w:r>
      <w:r>
        <w:rPr>
          <w:i/>
          <w:iCs/>
        </w:rPr>
        <w:t>Frontiers in Psychiatry</w:t>
      </w:r>
      <w:r>
        <w:t xml:space="preserve"> 10. </w:t>
      </w:r>
      <w:hyperlink r:id="rId20">
        <w:r>
          <w:rPr>
            <w:rStyle w:val="ac"/>
          </w:rPr>
          <w:t>https://doi.org/10.3389/fpsyt.2019.00491</w:t>
        </w:r>
      </w:hyperlink>
      <w:r>
        <w:t>.</w:t>
      </w:r>
    </w:p>
    <w:p w14:paraId="2FFF91E8" w14:textId="77777777" w:rsidR="00A00B40" w:rsidRDefault="00000000">
      <w:pPr>
        <w:pStyle w:val="a7"/>
      </w:pPr>
      <w:bookmarkStart w:id="51" w:name="ref-citrome2024"/>
      <w:bookmarkEnd w:id="50"/>
      <w:r>
        <w:t xml:space="preserve">Citrome, Leslie, Christoph U. Correll, Luis San, Scott L. Zeller, Stuart Madden, Juan Gutierrez, Miguel Lopez-Toledano, Sunita N. Misra, Enrique Carrazana, and Adrian L. Rabinowicz. 2024. “Alternative Approaches for Addressing Acute Agitation in Schizophrenia and Bipolar Disorder.” </w:t>
      </w:r>
      <w:r>
        <w:rPr>
          <w:i/>
          <w:iCs/>
        </w:rPr>
        <w:t>The Primary Care Companion For CNS Disorders</w:t>
      </w:r>
      <w:r>
        <w:t xml:space="preserve"> 26 (1). </w:t>
      </w:r>
      <w:hyperlink r:id="rId21">
        <w:r>
          <w:rPr>
            <w:rStyle w:val="ac"/>
          </w:rPr>
          <w:t>https://doi.org/10.4088/pcc.23nr03596</w:t>
        </w:r>
      </w:hyperlink>
      <w:r>
        <w:t>.</w:t>
      </w:r>
    </w:p>
    <w:p w14:paraId="7A8D2B7F" w14:textId="77777777" w:rsidR="00A00B40" w:rsidRDefault="00000000">
      <w:pPr>
        <w:pStyle w:val="a7"/>
      </w:pPr>
      <w:bookmarkStart w:id="52" w:name="ref-cox1994advance"/>
      <w:bookmarkEnd w:id="51"/>
      <w:r>
        <w:t xml:space="preserve">Cox, Deon M., and Greg A. Sachs. 1994. “Advance Directives and the Patient Self-Determination Act.” </w:t>
      </w:r>
      <w:r>
        <w:rPr>
          <w:i/>
          <w:iCs/>
        </w:rPr>
        <w:t>Clinics in Geriatric Medicine</w:t>
      </w:r>
      <w:r>
        <w:t xml:space="preserve"> 10: 431–43. </w:t>
      </w:r>
      <w:hyperlink r:id="rId22">
        <w:r>
          <w:rPr>
            <w:rStyle w:val="ac"/>
          </w:rPr>
          <w:t>https://doi.org/10.1016/S0749-0690(18)30331-8</w:t>
        </w:r>
      </w:hyperlink>
      <w:r>
        <w:t>.</w:t>
      </w:r>
    </w:p>
    <w:p w14:paraId="14CAAC83" w14:textId="77777777" w:rsidR="00A00B40" w:rsidRDefault="00000000">
      <w:pPr>
        <w:pStyle w:val="a7"/>
      </w:pPr>
      <w:bookmarkStart w:id="53" w:name="ref-crichton2017epistemic"/>
      <w:bookmarkEnd w:id="52"/>
      <w:r>
        <w:t xml:space="preserve">Crichton, Paul, Havi Carel, and Ian James Kidd. 2017. “Epistemic Injustice in Psychiatry.” </w:t>
      </w:r>
      <w:r>
        <w:rPr>
          <w:i/>
          <w:iCs/>
        </w:rPr>
        <w:t>BJPsych Bulletin</w:t>
      </w:r>
      <w:r>
        <w:t xml:space="preserve"> 41: 65–70. </w:t>
      </w:r>
      <w:hyperlink r:id="rId23">
        <w:r>
          <w:rPr>
            <w:rStyle w:val="ac"/>
          </w:rPr>
          <w:t>https://doi.org/10.1192/pb.bp.115.050682</w:t>
        </w:r>
      </w:hyperlink>
      <w:r>
        <w:t>.</w:t>
      </w:r>
    </w:p>
    <w:p w14:paraId="3E48DD5B" w14:textId="77777777" w:rsidR="00A00B40" w:rsidRDefault="00000000">
      <w:pPr>
        <w:pStyle w:val="a7"/>
      </w:pPr>
      <w:bookmarkStart w:id="54" w:name="ref-crossley1998r"/>
      <w:bookmarkEnd w:id="53"/>
      <w:r>
        <w:t xml:space="preserve">Crossley, Nick. 1998. “R. D. Laing and the British Anti-Psychiatry Movement: A Socio–Historical Analysis.” </w:t>
      </w:r>
      <w:r>
        <w:rPr>
          <w:i/>
          <w:iCs/>
        </w:rPr>
        <w:t>Social Science &amp;Amp; Medicine</w:t>
      </w:r>
      <w:r>
        <w:t xml:space="preserve"> 47: 877–89. </w:t>
      </w:r>
      <w:hyperlink r:id="rId24">
        <w:r>
          <w:rPr>
            <w:rStyle w:val="ac"/>
          </w:rPr>
          <w:t>https://doi.org/10.1016/s0277-9536(98)00147-6</w:t>
        </w:r>
      </w:hyperlink>
      <w:r>
        <w:t>.</w:t>
      </w:r>
    </w:p>
    <w:p w14:paraId="0C60B5A4" w14:textId="77777777" w:rsidR="00A00B40" w:rsidRDefault="00000000">
      <w:pPr>
        <w:pStyle w:val="a7"/>
      </w:pPr>
      <w:bookmarkStart w:id="55" w:name="ref-crutchfield2022the"/>
      <w:bookmarkEnd w:id="54"/>
      <w:r>
        <w:t xml:space="preserve">Crutchfield, Parker, and Michael Redinger. 2022. “The Conditions for Ethical Chemical Restraints.” </w:t>
      </w:r>
      <w:r>
        <w:rPr>
          <w:i/>
          <w:iCs/>
        </w:rPr>
        <w:t>AJOB Neuroscience</w:t>
      </w:r>
      <w:r>
        <w:t xml:space="preserve"> 15: 3–16. </w:t>
      </w:r>
      <w:hyperlink r:id="rId25">
        <w:r>
          <w:rPr>
            <w:rStyle w:val="ac"/>
          </w:rPr>
          <w:t>https://doi.org/10.1080/21507740.2022.2126539</w:t>
        </w:r>
      </w:hyperlink>
      <w:r>
        <w:t>.</w:t>
      </w:r>
    </w:p>
    <w:p w14:paraId="7525164A" w14:textId="77777777" w:rsidR="00A00B40" w:rsidRDefault="00000000">
      <w:pPr>
        <w:pStyle w:val="a7"/>
      </w:pPr>
      <w:bookmarkStart w:id="56" w:name="ref-currier2000atypical"/>
      <w:bookmarkEnd w:id="55"/>
      <w:r>
        <w:lastRenderedPageBreak/>
        <w:t xml:space="preserve">Currier, Glenn W. 2000. “Atypical Antipsychotic Medications in the Psychiatric Emergency Service.” </w:t>
      </w:r>
      <w:r>
        <w:rPr>
          <w:i/>
          <w:iCs/>
        </w:rPr>
        <w:t>Journal of Clinical Psychiatry</w:t>
      </w:r>
      <w:r>
        <w:t xml:space="preserve"> 61 (Suppl 14): 21–26.</w:t>
      </w:r>
    </w:p>
    <w:p w14:paraId="2AD4FA30" w14:textId="77777777" w:rsidR="00A00B40" w:rsidRDefault="00000000">
      <w:pPr>
        <w:pStyle w:val="a7"/>
      </w:pPr>
      <w:bookmarkStart w:id="57" w:name="ref-currier2003the"/>
      <w:bookmarkEnd w:id="56"/>
      <w:r>
        <w:t xml:space="preserve">CURRIER, GLENN W. 2003. “The Controversy over ‘Chemical Restraint’ in Acute Care Psychiatry.” </w:t>
      </w:r>
      <w:r>
        <w:rPr>
          <w:i/>
          <w:iCs/>
        </w:rPr>
        <w:t>Journal of Psychiatric Practice</w:t>
      </w:r>
      <w:r>
        <w:t xml:space="preserve"> 9: 59–70. </w:t>
      </w:r>
      <w:hyperlink r:id="rId26">
        <w:r>
          <w:rPr>
            <w:rStyle w:val="ac"/>
          </w:rPr>
          <w:t>https://doi.org/10.1097/00131746-200301000-00006</w:t>
        </w:r>
      </w:hyperlink>
      <w:r>
        <w:t>.</w:t>
      </w:r>
    </w:p>
    <w:p w14:paraId="478ECD18" w14:textId="77777777" w:rsidR="00A00B40" w:rsidRDefault="00000000">
      <w:pPr>
        <w:pStyle w:val="a7"/>
      </w:pPr>
      <w:bookmarkStart w:id="58" w:name="ref-davis2008how"/>
      <w:bookmarkEnd w:id="57"/>
      <w:r>
        <w:t xml:space="preserve">Davis, John K. 2008. “How to Justify Enforcing a Ulysses Contract When Ulysses Is Competent to Refuse.” </w:t>
      </w:r>
      <w:r>
        <w:rPr>
          <w:i/>
          <w:iCs/>
        </w:rPr>
        <w:t>Kennedy Institute of Ethics Journal</w:t>
      </w:r>
      <w:r>
        <w:t xml:space="preserve"> 18: 87–106. </w:t>
      </w:r>
      <w:hyperlink r:id="rId27">
        <w:r>
          <w:rPr>
            <w:rStyle w:val="ac"/>
          </w:rPr>
          <w:t>https://doi.org/10.1353/ken.0.0001</w:t>
        </w:r>
      </w:hyperlink>
      <w:r>
        <w:t>.</w:t>
      </w:r>
    </w:p>
    <w:p w14:paraId="4C5EDA66" w14:textId="77777777" w:rsidR="00A00B40" w:rsidRDefault="00000000">
      <w:pPr>
        <w:pStyle w:val="a7"/>
      </w:pPr>
      <w:bookmarkStart w:id="59" w:name="ref-denis2016medical"/>
      <w:bookmarkEnd w:id="58"/>
      <w:r>
        <w:t xml:space="preserve">Denis, Jean-Louis, and Nicolette van Gestel. 2016. “Medical Doctors in Healthcare Leadership: Theoretical and Practical Challenges.” </w:t>
      </w:r>
      <w:r>
        <w:rPr>
          <w:i/>
          <w:iCs/>
        </w:rPr>
        <w:t>BMC Health Services Research</w:t>
      </w:r>
      <w:r>
        <w:t xml:space="preserve"> 16. </w:t>
      </w:r>
      <w:hyperlink r:id="rId28">
        <w:r>
          <w:rPr>
            <w:rStyle w:val="ac"/>
          </w:rPr>
          <w:t>https://doi.org/10.1186/s12913-016-1392-8</w:t>
        </w:r>
      </w:hyperlink>
      <w:r>
        <w:t>.</w:t>
      </w:r>
    </w:p>
    <w:p w14:paraId="6DED5C3C" w14:textId="77777777" w:rsidR="00A00B40" w:rsidRDefault="00000000">
      <w:pPr>
        <w:pStyle w:val="a7"/>
      </w:pPr>
      <w:bookmarkStart w:id="60" w:name="ref-doyleguilloud2019the"/>
      <w:bookmarkEnd w:id="59"/>
      <w:r>
        <w:t xml:space="preserve">Doyle Guilloud, Suzanne. 2019. “The Right to Liberty of Persons with Psychosocial Disabilities at the United Nations: A Tale of Two Interpretations.” </w:t>
      </w:r>
      <w:r>
        <w:rPr>
          <w:i/>
          <w:iCs/>
        </w:rPr>
        <w:t>International Journal of Law and Psychiatry</w:t>
      </w:r>
      <w:r>
        <w:t xml:space="preserve"> 66: 101497. </w:t>
      </w:r>
      <w:hyperlink r:id="rId29">
        <w:r>
          <w:rPr>
            <w:rStyle w:val="ac"/>
          </w:rPr>
          <w:t>https://doi.org/10.1016/j.ijlp.2019.101497</w:t>
        </w:r>
      </w:hyperlink>
      <w:r>
        <w:t>.</w:t>
      </w:r>
    </w:p>
    <w:p w14:paraId="45F85A30" w14:textId="77777777" w:rsidR="00A00B40" w:rsidRDefault="00000000">
      <w:pPr>
        <w:pStyle w:val="a7"/>
      </w:pPr>
      <w:bookmarkStart w:id="61" w:name="ref-ECHR1992Herczegfalvy"/>
      <w:bookmarkEnd w:id="60"/>
      <w:r>
        <w:t xml:space="preserve">European Court of Human Rights. 1992. “Herczegfalvy v. Austria.” </w:t>
      </w:r>
      <w:hyperlink r:id="rId30">
        <w:r>
          <w:rPr>
            <w:rStyle w:val="ac"/>
          </w:rPr>
          <w:t>https://hudoc.echr.coe.int/eng?i=001-57781</w:t>
        </w:r>
      </w:hyperlink>
      <w:r>
        <w:t>.</w:t>
      </w:r>
    </w:p>
    <w:p w14:paraId="63A8CEF5" w14:textId="77777777" w:rsidR="00A00B40" w:rsidRDefault="00000000">
      <w:pPr>
        <w:pStyle w:val="a7"/>
      </w:pPr>
      <w:bookmarkStart w:id="62" w:name="ref-EveryPalmer2021HumanRightsCoercion"/>
      <w:bookmarkEnd w:id="61"/>
      <w:r>
        <w:t>Every-Palmer, Susanna, Leah Kinimmonth, Giles Newton-Howes, and Sarah Gordon. 2021. “</w:t>
      </w:r>
      <w:hyperlink r:id="rId31">
        <w:r>
          <w:rPr>
            <w:rStyle w:val="ac"/>
          </w:rPr>
          <w:t>Applying Human Rights and Reducing Coercion in Psychiatry Following Service User-Led Education: A Qualitative Study</w:t>
        </w:r>
      </w:hyperlink>
      <w:r>
        <w:t xml:space="preserve">.” </w:t>
      </w:r>
      <w:r>
        <w:rPr>
          <w:i/>
          <w:iCs/>
        </w:rPr>
        <w:t>Health and Human Rights</w:t>
      </w:r>
      <w:r>
        <w:t xml:space="preserve"> 23 (2): 239–51.</w:t>
      </w:r>
    </w:p>
    <w:p w14:paraId="5E187FF1" w14:textId="77777777" w:rsidR="00A00B40" w:rsidRDefault="00000000">
      <w:pPr>
        <w:pStyle w:val="a7"/>
      </w:pPr>
      <w:bookmarkStart w:id="63" w:name="ref-farrelly2015improving"/>
      <w:bookmarkEnd w:id="62"/>
      <w:r>
        <w:t xml:space="preserve">Farrelly, Simone, Helen Lester, Diana Rose, Max Birchwood, Max Marshall, Waquas Waheed, R. Claire Henderson, George Szmukler, and Graham Thornicroft. 2015. “Improving Therapeutic Relationships.” </w:t>
      </w:r>
      <w:r>
        <w:rPr>
          <w:i/>
          <w:iCs/>
        </w:rPr>
        <w:t>Qualitative Health Research</w:t>
      </w:r>
      <w:r>
        <w:t xml:space="preserve"> 25: 1637–47. </w:t>
      </w:r>
      <w:hyperlink r:id="rId32">
        <w:r>
          <w:rPr>
            <w:rStyle w:val="ac"/>
          </w:rPr>
          <w:t>https://doi.org/10.1177/1049732314566320</w:t>
        </w:r>
      </w:hyperlink>
      <w:r>
        <w:t>.</w:t>
      </w:r>
    </w:p>
    <w:p w14:paraId="6CF132D0" w14:textId="77777777" w:rsidR="00A00B40" w:rsidRDefault="00000000">
      <w:pPr>
        <w:pStyle w:val="a7"/>
      </w:pPr>
      <w:bookmarkStart w:id="64" w:name="ref-fiala-butora2024"/>
      <w:bookmarkEnd w:id="63"/>
      <w:r>
        <w:t xml:space="preserve">Fiala-Butora, János. 2024. “The Influence of the Convention on the Rights of Persons with Disabilities on the European Court of Human Rights in the Area of Mental Health Law: Divergence and Unexplored Potential.” </w:t>
      </w:r>
      <w:r>
        <w:rPr>
          <w:i/>
          <w:iCs/>
        </w:rPr>
        <w:t>International Journal of Law and Psychiatry</w:t>
      </w:r>
      <w:r>
        <w:t xml:space="preserve"> 94 (May): 101965. </w:t>
      </w:r>
      <w:hyperlink r:id="rId33">
        <w:r>
          <w:rPr>
            <w:rStyle w:val="ac"/>
          </w:rPr>
          <w:t>https://doi.org/10.1016/j.ijlp.2024.101965</w:t>
        </w:r>
      </w:hyperlink>
      <w:r>
        <w:t>.</w:t>
      </w:r>
    </w:p>
    <w:p w14:paraId="7C3755D6" w14:textId="77777777" w:rsidR="00A00B40" w:rsidRDefault="00000000">
      <w:pPr>
        <w:pStyle w:val="a7"/>
      </w:pPr>
      <w:bookmarkStart w:id="65" w:name="ref-foucault2006history"/>
      <w:bookmarkEnd w:id="64"/>
      <w:r>
        <w:t xml:space="preserve">Foucault, Michel. 2006. </w:t>
      </w:r>
      <w:r>
        <w:rPr>
          <w:i/>
          <w:iCs/>
        </w:rPr>
        <w:t>History of Madness</w:t>
      </w:r>
      <w:r>
        <w:t>. Edited by Jean Khalfa. Translated by Jonathan Murphy and Jean Khalfa. London; New York: Routledge.</w:t>
      </w:r>
    </w:p>
    <w:p w14:paraId="71E4F1BE" w14:textId="77777777" w:rsidR="00A00B40" w:rsidRDefault="00000000">
      <w:pPr>
        <w:pStyle w:val="a7"/>
      </w:pPr>
      <w:bookmarkStart w:id="66" w:name="ref-franks2021physical"/>
      <w:bookmarkEnd w:id="65"/>
      <w:r>
        <w:t xml:space="preserve">Franks, Zenan M., Jonathan A. Alcock, Tommy Lam, Kimberley J. Haines, Nitin Arora, and Mahesh Ramanan. 2021. “Physical Restraints and Post-Traumatic Stress Disorder in Survivors of Critical Illness. A Systematic Review and Meta-Analysis.” </w:t>
      </w:r>
      <w:r>
        <w:rPr>
          <w:i/>
          <w:iCs/>
        </w:rPr>
        <w:t>Annals of the American Thoracic Society</w:t>
      </w:r>
      <w:r>
        <w:t xml:space="preserve"> 18: 689–97. </w:t>
      </w:r>
      <w:hyperlink r:id="rId34">
        <w:r>
          <w:rPr>
            <w:rStyle w:val="ac"/>
          </w:rPr>
          <w:t>https://doi.org/10.1513/AnnalsATS.202006-738OC</w:t>
        </w:r>
      </w:hyperlink>
      <w:r>
        <w:t>.</w:t>
      </w:r>
    </w:p>
    <w:p w14:paraId="771B01BA" w14:textId="77777777" w:rsidR="00A00B40" w:rsidRDefault="00000000">
      <w:pPr>
        <w:pStyle w:val="a7"/>
      </w:pPr>
      <w:bookmarkStart w:id="67" w:name="ref-frawley2025medicalization"/>
      <w:bookmarkEnd w:id="66"/>
      <w:r>
        <w:t xml:space="preserve">Frawley, Ashley. 2025. “Medicalization of Social Problems.” </w:t>
      </w:r>
      <w:r>
        <w:rPr>
          <w:i/>
          <w:iCs/>
        </w:rPr>
        <w:t>Handbook of the Philosophy of Medicine</w:t>
      </w:r>
      <w:r>
        <w:t xml:space="preserve">, 1487–1504. </w:t>
      </w:r>
      <w:hyperlink r:id="rId35">
        <w:r>
          <w:rPr>
            <w:rStyle w:val="ac"/>
          </w:rPr>
          <w:t>https://doi.org/10.1007/978-94-024-2252-8_74</w:t>
        </w:r>
      </w:hyperlink>
      <w:r>
        <w:t>.</w:t>
      </w:r>
    </w:p>
    <w:p w14:paraId="621E3893" w14:textId="77777777" w:rsidR="00A00B40" w:rsidRDefault="00000000">
      <w:pPr>
        <w:pStyle w:val="a7"/>
      </w:pPr>
      <w:bookmarkStart w:id="68" w:name="ref-fricker2007epistemic"/>
      <w:bookmarkEnd w:id="67"/>
      <w:r>
        <w:lastRenderedPageBreak/>
        <w:t xml:space="preserve">Fricker, Miranda. 2007. “Epistemic Injustice.” </w:t>
      </w:r>
      <w:hyperlink r:id="rId36">
        <w:r>
          <w:rPr>
            <w:rStyle w:val="ac"/>
          </w:rPr>
          <w:t>https://doi.org/10.1093/acprof:oso/9780198237907.001.0001</w:t>
        </w:r>
      </w:hyperlink>
      <w:r>
        <w:t>.</w:t>
      </w:r>
    </w:p>
    <w:p w14:paraId="3C6D50EB" w14:textId="77777777" w:rsidR="00A00B40" w:rsidRDefault="00000000">
      <w:pPr>
        <w:pStyle w:val="a7"/>
      </w:pPr>
      <w:bookmarkStart w:id="69" w:name="ref-frueh2005special"/>
      <w:bookmarkEnd w:id="68"/>
      <w:r>
        <w:t xml:space="preserve">Frueh, B. Christopher, Rebecca G. Knapp, Karen J. Cusack, Anouk L. Grubaugh, Julie A. Sauvageot, Victoria C. Cousins, Eunsil Yim, Cynthia S. Robins, Jeannine Monnier, and Thomas G. Hiers. 2005. “Special Section on Seclusion and Restraint: Patients’ Reports of Traumatic or Harmful Experiences Within the Psychiatric Setting.” </w:t>
      </w:r>
      <w:r>
        <w:rPr>
          <w:i/>
          <w:iCs/>
        </w:rPr>
        <w:t>Psychiatric Services</w:t>
      </w:r>
      <w:r>
        <w:t xml:space="preserve"> 56: 1123–33. </w:t>
      </w:r>
      <w:hyperlink r:id="rId37">
        <w:r>
          <w:rPr>
            <w:rStyle w:val="ac"/>
          </w:rPr>
          <w:t>https://doi.org/10.1176/appi.ps.56.9.1123</w:t>
        </w:r>
      </w:hyperlink>
      <w:r>
        <w:t>.</w:t>
      </w:r>
    </w:p>
    <w:p w14:paraId="48C62854" w14:textId="77777777" w:rsidR="00A00B40" w:rsidRDefault="00000000">
      <w:pPr>
        <w:pStyle w:val="a7"/>
      </w:pPr>
      <w:bookmarkStart w:id="70" w:name="ref-gaillard2023the"/>
      <w:bookmarkEnd w:id="69"/>
      <w:r>
        <w:t xml:space="preserve">Gaillard, Anne-Sophie, Esther Braun, Jochen Vollmann, Jakov Gather, and Matthé Scholten. 2023. “The Content of Psychiatric Advance Directives: A Systematic Review.” </w:t>
      </w:r>
      <w:r>
        <w:rPr>
          <w:i/>
          <w:iCs/>
        </w:rPr>
        <w:t>Psychiatric Services</w:t>
      </w:r>
      <w:r>
        <w:t xml:space="preserve"> 74: 44–55. </w:t>
      </w:r>
      <w:hyperlink r:id="rId38">
        <w:r>
          <w:rPr>
            <w:rStyle w:val="ac"/>
          </w:rPr>
          <w:t>https://doi.org/10.1176/appi.ps.202200002</w:t>
        </w:r>
      </w:hyperlink>
      <w:r>
        <w:t>.</w:t>
      </w:r>
    </w:p>
    <w:p w14:paraId="7505FA00" w14:textId="77777777" w:rsidR="00A00B40" w:rsidRDefault="00000000">
      <w:pPr>
        <w:pStyle w:val="a7"/>
      </w:pPr>
      <w:bookmarkStart w:id="71" w:name="ref-georgieva2011patients"/>
      <w:bookmarkEnd w:id="70"/>
      <w:r>
        <w:t xml:space="preserve">Georgieva, Irina, C. L. Mulder, and A. Wierdsma. 2011. “Patients’ Preference and Experiences of Forced Medication and Seclusion.” </w:t>
      </w:r>
      <w:r>
        <w:rPr>
          <w:i/>
          <w:iCs/>
        </w:rPr>
        <w:t>Psychiatric Quarterly</w:t>
      </w:r>
      <w:r>
        <w:t xml:space="preserve"> 83: 1–13. </w:t>
      </w:r>
      <w:hyperlink r:id="rId39">
        <w:r>
          <w:rPr>
            <w:rStyle w:val="ac"/>
          </w:rPr>
          <w:t>https://doi.org/10.1007/s11126-011-9178-y</w:t>
        </w:r>
      </w:hyperlink>
      <w:r>
        <w:t>.</w:t>
      </w:r>
    </w:p>
    <w:p w14:paraId="0154C9E4" w14:textId="77777777" w:rsidR="00A00B40" w:rsidRDefault="00000000">
      <w:pPr>
        <w:pStyle w:val="a7"/>
      </w:pPr>
      <w:bookmarkStart w:id="72" w:name="ref-gloeckler2025an"/>
      <w:bookmarkEnd w:id="71"/>
      <w:r>
        <w:t xml:space="preserve">Gloeckler, Sophie, Matthé Scholten, Penelope Weller, Alexander Ruck Keene, Soumitra Pathare, Ramya Pillutla, Leticia Andorno, and Nikola Biller-Andorno. 2025. “An International Comparison of Psychiatric Advance Directive Policy: Across Eleven Jurisdictions and Alongside Advance Directive Policy.” </w:t>
      </w:r>
      <w:r>
        <w:rPr>
          <w:i/>
          <w:iCs/>
        </w:rPr>
        <w:t>International Journal of Law and Psychiatry</w:t>
      </w:r>
      <w:r>
        <w:t xml:space="preserve"> 101: 102098. </w:t>
      </w:r>
      <w:hyperlink r:id="rId40">
        <w:r>
          <w:rPr>
            <w:rStyle w:val="ac"/>
          </w:rPr>
          <w:t>https://doi.org/10.1016/j.ijlp.2025.102098</w:t>
        </w:r>
      </w:hyperlink>
      <w:r>
        <w:t>.</w:t>
      </w:r>
    </w:p>
    <w:p w14:paraId="2CD1D4EB" w14:textId="77777777" w:rsidR="00A00B40" w:rsidRDefault="00000000">
      <w:pPr>
        <w:pStyle w:val="a7"/>
      </w:pPr>
      <w:bookmarkStart w:id="73" w:name="ref-goering2015rethinking"/>
      <w:bookmarkEnd w:id="72"/>
      <w:r>
        <w:t xml:space="preserve">Goering, Sara. 2015. “Rethinking Disability: The Social Model of Disability and Chronic Disease.” </w:t>
      </w:r>
      <w:r>
        <w:rPr>
          <w:i/>
          <w:iCs/>
        </w:rPr>
        <w:t>Current Reviews in Musculoskeletal Medicine</w:t>
      </w:r>
      <w:r>
        <w:t xml:space="preserve"> 8: 134–38. </w:t>
      </w:r>
      <w:hyperlink r:id="rId41">
        <w:r>
          <w:rPr>
            <w:rStyle w:val="ac"/>
          </w:rPr>
          <w:t>https://doi.org/10.1007/s12178-015-9273-z</w:t>
        </w:r>
      </w:hyperlink>
      <w:r>
        <w:t>.</w:t>
      </w:r>
    </w:p>
    <w:p w14:paraId="08E211D8" w14:textId="77777777" w:rsidR="00A00B40" w:rsidRDefault="00000000">
      <w:pPr>
        <w:pStyle w:val="a7"/>
      </w:pPr>
      <w:bookmarkStart w:id="74" w:name="ref-goffman1961asylums"/>
      <w:bookmarkEnd w:id="73"/>
      <w:r>
        <w:t xml:space="preserve">Goffman, Erving. 1961. </w:t>
      </w:r>
      <w:r>
        <w:rPr>
          <w:i/>
          <w:iCs/>
        </w:rPr>
        <w:t>Asylums: Essays on the Social Situation of Mental Patients and Other Inmates</w:t>
      </w:r>
      <w:r>
        <w:t>. Garden City, NY: Doubleday.</w:t>
      </w:r>
    </w:p>
    <w:p w14:paraId="63D33B9C" w14:textId="77777777" w:rsidR="00A00B40" w:rsidRDefault="00000000">
      <w:pPr>
        <w:pStyle w:val="a7"/>
      </w:pPr>
      <w:bookmarkStart w:id="75" w:name="ref-gronholm2023assessing"/>
      <w:bookmarkEnd w:id="74"/>
      <w:r>
        <w:t xml:space="preserve">Gronholm, Petra C., Neeraj Gill, Grace Carter, Danielle Watson, Hanfried Helmchen, Graham Thornicroft, and Norman Sartorius. 2023. “Assessing the Priority of Human Rights and Mental Health: The PHRAME Approach.” </w:t>
      </w:r>
      <w:r>
        <w:rPr>
          <w:i/>
          <w:iCs/>
        </w:rPr>
        <w:t>BJPsych Open</w:t>
      </w:r>
      <w:r>
        <w:t xml:space="preserve"> 9. </w:t>
      </w:r>
      <w:hyperlink r:id="rId42">
        <w:r>
          <w:rPr>
            <w:rStyle w:val="ac"/>
          </w:rPr>
          <w:t>https://doi.org/10.1192/bjo.2023.41</w:t>
        </w:r>
      </w:hyperlink>
      <w:r>
        <w:t>.</w:t>
      </w:r>
    </w:p>
    <w:p w14:paraId="39A2B157" w14:textId="77777777" w:rsidR="00A00B40" w:rsidRDefault="00000000">
      <w:pPr>
        <w:pStyle w:val="a7"/>
      </w:pPr>
      <w:bookmarkStart w:id="76" w:name="ref-Gurbai2020NonDiscriminationCoercion"/>
      <w:bookmarkEnd w:id="75"/>
      <w:r>
        <w:t>Gurbai, Sándor. 2020. “</w:t>
      </w:r>
      <w:hyperlink r:id="rId43">
        <w:r>
          <w:rPr>
            <w:rStyle w:val="ac"/>
          </w:rPr>
          <w:t>Beyond the Pragmatic Definition? The Right to Non-Discrimination of Persons with Disabilities in the Context of Coercive Interventions</w:t>
        </w:r>
      </w:hyperlink>
      <w:r>
        <w:t xml:space="preserve">.” </w:t>
      </w:r>
      <w:r>
        <w:rPr>
          <w:i/>
          <w:iCs/>
        </w:rPr>
        <w:t>Health and Human Rights</w:t>
      </w:r>
      <w:r>
        <w:t xml:space="preserve"> 22 (1): 279–92.</w:t>
      </w:r>
    </w:p>
    <w:p w14:paraId="317A3AC9" w14:textId="77777777" w:rsidR="00A00B40" w:rsidRDefault="00000000">
      <w:pPr>
        <w:pStyle w:val="a7"/>
      </w:pPr>
      <w:bookmarkStart w:id="77" w:name="ref-halliday2009advance"/>
      <w:bookmarkEnd w:id="76"/>
      <w:r>
        <w:t xml:space="preserve">Halliday, Samantha. 2009. “Advance Decisions and the Mental Capacity Act.” </w:t>
      </w:r>
      <w:r>
        <w:rPr>
          <w:i/>
          <w:iCs/>
        </w:rPr>
        <w:t>British Journal of Nursing</w:t>
      </w:r>
      <w:r>
        <w:t xml:space="preserve"> 18: 697–99. </w:t>
      </w:r>
      <w:hyperlink r:id="rId44">
        <w:r>
          <w:rPr>
            <w:rStyle w:val="ac"/>
          </w:rPr>
          <w:t>https://doi.org/10.12968/bjon.2009.18.11.42723</w:t>
        </w:r>
      </w:hyperlink>
      <w:r>
        <w:t>.</w:t>
      </w:r>
    </w:p>
    <w:p w14:paraId="392E053D" w14:textId="77777777" w:rsidR="00A00B40" w:rsidRDefault="00000000">
      <w:pPr>
        <w:pStyle w:val="a7"/>
      </w:pPr>
      <w:bookmarkStart w:id="78" w:name="ref-hankin2011agitation"/>
      <w:bookmarkEnd w:id="77"/>
      <w:r>
        <w:t xml:space="preserve">Hankin, Cheryl S., Amy Bronstone, and Lorrin M. Koran. 2011. “Agitation in the Inpatient Psychiatric Setting.” </w:t>
      </w:r>
      <w:r>
        <w:rPr>
          <w:i/>
          <w:iCs/>
        </w:rPr>
        <w:t>Journal of Psychiatric Practice</w:t>
      </w:r>
      <w:r>
        <w:t xml:space="preserve"> 17: 170–85. </w:t>
      </w:r>
      <w:hyperlink r:id="rId45">
        <w:r>
          <w:rPr>
            <w:rStyle w:val="ac"/>
          </w:rPr>
          <w:t>https://doi.org/10.1097/01.pra.0000398410.21374.7d</w:t>
        </w:r>
      </w:hyperlink>
      <w:r>
        <w:t>.</w:t>
      </w:r>
    </w:p>
    <w:p w14:paraId="358BD54B" w14:textId="77777777" w:rsidR="00A00B40" w:rsidRDefault="00000000">
      <w:pPr>
        <w:pStyle w:val="a7"/>
      </w:pPr>
      <w:bookmarkStart w:id="79" w:name="ref-hem2016"/>
      <w:bookmarkEnd w:id="78"/>
      <w:r>
        <w:lastRenderedPageBreak/>
        <w:t xml:space="preserve">Hem, Marit Helene, Elisabeth Gjerberg, Tonje Lossius Husum, and Reidar Pedersen. 2016. “Ethical Challenges When Using Coercion in Mental Healthcare: A Systematic Literature Review.” </w:t>
      </w:r>
      <w:r>
        <w:rPr>
          <w:i/>
          <w:iCs/>
        </w:rPr>
        <w:t>Nursing Ethics</w:t>
      </w:r>
      <w:r>
        <w:t xml:space="preserve"> 25 (1): 92–110. </w:t>
      </w:r>
      <w:hyperlink r:id="rId46">
        <w:r>
          <w:rPr>
            <w:rStyle w:val="ac"/>
          </w:rPr>
          <w:t>https://doi.org/10.1177/0969733016629770</w:t>
        </w:r>
      </w:hyperlink>
      <w:r>
        <w:t>.</w:t>
      </w:r>
    </w:p>
    <w:p w14:paraId="508279CF" w14:textId="77777777" w:rsidR="00A00B40" w:rsidRDefault="00000000">
      <w:pPr>
        <w:pStyle w:val="a7"/>
      </w:pPr>
      <w:bookmarkStart w:id="80" w:name="ref-hogan2019social"/>
      <w:bookmarkEnd w:id="79"/>
      <w:r>
        <w:t xml:space="preserve">Hogan, Andrew J. 2019. “Social and Medical Models of Disability and Mental Health: Evolution and Renewal.” </w:t>
      </w:r>
      <w:r>
        <w:rPr>
          <w:i/>
          <w:iCs/>
        </w:rPr>
        <w:t>Canadian Medical Association Journal</w:t>
      </w:r>
      <w:r>
        <w:t xml:space="preserve"> 191: E16–18. </w:t>
      </w:r>
      <w:hyperlink r:id="rId47">
        <w:r>
          <w:rPr>
            <w:rStyle w:val="ac"/>
          </w:rPr>
          <w:t>https://doi.org/10.1503/cmaj.181008</w:t>
        </w:r>
      </w:hyperlink>
      <w:r>
        <w:t>.</w:t>
      </w:r>
    </w:p>
    <w:p w14:paraId="3887D2B1" w14:textId="77777777" w:rsidR="00A00B40" w:rsidRDefault="00000000">
      <w:pPr>
        <w:pStyle w:val="a7"/>
      </w:pPr>
      <w:bookmarkStart w:id="81" w:name="ref-hupé2024defining"/>
      <w:bookmarkEnd w:id="80"/>
      <w:r>
        <w:t xml:space="preserve">Hupé, Catherine, Caroline Larue, and Damien Contandriopoulos. 2024. “Defining Chemical Restraint: A Preliminary Step Towards Measurement and Quality Assessment.” </w:t>
      </w:r>
      <w:r>
        <w:rPr>
          <w:i/>
          <w:iCs/>
        </w:rPr>
        <w:t>Aggression and Violent Behavior</w:t>
      </w:r>
      <w:r>
        <w:t xml:space="preserve"> 77: 101926. </w:t>
      </w:r>
      <w:hyperlink r:id="rId48">
        <w:r>
          <w:rPr>
            <w:rStyle w:val="ac"/>
          </w:rPr>
          <w:t>https://doi.org/10.1016/j.avb.2024.101926</w:t>
        </w:r>
      </w:hyperlink>
      <w:r>
        <w:t>.</w:t>
      </w:r>
    </w:p>
    <w:p w14:paraId="4DAA97A2" w14:textId="77777777" w:rsidR="00A00B40" w:rsidRDefault="00000000">
      <w:pPr>
        <w:pStyle w:val="a7"/>
      </w:pPr>
      <w:bookmarkStart w:id="82" w:name="ref-Iozzino2015"/>
      <w:bookmarkEnd w:id="81"/>
      <w:r>
        <w:t xml:space="preserve">Iozzino, Laura, Clarissa Ferrari, Matthew Large, Olav Nielssen, and Giovanni de Girolamo. 2015. “Prevalence and Risk Factors of Violence by Psychiatric Acute Inpatients: A Systematic Review and Meta-Analysis.” Edited by Suxia Li. </w:t>
      </w:r>
      <w:r>
        <w:rPr>
          <w:i/>
          <w:iCs/>
        </w:rPr>
        <w:t>PLOS ONE</w:t>
      </w:r>
      <w:r>
        <w:t xml:space="preserve"> 10 (6): e0128536. </w:t>
      </w:r>
      <w:hyperlink r:id="rId49">
        <w:r>
          <w:rPr>
            <w:rStyle w:val="ac"/>
          </w:rPr>
          <w:t>https://doi.org/10.1371/journal.pone.0128536</w:t>
        </w:r>
      </w:hyperlink>
      <w:r>
        <w:t>.</w:t>
      </w:r>
    </w:p>
    <w:p w14:paraId="2487F8B2" w14:textId="77777777" w:rsidR="00A00B40" w:rsidRDefault="00000000">
      <w:pPr>
        <w:pStyle w:val="a7"/>
      </w:pPr>
      <w:bookmarkStart w:id="83" w:name="ref-jeong2025pharmacological"/>
      <w:bookmarkEnd w:id="82"/>
      <w:r>
        <w:t xml:space="preserve">Jeong, Seong Hoon, and Yong Sik Kim. 2025. “Pharmacological Management of Acute Agitation and Violent Behavior in Psychiatric Settings.” </w:t>
      </w:r>
      <w:r>
        <w:rPr>
          <w:i/>
          <w:iCs/>
        </w:rPr>
        <w:t>Journal of Korean Neuropsychiatric Association</w:t>
      </w:r>
      <w:r>
        <w:t xml:space="preserve"> 64: 109. </w:t>
      </w:r>
      <w:hyperlink r:id="rId50">
        <w:r>
          <w:rPr>
            <w:rStyle w:val="ac"/>
          </w:rPr>
          <w:t>https://doi.org/10.4306/jknpa.2025.64.3.109</w:t>
        </w:r>
      </w:hyperlink>
      <w:r>
        <w:t>.</w:t>
      </w:r>
    </w:p>
    <w:p w14:paraId="0F5C8C26" w14:textId="77777777" w:rsidR="00A00B40" w:rsidRDefault="00000000">
      <w:pPr>
        <w:pStyle w:val="a7"/>
      </w:pPr>
      <w:bookmarkStart w:id="84" w:name="ref-kersting2019physical"/>
      <w:bookmarkEnd w:id="83"/>
      <w:r>
        <w:t xml:space="preserve">Kersting, Xenia A. K., Sophie Hirsch, and Tilman Steinert. 2019. “Physical Harm and Death in the Context of Coercive Measures in Psychiatric Patients: A Systematic Review.” </w:t>
      </w:r>
      <w:r>
        <w:rPr>
          <w:i/>
          <w:iCs/>
        </w:rPr>
        <w:t>Frontiers in Psychiatry</w:t>
      </w:r>
      <w:r>
        <w:t xml:space="preserve"> 10. </w:t>
      </w:r>
      <w:hyperlink r:id="rId51">
        <w:r>
          <w:rPr>
            <w:rStyle w:val="ac"/>
          </w:rPr>
          <w:t>https://doi.org/10.3389/fpsyt.2019.00400</w:t>
        </w:r>
      </w:hyperlink>
      <w:r>
        <w:t>.</w:t>
      </w:r>
    </w:p>
    <w:p w14:paraId="6C794C38" w14:textId="77777777" w:rsidR="00A00B40" w:rsidRDefault="00000000">
      <w:pPr>
        <w:pStyle w:val="a7"/>
      </w:pPr>
      <w:bookmarkStart w:id="85" w:name="ref-laureano2024ethical"/>
      <w:bookmarkEnd w:id="84"/>
      <w:r>
        <w:t xml:space="preserve">Laureano, Cláudio Domingos, Carlos Laranjeira, Ana Querido, Maria Anjos Dixe, and Francisca Rego. 2024. “Ethical Issues in Clinical Decision-Making about Involuntary Psychiatric Treatment: A Scoping Review.” </w:t>
      </w:r>
      <w:r>
        <w:rPr>
          <w:i/>
          <w:iCs/>
        </w:rPr>
        <w:t>Healthcare</w:t>
      </w:r>
      <w:r>
        <w:t xml:space="preserve"> 12: 445. </w:t>
      </w:r>
      <w:hyperlink r:id="rId52">
        <w:r>
          <w:rPr>
            <w:rStyle w:val="ac"/>
          </w:rPr>
          <w:t>https://doi.org/10.3390/healthcare12040445</w:t>
        </w:r>
      </w:hyperlink>
      <w:r>
        <w:t>.</w:t>
      </w:r>
    </w:p>
    <w:p w14:paraId="046DE5F3" w14:textId="77777777" w:rsidR="00A00B40" w:rsidRDefault="00000000">
      <w:pPr>
        <w:pStyle w:val="a7"/>
      </w:pPr>
      <w:bookmarkStart w:id="86" w:name="ref-mangal2024the"/>
      <w:bookmarkEnd w:id="85"/>
      <w:r>
        <w:t xml:space="preserve">Mangal, Jed P., and Nathan S. Scheiner. 2024. “The Limitations of Principlism.” </w:t>
      </w:r>
      <w:r>
        <w:rPr>
          <w:i/>
          <w:iCs/>
        </w:rPr>
        <w:t>AJOB Neuroscience</w:t>
      </w:r>
      <w:r>
        <w:t xml:space="preserve"> 15: 17–19. </w:t>
      </w:r>
      <w:hyperlink r:id="rId53">
        <w:r>
          <w:rPr>
            <w:rStyle w:val="ac"/>
          </w:rPr>
          <w:t>https://doi.org/10.1080/21507740.2023.2292507</w:t>
        </w:r>
      </w:hyperlink>
      <w:r>
        <w:t>.</w:t>
      </w:r>
    </w:p>
    <w:p w14:paraId="071B5A72" w14:textId="77777777" w:rsidR="00A00B40" w:rsidRDefault="00000000">
      <w:pPr>
        <w:pStyle w:val="a7"/>
      </w:pPr>
      <w:bookmarkStart w:id="87" w:name="ref-martin2019surveying"/>
      <w:bookmarkEnd w:id="86"/>
      <w:r>
        <w:t xml:space="preserve">Martin, Wayne, and Sándor Gurbai. 2019. “Surveying the Geneva Impasse: Coercive Care and Human Rights.” </w:t>
      </w:r>
      <w:r>
        <w:rPr>
          <w:i/>
          <w:iCs/>
        </w:rPr>
        <w:t>International Journal of Law and Psychiatry</w:t>
      </w:r>
      <w:r>
        <w:t xml:space="preserve"> 64: 117–28. </w:t>
      </w:r>
      <w:hyperlink r:id="rId54">
        <w:r>
          <w:rPr>
            <w:rStyle w:val="ac"/>
          </w:rPr>
          <w:t>https://doi.org/10.1016/j.ijlp.2019.03.001</w:t>
        </w:r>
      </w:hyperlink>
      <w:r>
        <w:t>.</w:t>
      </w:r>
    </w:p>
    <w:p w14:paraId="3F697F9C" w14:textId="77777777" w:rsidR="00A00B40" w:rsidRDefault="00000000">
      <w:pPr>
        <w:pStyle w:val="a7"/>
      </w:pPr>
      <w:bookmarkStart w:id="88" w:name="ref-rogers1983"/>
      <w:bookmarkEnd w:id="87"/>
      <w:r>
        <w:t>Massachusetts Supreme Judicial Court. 1983. “</w:t>
      </w:r>
      <w:hyperlink r:id="rId55">
        <w:r>
          <w:rPr>
            <w:rStyle w:val="ac"/>
          </w:rPr>
          <w:t>Rogers v. Commissioner of Department of Mental Health</w:t>
        </w:r>
      </w:hyperlink>
      <w:r>
        <w:t>.” Massachusetts Supreme Judicial Court decision.</w:t>
      </w:r>
    </w:p>
    <w:p w14:paraId="4D51665A" w14:textId="77777777" w:rsidR="00A00B40" w:rsidRDefault="00000000">
      <w:pPr>
        <w:pStyle w:val="a7"/>
      </w:pPr>
      <w:bookmarkStart w:id="89" w:name="ref-mcsherry2023human"/>
      <w:bookmarkEnd w:id="88"/>
      <w:r>
        <w:t xml:space="preserve">McSherry, Bernadette, Piers Gooding, and Yvette Maker. 2023. “Human Rights Promotion and the ‘Geneva Impasse’ in Mental Healthcare: Scoping Review.” </w:t>
      </w:r>
      <w:r>
        <w:rPr>
          <w:i/>
          <w:iCs/>
        </w:rPr>
        <w:t>BJPsych Open</w:t>
      </w:r>
      <w:r>
        <w:t xml:space="preserve"> 9. </w:t>
      </w:r>
      <w:hyperlink r:id="rId56">
        <w:r>
          <w:rPr>
            <w:rStyle w:val="ac"/>
          </w:rPr>
          <w:t>https://doi.org/10.1192/bjo.2023.50</w:t>
        </w:r>
      </w:hyperlink>
      <w:r>
        <w:t>.</w:t>
      </w:r>
    </w:p>
    <w:p w14:paraId="46D06D00" w14:textId="77777777" w:rsidR="00A00B40" w:rsidRDefault="00000000">
      <w:pPr>
        <w:pStyle w:val="a7"/>
      </w:pPr>
      <w:bookmarkStart w:id="90" w:name="ref-Mendez2013TortureHealthcare"/>
      <w:bookmarkEnd w:id="89"/>
      <w:r>
        <w:t xml:space="preserve">Méndez, Juan E. 2013. “Report of the Special Rapporteur on Torture and Other Cruel, Inhuman or Degrading Treatment or Punishment: Abuses in Health-Care Settings.” </w:t>
      </w:r>
      <w:r>
        <w:lastRenderedPageBreak/>
        <w:t xml:space="preserve">A/HRC/22/53. Geneva: United Nations Human Rights Council. </w:t>
      </w:r>
      <w:hyperlink r:id="rId57">
        <w:r>
          <w:rPr>
            <w:rStyle w:val="ac"/>
          </w:rPr>
          <w:t>https://undocs.org/A/HRC/22/53</w:t>
        </w:r>
      </w:hyperlink>
      <w:r>
        <w:t>.</w:t>
      </w:r>
    </w:p>
    <w:p w14:paraId="44F27ED4" w14:textId="77777777" w:rsidR="00A00B40" w:rsidRDefault="00000000">
      <w:pPr>
        <w:pStyle w:val="a7"/>
      </w:pPr>
      <w:bookmarkStart w:id="91" w:name="ref-muircochrane2020prevalence"/>
      <w:bookmarkEnd w:id="90"/>
      <w:r>
        <w:t xml:space="preserve">Muir‐Cochrane, Eimear, Karen Grimmer, Adam Gerace, Tarun Bastiampillai, and Candice Oster. 2020. “Prevalence of the Use of Chemical Restraint in the Management of Challenging Behaviours Associated with Adult Mental Health Conditions: A Meta‐synthesis.” </w:t>
      </w:r>
      <w:r>
        <w:rPr>
          <w:i/>
          <w:iCs/>
        </w:rPr>
        <w:t>Journal of Psychiatric and Mental Health Nursing</w:t>
      </w:r>
      <w:r>
        <w:t xml:space="preserve"> 27: 425–45. </w:t>
      </w:r>
      <w:hyperlink r:id="rId58">
        <w:r>
          <w:rPr>
            <w:rStyle w:val="ac"/>
          </w:rPr>
          <w:t>https://doi.org/10.1111/jpm.12585</w:t>
        </w:r>
      </w:hyperlink>
      <w:r>
        <w:t>.</w:t>
      </w:r>
    </w:p>
    <w:p w14:paraId="25F85F16" w14:textId="77777777" w:rsidR="00A00B40" w:rsidRDefault="00000000">
      <w:pPr>
        <w:pStyle w:val="a7"/>
      </w:pPr>
      <w:bookmarkStart w:id="92" w:name="ref-muircochrane2018fear"/>
      <w:bookmarkEnd w:id="91"/>
      <w:r>
        <w:t xml:space="preserve">Muir‐Cochrane, Eimear, Deb O’Kane, and Candice Oster. 2018. “Fear and Blame in Mental Health Nurses’ Accounts of Restrictive Practices: Implications for the Elimination of Seclusion and Restraint.” </w:t>
      </w:r>
      <w:r>
        <w:rPr>
          <w:i/>
          <w:iCs/>
        </w:rPr>
        <w:t>International Journal of Mental Health Nursing</w:t>
      </w:r>
      <w:r>
        <w:t xml:space="preserve"> 27: 1511–21. </w:t>
      </w:r>
      <w:hyperlink r:id="rId59">
        <w:r>
          <w:rPr>
            <w:rStyle w:val="ac"/>
          </w:rPr>
          <w:t>https://doi.org/10.1111/inm.12451</w:t>
        </w:r>
      </w:hyperlink>
      <w:r>
        <w:t>.</w:t>
      </w:r>
    </w:p>
    <w:p w14:paraId="4464A130" w14:textId="77777777" w:rsidR="00A00B40" w:rsidRDefault="00000000">
      <w:pPr>
        <w:pStyle w:val="a7"/>
      </w:pPr>
      <w:bookmarkStart w:id="93" w:name="ref-muluneh2024variations"/>
      <w:bookmarkEnd w:id="92"/>
      <w:r>
        <w:t xml:space="preserve">Muluneh, Zelalem Belayneh, Jacinta Chavulak, Den-Ching A. Lee, Melissa Petrakis, and Terry P. Haines. 2024. “Variations in Definitions Used for Describing Restrictive Care Practices (Seclusion and Restraint) in Adult Mental Health Inpatient Units: A Systematic Review and Content Analysis.” </w:t>
      </w:r>
      <w:r>
        <w:rPr>
          <w:i/>
          <w:iCs/>
        </w:rPr>
        <w:t>Social Psychiatry and Psychiatric Epidemiology</w:t>
      </w:r>
      <w:r>
        <w:t xml:space="preserve"> 60: 1–24. </w:t>
      </w:r>
      <w:hyperlink r:id="rId60">
        <w:r>
          <w:rPr>
            <w:rStyle w:val="ac"/>
          </w:rPr>
          <w:t>https://doi.org/10.1007/s00127-024-02739-6</w:t>
        </w:r>
      </w:hyperlink>
      <w:r>
        <w:t>.</w:t>
      </w:r>
    </w:p>
    <w:p w14:paraId="6388923D" w14:textId="77777777" w:rsidR="00A00B40" w:rsidRDefault="00000000">
      <w:pPr>
        <w:pStyle w:val="a7"/>
      </w:pPr>
      <w:bookmarkStart w:id="94" w:name="ref-opitz-welke2019"/>
      <w:bookmarkEnd w:id="93"/>
      <w:r>
        <w:t xml:space="preserve">Opitz-Welke, A., and N. Konrad. 2019. “Psychiatric Approach to Violent Behavior in Severe Mental Illness  Violation of Human Rights?” </w:t>
      </w:r>
      <w:r>
        <w:rPr>
          <w:i/>
          <w:iCs/>
        </w:rPr>
        <w:t>Ethics, Medicine and Public Health</w:t>
      </w:r>
      <w:r>
        <w:t xml:space="preserve"> 8 (January): 127–31. </w:t>
      </w:r>
      <w:hyperlink r:id="rId61">
        <w:r>
          <w:rPr>
            <w:rStyle w:val="ac"/>
          </w:rPr>
          <w:t>https://doi.org/10.1016/j.jemep.2019.03.003</w:t>
        </w:r>
      </w:hyperlink>
      <w:r>
        <w:t>.</w:t>
      </w:r>
    </w:p>
    <w:p w14:paraId="095F2C45" w14:textId="77777777" w:rsidR="00A00B40" w:rsidRDefault="00000000">
      <w:pPr>
        <w:pStyle w:val="a7"/>
      </w:pPr>
      <w:bookmarkStart w:id="95" w:name="ref-oute2023conflict"/>
      <w:bookmarkEnd w:id="94"/>
      <w:r>
        <w:t xml:space="preserve">Oute, Jeppe, and Susan McPherson. 2023. “Conflict and Antagonism Within Global Psychiatry: A Discourse Analysis of Organisational Responses to the UN Reports on Rights‐based Approaches in Mental Health.” </w:t>
      </w:r>
      <w:r>
        <w:rPr>
          <w:i/>
          <w:iCs/>
        </w:rPr>
        <w:t>Sociology of Health &amp;Amp; Illness</w:t>
      </w:r>
      <w:r>
        <w:t xml:space="preserve"> 46: 473–94. </w:t>
      </w:r>
      <w:hyperlink r:id="rId62">
        <w:r>
          <w:rPr>
            <w:rStyle w:val="ac"/>
          </w:rPr>
          <w:t>https://doi.org/10.1111/1467-9566.13717</w:t>
        </w:r>
      </w:hyperlink>
      <w:r>
        <w:t>.</w:t>
      </w:r>
    </w:p>
    <w:p w14:paraId="2331FB15" w14:textId="77777777" w:rsidR="00A00B40" w:rsidRDefault="00000000">
      <w:pPr>
        <w:pStyle w:val="a7"/>
      </w:pPr>
      <w:bookmarkStart w:id="96" w:name="ref-polak1971rapid"/>
      <w:bookmarkEnd w:id="95"/>
      <w:r>
        <w:t xml:space="preserve">POLAK, PAUL, and LAWRENCE LAYCOB. 1971. “Rapid Tranquilization.” </w:t>
      </w:r>
      <w:r>
        <w:rPr>
          <w:i/>
          <w:iCs/>
        </w:rPr>
        <w:t>American Journal of Psychiatry</w:t>
      </w:r>
      <w:r>
        <w:t xml:space="preserve"> 128: 640–43. </w:t>
      </w:r>
      <w:hyperlink r:id="rId63">
        <w:r>
          <w:rPr>
            <w:rStyle w:val="ac"/>
          </w:rPr>
          <w:t>https://doi.org/10.1176/ajp.128.5.640</w:t>
        </w:r>
      </w:hyperlink>
      <w:r>
        <w:t>.</w:t>
      </w:r>
    </w:p>
    <w:p w14:paraId="4F7A07F4" w14:textId="77777777" w:rsidR="00A00B40" w:rsidRDefault="00000000">
      <w:pPr>
        <w:pStyle w:val="a7"/>
      </w:pPr>
      <w:bookmarkStart w:id="97" w:name="ref-poremski2019psychiatric"/>
      <w:bookmarkEnd w:id="96"/>
      <w:r>
        <w:t xml:space="preserve">Poremski, Daniel, Mark Alexander, Tina Fang, Giles Ming‐Yee Tan, Samantha Ong, Alex Su, Daniel Fung, and Hong Choon Chua. 2019. “Psychiatric Advance Directives and Their Relevance to Improving Psychiatric Care in Asian Countries.” </w:t>
      </w:r>
      <w:r>
        <w:rPr>
          <w:i/>
          <w:iCs/>
        </w:rPr>
        <w:t>Asia-Pacific Psychiatry</w:t>
      </w:r>
      <w:r>
        <w:t xml:space="preserve"> 12. </w:t>
      </w:r>
      <w:hyperlink r:id="rId64">
        <w:r>
          <w:rPr>
            <w:rStyle w:val="ac"/>
          </w:rPr>
          <w:t>https://doi.org/10.1111/appy.12374</w:t>
        </w:r>
      </w:hyperlink>
      <w:r>
        <w:t>.</w:t>
      </w:r>
    </w:p>
    <w:p w14:paraId="179005BE" w14:textId="77777777" w:rsidR="00A00B40" w:rsidRDefault="00000000">
      <w:pPr>
        <w:pStyle w:val="a7"/>
      </w:pPr>
      <w:bookmarkStart w:id="98" w:name="ref-prinsen2008can"/>
      <w:bookmarkEnd w:id="97"/>
      <w:r>
        <w:t xml:space="preserve">Prinsen, E J D, and J J M van Delden. 2008. “Can We Justify Eliminating Coercive Measures in Psychiatry?” </w:t>
      </w:r>
      <w:r>
        <w:rPr>
          <w:i/>
          <w:iCs/>
        </w:rPr>
        <w:t>Journal of Medical Ethics</w:t>
      </w:r>
      <w:r>
        <w:t xml:space="preserve"> 35: 69–73. </w:t>
      </w:r>
      <w:hyperlink r:id="rId65">
        <w:r>
          <w:rPr>
            <w:rStyle w:val="ac"/>
          </w:rPr>
          <w:t>https://doi.org/10.1136/jme.2007.022780</w:t>
        </w:r>
      </w:hyperlink>
      <w:r>
        <w:t>.</w:t>
      </w:r>
    </w:p>
    <w:p w14:paraId="0B39054C" w14:textId="77777777" w:rsidR="00A00B40" w:rsidRDefault="00000000">
      <w:pPr>
        <w:pStyle w:val="a7"/>
      </w:pPr>
      <w:bookmarkStart w:id="99" w:name="ref-resnick2019malpractice"/>
      <w:bookmarkEnd w:id="98"/>
      <w:r>
        <w:t xml:space="preserve">Resnick, Phillip, and Adrienne Saxton. 2019. “Malpractice Liability Due to Patient Violence.” </w:t>
      </w:r>
      <w:r>
        <w:rPr>
          <w:i/>
          <w:iCs/>
        </w:rPr>
        <w:t>Focus</w:t>
      </w:r>
      <w:r>
        <w:t xml:space="preserve"> 17: 343–48. </w:t>
      </w:r>
      <w:hyperlink r:id="rId66">
        <w:r>
          <w:rPr>
            <w:rStyle w:val="ac"/>
          </w:rPr>
          <w:t>https://doi.org/10.1176/appi.focus.20190022</w:t>
        </w:r>
      </w:hyperlink>
      <w:r>
        <w:t>.</w:t>
      </w:r>
    </w:p>
    <w:p w14:paraId="258CDBB9" w14:textId="77777777" w:rsidR="00A00B40" w:rsidRDefault="00000000">
      <w:pPr>
        <w:pStyle w:val="a7"/>
      </w:pPr>
      <w:bookmarkStart w:id="100" w:name="ref-richmond2012verbal"/>
      <w:bookmarkEnd w:id="99"/>
      <w:r>
        <w:t xml:space="preserve">Richmond, Janet, Jon Berlin, Avrim Fishkind, Garland Holloman, Scott Zeller, Michael Wilson, Muhamad Aly Rifai, and Anthony Ng. 2012. “Verbal de-Escalation of the Agitated Patient: Consensus Statement of the American Association for Emergency Psychiatry </w:t>
      </w:r>
      <w:r>
        <w:lastRenderedPageBreak/>
        <w:t xml:space="preserve">Project BETA de-Escalation Workgroup.” </w:t>
      </w:r>
      <w:r>
        <w:rPr>
          <w:i/>
          <w:iCs/>
        </w:rPr>
        <w:t>Western Journal of Emergency Medicine</w:t>
      </w:r>
      <w:r>
        <w:t xml:space="preserve"> 13: 17–25. </w:t>
      </w:r>
      <w:hyperlink r:id="rId67">
        <w:r>
          <w:rPr>
            <w:rStyle w:val="ac"/>
          </w:rPr>
          <w:t>https://doi.org/10.5811/westjem.2011.9.6864</w:t>
        </w:r>
      </w:hyperlink>
      <w:r>
        <w:t>.</w:t>
      </w:r>
    </w:p>
    <w:p w14:paraId="27D61B01" w14:textId="77777777" w:rsidR="00A00B40" w:rsidRDefault="00000000">
      <w:pPr>
        <w:pStyle w:val="a7"/>
      </w:pPr>
      <w:bookmarkStart w:id="101" w:name="ref-richter2024coercive"/>
      <w:bookmarkEnd w:id="100"/>
      <w:r>
        <w:t xml:space="preserve">Richter, Dirk. 2024. “Coercive Measures in Psychiatry Can Hardly Be Justified in Principle Any Longer—Ethico‐legal Requirements Versus Empirical Research Data and Conceptual Issues.” </w:t>
      </w:r>
      <w:r>
        <w:rPr>
          <w:i/>
          <w:iCs/>
        </w:rPr>
        <w:t>Journal of Psychiatric and Mental Health Nursing</w:t>
      </w:r>
      <w:r>
        <w:t xml:space="preserve"> 32: 461–66. </w:t>
      </w:r>
      <w:hyperlink r:id="rId68">
        <w:r>
          <w:rPr>
            <w:rStyle w:val="ac"/>
          </w:rPr>
          <w:t>https://doi.org/10.1111/jpm.13129</w:t>
        </w:r>
      </w:hyperlink>
      <w:r>
        <w:t>.</w:t>
      </w:r>
    </w:p>
    <w:p w14:paraId="5BD6C430" w14:textId="77777777" w:rsidR="00A00B40" w:rsidRDefault="00000000">
      <w:pPr>
        <w:pStyle w:val="a7"/>
      </w:pPr>
      <w:bookmarkStart w:id="102" w:name="ref-rocca2006managing"/>
      <w:bookmarkEnd w:id="101"/>
      <w:r>
        <w:t xml:space="preserve">Rocca, Paola, Vincenzo Villari, and Filippo Bogetto. 2006. “Managing the Aggressive and Violent Patient in the Psychiatric Emergency.” </w:t>
      </w:r>
      <w:r>
        <w:rPr>
          <w:i/>
          <w:iCs/>
        </w:rPr>
        <w:t>Progress in Neuro-Psychopharmacology and Biological Psychiatry</w:t>
      </w:r>
      <w:r>
        <w:t xml:space="preserve"> 30: 586–98. </w:t>
      </w:r>
      <w:hyperlink r:id="rId69">
        <w:r>
          <w:rPr>
            <w:rStyle w:val="ac"/>
          </w:rPr>
          <w:t>https://doi.org/10.1016/j.pnpbp.2006.01.015</w:t>
        </w:r>
      </w:hyperlink>
      <w:r>
        <w:t>.</w:t>
      </w:r>
    </w:p>
    <w:p w14:paraId="59314292" w14:textId="77777777" w:rsidR="00A00B40" w:rsidRDefault="00000000">
      <w:pPr>
        <w:pStyle w:val="a7"/>
      </w:pPr>
      <w:bookmarkStart w:id="103" w:name="ref-russo2023psychiatrization"/>
      <w:bookmarkEnd w:id="102"/>
      <w:r>
        <w:t xml:space="preserve">Russo, Jasna. 2023. “Psychiatrization, Assertions of Epistemic Justice, and the Question of Agency.” </w:t>
      </w:r>
      <w:r>
        <w:rPr>
          <w:i/>
          <w:iCs/>
        </w:rPr>
        <w:t>Frontiers in Sociology</w:t>
      </w:r>
      <w:r>
        <w:t xml:space="preserve"> 8. </w:t>
      </w:r>
      <w:hyperlink r:id="rId70">
        <w:r>
          <w:rPr>
            <w:rStyle w:val="ac"/>
          </w:rPr>
          <w:t>https://doi.org/10.3389/fsoc.2023.1092298</w:t>
        </w:r>
      </w:hyperlink>
      <w:r>
        <w:t>.</w:t>
      </w:r>
    </w:p>
    <w:p w14:paraId="51D3D2C6" w14:textId="77777777" w:rsidR="00A00B40" w:rsidRDefault="00000000">
      <w:pPr>
        <w:pStyle w:val="a7"/>
      </w:pPr>
      <w:bookmarkStart w:id="104" w:name="ref-san2016state"/>
      <w:bookmarkEnd w:id="103"/>
      <w:r>
        <w:t xml:space="preserve">San, Luis, Josef Marksteiner, Peter Zwanzger, María Aragüés Figuero, Francisco Toledo Romero, Grigorios Kyropoulos, Alberto Bessa Peixoto, Roxana Chirita, and Anca Boldeanu. 2016. “State of Acute Agitation at Psychiatric Emergencies in Europe: The STAGE Study.” </w:t>
      </w:r>
      <w:r>
        <w:rPr>
          <w:i/>
          <w:iCs/>
        </w:rPr>
        <w:t>Clinical Practice &amp;Amp; Epidemiology in Mental Health</w:t>
      </w:r>
      <w:r>
        <w:t xml:space="preserve"> 12: 75–86. </w:t>
      </w:r>
      <w:hyperlink r:id="rId71">
        <w:r>
          <w:rPr>
            <w:rStyle w:val="ac"/>
          </w:rPr>
          <w:t>https://doi.org/10.2174/1745017901612010075</w:t>
        </w:r>
      </w:hyperlink>
      <w:r>
        <w:t>.</w:t>
      </w:r>
    </w:p>
    <w:p w14:paraId="4649D9CF" w14:textId="77777777" w:rsidR="00A00B40" w:rsidRDefault="00000000">
      <w:pPr>
        <w:pStyle w:val="a7"/>
      </w:pPr>
      <w:bookmarkStart w:id="105" w:name="ref-scholten2019psychiatric"/>
      <w:bookmarkEnd w:id="104"/>
      <w:r>
        <w:t xml:space="preserve">Scholten, Matthé, Astrid Gieselmann, Jakov Gather, and Jochen Vollmann. 2019. “Psychiatric Advance Directives Under the Convention on the Rights of Persons with Disabilities: Why Advance Instructions Should Be Able to Override Current Preferences.” </w:t>
      </w:r>
      <w:r>
        <w:rPr>
          <w:i/>
          <w:iCs/>
        </w:rPr>
        <w:t>Frontiers in Psychiatry</w:t>
      </w:r>
      <w:r>
        <w:t xml:space="preserve"> 10. </w:t>
      </w:r>
      <w:hyperlink r:id="rId72">
        <w:r>
          <w:rPr>
            <w:rStyle w:val="ac"/>
          </w:rPr>
          <w:t>https://doi.org/10.3389/fpsyt.2019.00631</w:t>
        </w:r>
      </w:hyperlink>
      <w:r>
        <w:t>.</w:t>
      </w:r>
    </w:p>
    <w:p w14:paraId="1A35B8E9" w14:textId="77777777" w:rsidR="00A00B40" w:rsidRDefault="00000000">
      <w:pPr>
        <w:pStyle w:val="a7"/>
      </w:pPr>
      <w:bookmarkStart w:id="106" w:name="ref-schöne-seifert2015paternalism"/>
      <w:bookmarkEnd w:id="105"/>
      <w:r>
        <w:t xml:space="preserve">Schöne-Seifert, Bettina. 2015. “Paternalism: Its Ethical Justification in Medicine and Psychiatry.” </w:t>
      </w:r>
      <w:r>
        <w:rPr>
          <w:i/>
          <w:iCs/>
        </w:rPr>
        <w:t>Library of Ethics and Applied Philosophy</w:t>
      </w:r>
      <w:r>
        <w:t xml:space="preserve">, 145–62. </w:t>
      </w:r>
      <w:hyperlink r:id="rId73">
        <w:r>
          <w:rPr>
            <w:rStyle w:val="ac"/>
          </w:rPr>
          <w:t>https://doi.org/10.1007/978-3-319-17960-5_10</w:t>
        </w:r>
      </w:hyperlink>
      <w:r>
        <w:t>.</w:t>
      </w:r>
    </w:p>
    <w:p w14:paraId="1A038CE7" w14:textId="77777777" w:rsidR="00A00B40" w:rsidRDefault="00000000">
      <w:pPr>
        <w:pStyle w:val="a7"/>
      </w:pPr>
      <w:bookmarkStart w:id="107" w:name="ref-scull2015madness"/>
      <w:bookmarkEnd w:id="106"/>
      <w:r>
        <w:t xml:space="preserve">Scull, Andrew. 2015. </w:t>
      </w:r>
      <w:r>
        <w:rPr>
          <w:i/>
          <w:iCs/>
        </w:rPr>
        <w:t>Madness in Civilization: The Cultural History of Insanity</w:t>
      </w:r>
      <w:r>
        <w:t>. London: Thames &amp; Hudson.</w:t>
      </w:r>
    </w:p>
    <w:p w14:paraId="15412D9F" w14:textId="77777777" w:rsidR="00A00B40" w:rsidRDefault="00000000">
      <w:pPr>
        <w:pStyle w:val="a7"/>
      </w:pPr>
      <w:bookmarkStart w:id="108" w:name="ref-shapiro2018pediatric"/>
      <w:bookmarkEnd w:id="107"/>
      <w:r>
        <w:t xml:space="preserve">Shapiro, Michael. 2018. “Pediatric Depression: When Does Parental Refusal for Treatment Constitute Medical Neglect?” </w:t>
      </w:r>
      <w:r>
        <w:rPr>
          <w:i/>
          <w:iCs/>
        </w:rPr>
        <w:t>Journal of the American Academy of Child &amp;Amp; Adolescent Psychiatry</w:t>
      </w:r>
      <w:r>
        <w:t xml:space="preserve"> 57: 363–65. </w:t>
      </w:r>
      <w:hyperlink r:id="rId74">
        <w:r>
          <w:rPr>
            <w:rStyle w:val="ac"/>
          </w:rPr>
          <w:t>https://doi.org/10.1016/j.jaac.2018.02.014</w:t>
        </w:r>
      </w:hyperlink>
      <w:r>
        <w:t>.</w:t>
      </w:r>
    </w:p>
    <w:p w14:paraId="007FECFB" w14:textId="77777777" w:rsidR="00A00B40" w:rsidRDefault="00000000">
      <w:pPr>
        <w:pStyle w:val="a7"/>
      </w:pPr>
      <w:bookmarkStart w:id="109" w:name="ref-shea2020principlisms"/>
      <w:bookmarkEnd w:id="108"/>
      <w:r>
        <w:t xml:space="preserve">Shea, Matthew. 2020. “Principlism’s Balancing Act: Why the Principles of Biomedical Ethics Need a Theory of the Good.” </w:t>
      </w:r>
      <w:r>
        <w:rPr>
          <w:i/>
          <w:iCs/>
        </w:rPr>
        <w:t>The Journal of Medicine and Philosophy: A Forum for Bioethics and Philosophy of Medicine</w:t>
      </w:r>
      <w:r>
        <w:t xml:space="preserve"> 45: 441–70. </w:t>
      </w:r>
      <w:hyperlink r:id="rId75">
        <w:r>
          <w:rPr>
            <w:rStyle w:val="ac"/>
          </w:rPr>
          <w:t>https://doi.org/10.1093/jmp/jhaa014</w:t>
        </w:r>
      </w:hyperlink>
      <w:r>
        <w:t>.</w:t>
      </w:r>
    </w:p>
    <w:p w14:paraId="46B2FFD9" w14:textId="77777777" w:rsidR="00A00B40" w:rsidRDefault="00000000">
      <w:pPr>
        <w:pStyle w:val="a7"/>
      </w:pPr>
      <w:bookmarkStart w:id="110" w:name="ref-shorter1997"/>
      <w:bookmarkEnd w:id="109"/>
      <w:r>
        <w:t xml:space="preserve">Shorter, Edward. 1997. </w:t>
      </w:r>
      <w:r>
        <w:rPr>
          <w:i/>
          <w:iCs/>
        </w:rPr>
        <w:t>A History of Psychiatry: From the Era of the Asylum to the Age of Prozac</w:t>
      </w:r>
      <w:r>
        <w:t>. A History of Psychiatry: From the Era of the Asylum to the Age of Prozac. Oxford, England: John Wiley &amp; Sons.</w:t>
      </w:r>
    </w:p>
    <w:p w14:paraId="5C0DF72E" w14:textId="77777777" w:rsidR="00A00B40" w:rsidRDefault="00000000">
      <w:pPr>
        <w:pStyle w:val="a7"/>
      </w:pPr>
      <w:bookmarkStart w:id="111" w:name="ref-sieckmann2018proportionality"/>
      <w:bookmarkEnd w:id="110"/>
      <w:r>
        <w:t xml:space="preserve">Sieckmann, Jan. 2018. “Proportionality as a Universal Human Rights Principle.” </w:t>
      </w:r>
      <w:r>
        <w:rPr>
          <w:i/>
          <w:iCs/>
        </w:rPr>
        <w:t>Proportionality in Law</w:t>
      </w:r>
      <w:r>
        <w:t xml:space="preserve">, 3–24. </w:t>
      </w:r>
      <w:hyperlink r:id="rId76">
        <w:r>
          <w:rPr>
            <w:rStyle w:val="ac"/>
          </w:rPr>
          <w:t>https://doi.org/10.1007/978-3-319-89647-2_1</w:t>
        </w:r>
      </w:hyperlink>
      <w:r>
        <w:t>.</w:t>
      </w:r>
    </w:p>
    <w:p w14:paraId="1ED092BA" w14:textId="77777777" w:rsidR="00A00B40" w:rsidRDefault="00000000">
      <w:pPr>
        <w:pStyle w:val="a7"/>
      </w:pPr>
      <w:bookmarkStart w:id="112" w:name="ref-spellecy2003reviving"/>
      <w:bookmarkEnd w:id="111"/>
      <w:r>
        <w:lastRenderedPageBreak/>
        <w:t xml:space="preserve">Spellecy, Ryan. 2003. “Reviving Ulysses Contracts.” </w:t>
      </w:r>
      <w:r>
        <w:rPr>
          <w:i/>
          <w:iCs/>
        </w:rPr>
        <w:t>Kennedy Institute of Ethics Journal</w:t>
      </w:r>
      <w:r>
        <w:t xml:space="preserve"> 13: 373–92. </w:t>
      </w:r>
      <w:hyperlink r:id="rId77">
        <w:r>
          <w:rPr>
            <w:rStyle w:val="ac"/>
          </w:rPr>
          <w:t>https://doi.org/10.1353/ken.2004.0010</w:t>
        </w:r>
      </w:hyperlink>
      <w:r>
        <w:t>.</w:t>
      </w:r>
    </w:p>
    <w:p w14:paraId="4299BC71" w14:textId="77777777" w:rsidR="00A00B40" w:rsidRDefault="00000000">
      <w:pPr>
        <w:pStyle w:val="a7"/>
      </w:pPr>
      <w:bookmarkStart w:id="113" w:name="ref-steinert2017ethics"/>
      <w:bookmarkEnd w:id="112"/>
      <w:r>
        <w:t xml:space="preserve">Steinert, Tilman. 2017. “Ethics of Coercive Treatment and Misuse of Psychiatry.” </w:t>
      </w:r>
      <w:r>
        <w:rPr>
          <w:i/>
          <w:iCs/>
        </w:rPr>
        <w:t>Psychiatric Services</w:t>
      </w:r>
      <w:r>
        <w:t xml:space="preserve"> 68: 291–94. </w:t>
      </w:r>
      <w:hyperlink r:id="rId78">
        <w:r>
          <w:rPr>
            <w:rStyle w:val="ac"/>
          </w:rPr>
          <w:t>https://doi.org/10.1176/appi.ps.201600066</w:t>
        </w:r>
      </w:hyperlink>
      <w:r>
        <w:t>.</w:t>
      </w:r>
    </w:p>
    <w:p w14:paraId="1EDF10D9" w14:textId="77777777" w:rsidR="00A00B40" w:rsidRDefault="00000000">
      <w:pPr>
        <w:pStyle w:val="a7"/>
      </w:pPr>
      <w:bookmarkStart w:id="114" w:name="ref-steinert2023using"/>
      <w:bookmarkEnd w:id="113"/>
      <w:r>
        <w:t xml:space="preserve">———. 2023. “Using Coercion in Mental Disorders or Risking the Patient’s Death? An Analysis of the Protocols of a Clinical Ethics Committee and a Derived Decision Algorithm.” </w:t>
      </w:r>
      <w:r>
        <w:rPr>
          <w:i/>
          <w:iCs/>
        </w:rPr>
        <w:t>Journal of Medical Ethics</w:t>
      </w:r>
      <w:r>
        <w:t xml:space="preserve"> 50: 552–56. </w:t>
      </w:r>
      <w:hyperlink r:id="rId79">
        <w:r>
          <w:rPr>
            <w:rStyle w:val="ac"/>
          </w:rPr>
          <w:t>https://doi.org/10.1136/jme-2023-109578</w:t>
        </w:r>
      </w:hyperlink>
      <w:r>
        <w:t>.</w:t>
      </w:r>
    </w:p>
    <w:p w14:paraId="6E96077B" w14:textId="77777777" w:rsidR="00A00B40" w:rsidRDefault="00000000">
      <w:pPr>
        <w:pStyle w:val="a7"/>
      </w:pPr>
      <w:bookmarkStart w:id="115" w:name="ref-stephenson2023selfbinding"/>
      <w:bookmarkEnd w:id="114"/>
      <w:r>
        <w:t xml:space="preserve">Stephenson, Lucy, Astrid Gieselmann, Tania Gergel, Gareth Owen, Jakov Gather, and Matthé Scholten. 2023. “Self-Binding Directives in Psychiatric Practice: A Systematic Review of Reasons.” </w:t>
      </w:r>
      <w:r>
        <w:rPr>
          <w:i/>
          <w:iCs/>
        </w:rPr>
        <w:t>The Lancet Psychiatry</w:t>
      </w:r>
      <w:r>
        <w:t xml:space="preserve"> 10: 887–95. </w:t>
      </w:r>
      <w:hyperlink r:id="rId80">
        <w:r>
          <w:rPr>
            <w:rStyle w:val="ac"/>
          </w:rPr>
          <w:t>https://doi.org/10.1016/S2215-0366(23)00221-3</w:t>
        </w:r>
      </w:hyperlink>
      <w:r>
        <w:t>.</w:t>
      </w:r>
    </w:p>
    <w:p w14:paraId="0CA9F1CC" w14:textId="77777777" w:rsidR="00A00B40" w:rsidRDefault="00000000">
      <w:pPr>
        <w:pStyle w:val="a7"/>
      </w:pPr>
      <w:bookmarkStart w:id="116" w:name="ref-swanson2006facilitated"/>
      <w:bookmarkEnd w:id="115"/>
      <w:r>
        <w:t xml:space="preserve">Swanson, Jeffrey W., Marvin S. Swartz, Eric B. Elbogen, Richard A. Van Dorn, Joelle Ferron, H. Ryan Wagner, Barbara J. McCauley, and Mimi Kim. 2006. “Facilitated Psychiatric Advance Directives: A Randomized Trial of an Intervention to Foster Advance Treatment Planning Among Persons with Severe Mental Illness.” </w:t>
      </w:r>
      <w:r>
        <w:rPr>
          <w:i/>
          <w:iCs/>
        </w:rPr>
        <w:t>American Journal of Psychiatry</w:t>
      </w:r>
      <w:r>
        <w:t xml:space="preserve"> 163: 1943–51. </w:t>
      </w:r>
      <w:hyperlink r:id="rId81">
        <w:r>
          <w:rPr>
            <w:rStyle w:val="ac"/>
          </w:rPr>
          <w:t>https://doi.org/10.1176/ajp.2006.163.11.1943</w:t>
        </w:r>
      </w:hyperlink>
      <w:r>
        <w:t>.</w:t>
      </w:r>
    </w:p>
    <w:p w14:paraId="6EADD92D" w14:textId="77777777" w:rsidR="00A00B40" w:rsidRDefault="00000000">
      <w:pPr>
        <w:pStyle w:val="a7"/>
      </w:pPr>
      <w:bookmarkStart w:id="117" w:name="ref-szasz1957commitment"/>
      <w:bookmarkEnd w:id="116"/>
      <w:r>
        <w:t xml:space="preserve">SZASZ, THOMAS S. 1957. “COMMITMENT OF THE MENTALLY ILL.” </w:t>
      </w:r>
      <w:r>
        <w:rPr>
          <w:i/>
          <w:iCs/>
        </w:rPr>
        <w:t>The Journal of Nervous and Mental Disease</w:t>
      </w:r>
      <w:r>
        <w:t xml:space="preserve"> 125: 293–307. </w:t>
      </w:r>
      <w:hyperlink r:id="rId82">
        <w:r>
          <w:rPr>
            <w:rStyle w:val="ac"/>
          </w:rPr>
          <w:t>https://doi.org/10.1097/00005053-195704000-00017</w:t>
        </w:r>
      </w:hyperlink>
      <w:r>
        <w:t>.</w:t>
      </w:r>
    </w:p>
    <w:p w14:paraId="1E718AC9" w14:textId="77777777" w:rsidR="00A00B40" w:rsidRDefault="00000000">
      <w:pPr>
        <w:pStyle w:val="a7"/>
      </w:pPr>
      <w:bookmarkStart w:id="118" w:name="ref-szmukler2019capacity"/>
      <w:bookmarkEnd w:id="117"/>
      <w:r>
        <w:t xml:space="preserve">Szmukler, George. 2019. “‘Capacity,’ ‘Best Interests,’ ‘Will and Preferences’ and the UN Convention on the Rights of Persons with Disabilities.” </w:t>
      </w:r>
      <w:r>
        <w:rPr>
          <w:i/>
          <w:iCs/>
        </w:rPr>
        <w:t>World Psychiatry</w:t>
      </w:r>
      <w:r>
        <w:t xml:space="preserve"> 18: 34–41. </w:t>
      </w:r>
      <w:hyperlink r:id="rId83">
        <w:r>
          <w:rPr>
            <w:rStyle w:val="ac"/>
          </w:rPr>
          <w:t>https://doi.org/10.1002/wps.20584</w:t>
        </w:r>
      </w:hyperlink>
      <w:r>
        <w:t>.</w:t>
      </w:r>
    </w:p>
    <w:p w14:paraId="04E60908" w14:textId="77777777" w:rsidR="00A00B40" w:rsidRDefault="00000000">
      <w:pPr>
        <w:pStyle w:val="a7"/>
      </w:pPr>
      <w:bookmarkStart w:id="119" w:name="ref-testa2010civil"/>
      <w:bookmarkEnd w:id="118"/>
      <w:r>
        <w:t>Testa, Megan, and Sara G. West. 2010. “</w:t>
      </w:r>
      <w:hyperlink r:id="rId84">
        <w:r>
          <w:rPr>
            <w:rStyle w:val="ac"/>
          </w:rPr>
          <w:t>Civil Commitment in the United States</w:t>
        </w:r>
      </w:hyperlink>
      <w:r>
        <w:t xml:space="preserve">.” </w:t>
      </w:r>
      <w:r>
        <w:rPr>
          <w:i/>
          <w:iCs/>
        </w:rPr>
        <w:t>Psychiatry (Edgmont)</w:t>
      </w:r>
      <w:r>
        <w:t xml:space="preserve"> 7 (10): 30–40.</w:t>
      </w:r>
    </w:p>
    <w:p w14:paraId="07F51A61" w14:textId="77777777" w:rsidR="00A00B40" w:rsidRDefault="00000000">
      <w:pPr>
        <w:pStyle w:val="a7"/>
      </w:pPr>
      <w:bookmarkStart w:id="120" w:name="ref-tingleff2017treat"/>
      <w:bookmarkEnd w:id="119"/>
      <w:r>
        <w:t xml:space="preserve">Tingleff, E. B., S. K. Bradley, F. A. Gildberg, G. Munksgaard, and L. Hounsgaard. 2017. “‘Treat Me with Respect.’ A Systematic Review and Thematic Analysis of Psychiatric Patients’ Reported Perceptions of the Situations Associated with the Process of Coercion.” </w:t>
      </w:r>
      <w:r>
        <w:rPr>
          <w:i/>
          <w:iCs/>
        </w:rPr>
        <w:t>Journal of Psychiatric and Mental Health Nursing</w:t>
      </w:r>
      <w:r>
        <w:t xml:space="preserve"> 24: 681–98. </w:t>
      </w:r>
      <w:hyperlink r:id="rId85">
        <w:r>
          <w:rPr>
            <w:rStyle w:val="ac"/>
          </w:rPr>
          <w:t>https://doi.org/10.1111/jpm.12410</w:t>
        </w:r>
      </w:hyperlink>
      <w:r>
        <w:t>.</w:t>
      </w:r>
    </w:p>
    <w:p w14:paraId="61019DA1" w14:textId="77777777" w:rsidR="00A00B40" w:rsidRDefault="00000000">
      <w:pPr>
        <w:pStyle w:val="a7"/>
      </w:pPr>
      <w:bookmarkStart w:id="121" w:name="ref-CAT2008GC2"/>
      <w:bookmarkEnd w:id="120"/>
      <w:r>
        <w:t xml:space="preserve">United Nations Committee Against Torture. 2008. “General Comment No. 2: Implementation of Article 2 by States Parties.” CAT/C/GC/2. Geneva: United Nations. </w:t>
      </w:r>
      <w:hyperlink r:id="rId86">
        <w:r>
          <w:rPr>
            <w:rStyle w:val="ac"/>
          </w:rPr>
          <w:t>https://undocs.org/CAT/C/GC/2</w:t>
        </w:r>
      </w:hyperlink>
      <w:r>
        <w:t>.</w:t>
      </w:r>
    </w:p>
    <w:p w14:paraId="160911A4" w14:textId="77777777" w:rsidR="00A00B40" w:rsidRDefault="00000000">
      <w:pPr>
        <w:pStyle w:val="a7"/>
      </w:pPr>
      <w:bookmarkStart w:id="122" w:name="ref-UNHRC2014GC35"/>
      <w:bookmarkEnd w:id="121"/>
      <w:r>
        <w:t xml:space="preserve">United Nations Human Rights Committee. 2014. “General Comment No. 35 (Article 9): Liberty and Security of Person.” CCPR/C/GC/35. Geneva: United Nations. </w:t>
      </w:r>
      <w:hyperlink r:id="rId87">
        <w:r>
          <w:rPr>
            <w:rStyle w:val="ac"/>
          </w:rPr>
          <w:t>https://undocs.org/CCPR/C/GC/35</w:t>
        </w:r>
      </w:hyperlink>
      <w:r>
        <w:t>.</w:t>
      </w:r>
    </w:p>
    <w:p w14:paraId="74F6867C" w14:textId="77777777" w:rsidR="00A00B40" w:rsidRDefault="00000000">
      <w:pPr>
        <w:pStyle w:val="a7"/>
      </w:pPr>
      <w:bookmarkStart w:id="123" w:name="ref-UNSpecialRapporteur2017MentalHealth"/>
      <w:bookmarkEnd w:id="122"/>
      <w:r>
        <w:lastRenderedPageBreak/>
        <w:t xml:space="preserve">United Nations Human Rights Council. 2017. “Report of the Special Rapporteur on the Right of Everyone to the Enjoyment of the Highest Attainable Standard of Physical and Mental Health.” A/HRC/35/21. Geneva: United Nations. </w:t>
      </w:r>
      <w:hyperlink r:id="rId88">
        <w:r>
          <w:rPr>
            <w:rStyle w:val="ac"/>
          </w:rPr>
          <w:t>https://undocs.org/A/HRC/35/21</w:t>
        </w:r>
      </w:hyperlink>
      <w:r>
        <w:t>.</w:t>
      </w:r>
    </w:p>
    <w:p w14:paraId="30922EF2" w14:textId="77777777" w:rsidR="00A00B40" w:rsidRDefault="00000000">
      <w:pPr>
        <w:pStyle w:val="a7"/>
      </w:pPr>
      <w:bookmarkStart w:id="124" w:name="ref-SPT2014MaldivesVisit"/>
      <w:bookmarkEnd w:id="123"/>
      <w:r>
        <w:t xml:space="preserve">United Nations Subcommittee on Prevention of Torture. 2014. “Visit to Maldives Undertaken from 8 to 11 December 2014: Recommendations and Observations Addressed to the State Party.” CAT/OP/MDV/ROSP/2. Geneva: United Nations. </w:t>
      </w:r>
      <w:hyperlink r:id="rId89">
        <w:r>
          <w:rPr>
            <w:rStyle w:val="ac"/>
          </w:rPr>
          <w:t>https://digitallibrary.un.org/record/3937214/files/CAT_OP_MDV_ROSP_2-EN.pdf</w:t>
        </w:r>
      </w:hyperlink>
      <w:r>
        <w:t>.</w:t>
      </w:r>
    </w:p>
    <w:p w14:paraId="731FC2F7" w14:textId="77777777" w:rsidR="00A00B40" w:rsidRDefault="00000000">
      <w:pPr>
        <w:pStyle w:val="a7"/>
      </w:pPr>
      <w:bookmarkStart w:id="125" w:name="ref-NursingHomeReformAct1987"/>
      <w:bookmarkEnd w:id="124"/>
      <w:r>
        <w:t xml:space="preserve">U.S. Congress. 1987. </w:t>
      </w:r>
      <w:r>
        <w:rPr>
          <w:i/>
          <w:iCs/>
        </w:rPr>
        <w:t>Nursing Home Reform Act, Subtitle c of the Omnibus Budget Reconciliation Act of 1987 (OBRA ’87)</w:t>
      </w:r>
      <w:r>
        <w:t>. Washington, DC: U.S. Government Printing Office.</w:t>
      </w:r>
    </w:p>
    <w:p w14:paraId="248781C2" w14:textId="77777777" w:rsidR="00A00B40" w:rsidRDefault="00000000">
      <w:pPr>
        <w:pStyle w:val="a7"/>
      </w:pPr>
      <w:bookmarkStart w:id="126" w:name="ref-Williams2022HumanRightsMentalHealth"/>
      <w:bookmarkEnd w:id="125"/>
      <w:r>
        <w:t>Williams, Carmel, and Audrey R. Chapman. 2022. “</w:t>
      </w:r>
      <w:hyperlink r:id="rId90">
        <w:r>
          <w:rPr>
            <w:rStyle w:val="ac"/>
          </w:rPr>
          <w:t>Impact of Human Rights Council Reports on Mental Health</w:t>
        </w:r>
      </w:hyperlink>
      <w:r>
        <w:t xml:space="preserve">.” </w:t>
      </w:r>
      <w:r>
        <w:rPr>
          <w:i/>
          <w:iCs/>
        </w:rPr>
        <w:t>Health and Human Rights</w:t>
      </w:r>
      <w:r>
        <w:t xml:space="preserve"> 24 (2): 85–99.</w:t>
      </w:r>
    </w:p>
    <w:p w14:paraId="7D89A4E6" w14:textId="77777777" w:rsidR="00A00B40" w:rsidRDefault="00000000">
      <w:pPr>
        <w:pStyle w:val="a7"/>
      </w:pPr>
      <w:bookmarkStart w:id="127" w:name="ref-wyder2015the"/>
      <w:bookmarkEnd w:id="126"/>
      <w:r>
        <w:t xml:space="preserve">Wyder, Marianne, Robert Bland, Ann Herriot, and David Crompton. 2015. “The Experiences of the Legal Processes of Involuntary Treatment Orders: Tension Between the Legal and Medical Frameworks.” </w:t>
      </w:r>
      <w:r>
        <w:rPr>
          <w:i/>
          <w:iCs/>
        </w:rPr>
        <w:t>International Journal of Law and Psychiatry</w:t>
      </w:r>
      <w:r>
        <w:t xml:space="preserve"> 38: 44–50. </w:t>
      </w:r>
      <w:hyperlink r:id="rId91">
        <w:r>
          <w:rPr>
            <w:rStyle w:val="ac"/>
          </w:rPr>
          <w:t>https://doi.org/10.1016/j.ijlp.2015.01.006</w:t>
        </w:r>
      </w:hyperlink>
      <w:r>
        <w:t>.</w:t>
      </w:r>
    </w:p>
    <w:p w14:paraId="2487F8F4" w14:textId="77777777" w:rsidR="00A00B40" w:rsidRDefault="00000000">
      <w:pPr>
        <w:pStyle w:val="a7"/>
      </w:pPr>
      <w:bookmarkStart w:id="128" w:name="ref-yoon2018critique"/>
      <w:bookmarkEnd w:id="127"/>
      <w:r>
        <w:t xml:space="preserve">Yoon, Je Sik, Chang Yoon Kim, and Joon-Ho Ahn. 2018. “Critique of Mental Health Welfare Law in Korea : Focusing on Involuntary Hospitalization Criteria.” </w:t>
      </w:r>
      <w:r>
        <w:rPr>
          <w:i/>
          <w:iCs/>
        </w:rPr>
        <w:t>Journal of Korean Neuropsychiatric Association</w:t>
      </w:r>
      <w:r>
        <w:t xml:space="preserve"> 57: 145. </w:t>
      </w:r>
      <w:hyperlink r:id="rId92">
        <w:r>
          <w:rPr>
            <w:rStyle w:val="ac"/>
          </w:rPr>
          <w:t>https://doi.org/10.4306/jknpa.2018.57.2.145</w:t>
        </w:r>
      </w:hyperlink>
      <w:r>
        <w:t>.</w:t>
      </w:r>
    </w:p>
    <w:p w14:paraId="0F66639D" w14:textId="77777777" w:rsidR="00A00B40" w:rsidRDefault="00000000">
      <w:pPr>
        <w:pStyle w:val="a7"/>
      </w:pPr>
      <w:bookmarkStart w:id="129" w:name="ref-zach2019cruel"/>
      <w:bookmarkEnd w:id="128"/>
      <w:r>
        <w:t xml:space="preserve">Zach, Gerrit, and Moritz Birk. 2019. “Cruel, Inhuman or Degrading Treatment or Punishment.” </w:t>
      </w:r>
      <w:r>
        <w:rPr>
          <w:i/>
          <w:iCs/>
        </w:rPr>
        <w:t>The United Nations Convention Against Torture and Its Optional Protocol</w:t>
      </w:r>
      <w:r>
        <w:t xml:space="preserve">, 441–72. </w:t>
      </w:r>
      <w:hyperlink r:id="rId93">
        <w:r>
          <w:rPr>
            <w:rStyle w:val="ac"/>
          </w:rPr>
          <w:t>https://doi.org/10.1093/law/9780198846178.003.0018</w:t>
        </w:r>
      </w:hyperlink>
      <w:r>
        <w:t>.</w:t>
      </w:r>
    </w:p>
    <w:p w14:paraId="66082FA3" w14:textId="77777777" w:rsidR="00A00B40" w:rsidRDefault="00000000">
      <w:pPr>
        <w:pStyle w:val="a7"/>
        <w:rPr>
          <w:lang w:eastAsia="ko-KR"/>
        </w:rPr>
      </w:pPr>
      <w:bookmarkStart w:id="130" w:name="ref-zelle2015advance"/>
      <w:bookmarkEnd w:id="129"/>
      <w:r>
        <w:t xml:space="preserve">Zelle, Heather, Kathleen Kemp, and Richard J. Bonnie. 2015. “Advance Directives in Mental Health Care: Evidence, Challenges and Promise.” </w:t>
      </w:r>
      <w:r>
        <w:rPr>
          <w:i/>
          <w:iCs/>
          <w:lang w:eastAsia="ko-KR"/>
        </w:rPr>
        <w:t>World Psychiatry</w:t>
      </w:r>
      <w:r>
        <w:rPr>
          <w:lang w:eastAsia="ko-KR"/>
        </w:rPr>
        <w:t xml:space="preserve"> 14: 278–80. </w:t>
      </w:r>
      <w:hyperlink r:id="rId94">
        <w:r>
          <w:rPr>
            <w:rStyle w:val="ac"/>
            <w:lang w:eastAsia="ko-KR"/>
          </w:rPr>
          <w:t>https://doi.org/10.1002/wps.20268</w:t>
        </w:r>
      </w:hyperlink>
      <w:r>
        <w:rPr>
          <w:lang w:eastAsia="ko-KR"/>
        </w:rPr>
        <w:t>.</w:t>
      </w:r>
    </w:p>
    <w:p w14:paraId="6318637E" w14:textId="77777777" w:rsidR="00A00B40" w:rsidRDefault="00000000">
      <w:pPr>
        <w:pStyle w:val="a7"/>
        <w:rPr>
          <w:lang w:eastAsia="ko-KR"/>
        </w:rPr>
      </w:pPr>
      <w:bookmarkStart w:id="131" w:name="ref-park2026pad"/>
      <w:bookmarkEnd w:id="130"/>
      <w:proofErr w:type="spellStart"/>
      <w:r>
        <w:rPr>
          <w:lang w:eastAsia="ko-KR"/>
        </w:rPr>
        <w:t>박종은</w:t>
      </w:r>
      <w:proofErr w:type="spellEnd"/>
      <w:r>
        <w:rPr>
          <w:lang w:eastAsia="ko-KR"/>
        </w:rPr>
        <w:t>. 2026. “</w:t>
      </w:r>
      <w:r>
        <w:rPr>
          <w:lang w:eastAsia="ko-KR"/>
        </w:rPr>
        <w:t>정신건강</w:t>
      </w:r>
      <w:r>
        <w:rPr>
          <w:lang w:eastAsia="ko-KR"/>
        </w:rPr>
        <w:t xml:space="preserve"> </w:t>
      </w:r>
      <w:r>
        <w:rPr>
          <w:lang w:eastAsia="ko-KR"/>
        </w:rPr>
        <w:t>사전의향지시서의</w:t>
      </w:r>
      <w:r>
        <w:rPr>
          <w:lang w:eastAsia="ko-KR"/>
        </w:rPr>
        <w:t xml:space="preserve"> </w:t>
      </w:r>
      <w:r>
        <w:rPr>
          <w:lang w:eastAsia="ko-KR"/>
        </w:rPr>
        <w:t>국내</w:t>
      </w:r>
      <w:r>
        <w:rPr>
          <w:lang w:eastAsia="ko-KR"/>
        </w:rPr>
        <w:t xml:space="preserve"> </w:t>
      </w:r>
      <w:r>
        <w:rPr>
          <w:lang w:eastAsia="ko-KR"/>
        </w:rPr>
        <w:t>적용에</w:t>
      </w:r>
      <w:r>
        <w:rPr>
          <w:lang w:eastAsia="ko-KR"/>
        </w:rPr>
        <w:t xml:space="preserve"> </w:t>
      </w:r>
      <w:r>
        <w:rPr>
          <w:lang w:eastAsia="ko-KR"/>
        </w:rPr>
        <w:t>대한</w:t>
      </w:r>
      <w:r>
        <w:rPr>
          <w:lang w:eastAsia="ko-KR"/>
        </w:rPr>
        <w:t xml:space="preserve"> </w:t>
      </w:r>
      <w:r>
        <w:rPr>
          <w:lang w:eastAsia="ko-KR"/>
        </w:rPr>
        <w:t>경험과</w:t>
      </w:r>
      <w:r>
        <w:rPr>
          <w:lang w:eastAsia="ko-KR"/>
        </w:rPr>
        <w:t xml:space="preserve"> </w:t>
      </w:r>
      <w:r>
        <w:rPr>
          <w:lang w:eastAsia="ko-KR"/>
        </w:rPr>
        <w:t>인식</w:t>
      </w:r>
      <w:r>
        <w:rPr>
          <w:lang w:eastAsia="ko-KR"/>
        </w:rPr>
        <w:t xml:space="preserve">: </w:t>
      </w:r>
      <w:r>
        <w:rPr>
          <w:lang w:eastAsia="ko-KR"/>
        </w:rPr>
        <w:t>정신장애인</w:t>
      </w:r>
      <w:r>
        <w:rPr>
          <w:lang w:eastAsia="ko-KR"/>
        </w:rPr>
        <w:t xml:space="preserve"> </w:t>
      </w:r>
      <w:r>
        <w:rPr>
          <w:lang w:eastAsia="ko-KR"/>
        </w:rPr>
        <w:t>당사자와</w:t>
      </w:r>
      <w:r>
        <w:rPr>
          <w:lang w:eastAsia="ko-KR"/>
        </w:rPr>
        <w:t xml:space="preserve"> </w:t>
      </w:r>
      <w:r>
        <w:rPr>
          <w:lang w:eastAsia="ko-KR"/>
        </w:rPr>
        <w:t>서비스</w:t>
      </w:r>
      <w:r>
        <w:rPr>
          <w:lang w:eastAsia="ko-KR"/>
        </w:rPr>
        <w:t xml:space="preserve"> </w:t>
      </w:r>
      <w:r>
        <w:rPr>
          <w:lang w:eastAsia="ko-KR"/>
        </w:rPr>
        <w:t>제공자의</w:t>
      </w:r>
      <w:r>
        <w:rPr>
          <w:lang w:eastAsia="ko-KR"/>
        </w:rPr>
        <w:t xml:space="preserve"> </w:t>
      </w:r>
      <w:r>
        <w:rPr>
          <w:lang w:eastAsia="ko-KR"/>
        </w:rPr>
        <w:t>관점을</w:t>
      </w:r>
      <w:r>
        <w:rPr>
          <w:lang w:eastAsia="ko-KR"/>
        </w:rPr>
        <w:t xml:space="preserve"> </w:t>
      </w:r>
      <w:r>
        <w:rPr>
          <w:lang w:eastAsia="ko-KR"/>
        </w:rPr>
        <w:t>중심으로</w:t>
      </w:r>
      <w:r>
        <w:rPr>
          <w:lang w:eastAsia="ko-KR"/>
        </w:rPr>
        <w:t xml:space="preserve">.” </w:t>
      </w:r>
      <w:r>
        <w:rPr>
          <w:i/>
          <w:iCs/>
          <w:lang w:eastAsia="ko-KR"/>
        </w:rPr>
        <w:t>한국장애인복지학</w:t>
      </w:r>
      <w:r>
        <w:rPr>
          <w:lang w:eastAsia="ko-KR"/>
        </w:rPr>
        <w:t xml:space="preserve"> 71 (71): 221–52. </w:t>
      </w:r>
      <w:hyperlink r:id="rId95">
        <w:r>
          <w:rPr>
            <w:rStyle w:val="ac"/>
            <w:lang w:eastAsia="ko-KR"/>
          </w:rPr>
          <w:t>https://doi.org/10.22779/kadw.2026.71.71.221</w:t>
        </w:r>
      </w:hyperlink>
      <w:r>
        <w:rPr>
          <w:lang w:eastAsia="ko-KR"/>
        </w:rPr>
        <w:t>.</w:t>
      </w:r>
    </w:p>
    <w:p w14:paraId="39ADCC77" w14:textId="77777777" w:rsidR="00A00B40" w:rsidRDefault="00000000">
      <w:pPr>
        <w:pStyle w:val="a7"/>
      </w:pPr>
      <w:bookmarkStart w:id="132" w:name="ref-lee2020life"/>
      <w:bookmarkEnd w:id="131"/>
      <w:proofErr w:type="spellStart"/>
      <w:r>
        <w:rPr>
          <w:lang w:eastAsia="ko-KR"/>
        </w:rPr>
        <w:t>이부하</w:t>
      </w:r>
      <w:proofErr w:type="spellEnd"/>
      <w:r>
        <w:rPr>
          <w:lang w:eastAsia="ko-KR"/>
        </w:rPr>
        <w:t>. 2020. “</w:t>
      </w:r>
      <w:r>
        <w:rPr>
          <w:lang w:eastAsia="ko-KR"/>
        </w:rPr>
        <w:t>연명의료결정법의</w:t>
      </w:r>
      <w:r>
        <w:rPr>
          <w:lang w:eastAsia="ko-KR"/>
        </w:rPr>
        <w:t xml:space="preserve"> </w:t>
      </w:r>
      <w:r>
        <w:rPr>
          <w:lang w:eastAsia="ko-KR"/>
        </w:rPr>
        <w:t>법적</w:t>
      </w:r>
      <w:r>
        <w:rPr>
          <w:lang w:eastAsia="ko-KR"/>
        </w:rPr>
        <w:t xml:space="preserve"> </w:t>
      </w:r>
      <w:r>
        <w:rPr>
          <w:lang w:eastAsia="ko-KR"/>
        </w:rPr>
        <w:t>쟁점</w:t>
      </w:r>
      <w:r>
        <w:rPr>
          <w:lang w:eastAsia="ko-KR"/>
        </w:rPr>
        <w:t xml:space="preserve"> </w:t>
      </w:r>
      <w:r>
        <w:rPr>
          <w:lang w:eastAsia="ko-KR"/>
        </w:rPr>
        <w:t>및</w:t>
      </w:r>
      <w:r>
        <w:rPr>
          <w:lang w:eastAsia="ko-KR"/>
        </w:rPr>
        <w:t xml:space="preserve"> </w:t>
      </w:r>
      <w:r>
        <w:rPr>
          <w:lang w:eastAsia="ko-KR"/>
        </w:rPr>
        <w:t>개선방안</w:t>
      </w:r>
      <w:r>
        <w:rPr>
          <w:lang w:eastAsia="ko-KR"/>
        </w:rPr>
        <w:t xml:space="preserve">.” </w:t>
      </w:r>
      <w:r>
        <w:rPr>
          <w:i/>
          <w:iCs/>
          <w:lang w:eastAsia="ko-KR"/>
        </w:rPr>
        <w:t>법제</w:t>
      </w:r>
      <w:r>
        <w:rPr>
          <w:lang w:eastAsia="ko-KR"/>
        </w:rPr>
        <w:t xml:space="preserve"> 688: 231–56. </w:t>
      </w:r>
      <w:hyperlink r:id="rId96">
        <w:r>
          <w:rPr>
            <w:rStyle w:val="ac"/>
          </w:rPr>
          <w:t>https://doi.org/10.23028/moleg.2020.688..007</w:t>
        </w:r>
      </w:hyperlink>
      <w:r>
        <w:t>.</w:t>
      </w:r>
      <w:bookmarkEnd w:id="31"/>
      <w:bookmarkEnd w:id="32"/>
      <w:bookmarkEnd w:id="34"/>
      <w:bookmarkEnd w:id="132"/>
    </w:p>
    <w:sectPr w:rsidR="00A00B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BBE36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A8EC8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59576032">
    <w:abstractNumId w:val="0"/>
  </w:num>
  <w:num w:numId="2" w16cid:durableId="14007154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B40"/>
    <w:rsid w:val="000E40B3"/>
    <w:rsid w:val="000F1091"/>
    <w:rsid w:val="00102DB5"/>
    <w:rsid w:val="001336C8"/>
    <w:rsid w:val="00162084"/>
    <w:rsid w:val="003104C9"/>
    <w:rsid w:val="003D1BA4"/>
    <w:rsid w:val="00414C90"/>
    <w:rsid w:val="004B171B"/>
    <w:rsid w:val="005717CB"/>
    <w:rsid w:val="005A0A78"/>
    <w:rsid w:val="005E4ADC"/>
    <w:rsid w:val="0078310E"/>
    <w:rsid w:val="00A00B40"/>
    <w:rsid w:val="00B17537"/>
    <w:rsid w:val="00B91303"/>
    <w:rsid w:val="00BE1C92"/>
    <w:rsid w:val="00D46BC7"/>
    <w:rsid w:val="00F0221F"/>
    <w:rsid w:val="00F2098E"/>
    <w:rsid w:val="00FE15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2E28A2D"/>
  <w15:docId w15:val="{F68B7C2B-67A8-6B45-A8D0-A39303179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ad">
    <w:name w:val="Unresolved Mention"/>
    <w:basedOn w:val="a1"/>
    <w:uiPriority w:val="99"/>
    <w:semiHidden/>
    <w:unhideWhenUsed/>
    <w:rsid w:val="00FE158E"/>
    <w:rPr>
      <w:color w:val="605E5C"/>
      <w:shd w:val="clear" w:color="auto" w:fill="E1DFDD"/>
    </w:rPr>
  </w:style>
  <w:style w:type="character" w:styleId="ae">
    <w:name w:val="FollowedHyperlink"/>
    <w:basedOn w:val="a1"/>
    <w:rsid w:val="00FE15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01180">
      <w:bodyDiv w:val="1"/>
      <w:marLeft w:val="0"/>
      <w:marRight w:val="0"/>
      <w:marTop w:val="0"/>
      <w:marBottom w:val="0"/>
      <w:divBdr>
        <w:top w:val="none" w:sz="0" w:space="0" w:color="auto"/>
        <w:left w:val="none" w:sz="0" w:space="0" w:color="auto"/>
        <w:bottom w:val="none" w:sz="0" w:space="0" w:color="auto"/>
        <w:right w:val="none" w:sz="0" w:space="0" w:color="auto"/>
      </w:divBdr>
      <w:divsChild>
        <w:div w:id="1765758189">
          <w:marLeft w:val="0"/>
          <w:marRight w:val="0"/>
          <w:marTop w:val="0"/>
          <w:marBottom w:val="0"/>
          <w:divBdr>
            <w:top w:val="none" w:sz="0" w:space="0" w:color="auto"/>
            <w:left w:val="none" w:sz="0" w:space="0" w:color="auto"/>
            <w:bottom w:val="none" w:sz="0" w:space="0" w:color="auto"/>
            <w:right w:val="none" w:sz="0" w:space="0" w:color="auto"/>
          </w:divBdr>
        </w:div>
        <w:div w:id="630670887">
          <w:marLeft w:val="0"/>
          <w:marRight w:val="0"/>
          <w:marTop w:val="0"/>
          <w:marBottom w:val="0"/>
          <w:divBdr>
            <w:top w:val="none" w:sz="0" w:space="0" w:color="auto"/>
            <w:left w:val="none" w:sz="0" w:space="0" w:color="auto"/>
            <w:bottom w:val="none" w:sz="0" w:space="0" w:color="auto"/>
            <w:right w:val="none" w:sz="0" w:space="0" w:color="auto"/>
          </w:divBdr>
        </w:div>
      </w:divsChild>
    </w:div>
    <w:div w:id="273633673">
      <w:bodyDiv w:val="1"/>
      <w:marLeft w:val="0"/>
      <w:marRight w:val="0"/>
      <w:marTop w:val="0"/>
      <w:marBottom w:val="0"/>
      <w:divBdr>
        <w:top w:val="none" w:sz="0" w:space="0" w:color="auto"/>
        <w:left w:val="none" w:sz="0" w:space="0" w:color="auto"/>
        <w:bottom w:val="none" w:sz="0" w:space="0" w:color="auto"/>
        <w:right w:val="none" w:sz="0" w:space="0" w:color="auto"/>
      </w:divBdr>
      <w:divsChild>
        <w:div w:id="1221093516">
          <w:marLeft w:val="0"/>
          <w:marRight w:val="0"/>
          <w:marTop w:val="0"/>
          <w:marBottom w:val="0"/>
          <w:divBdr>
            <w:top w:val="none" w:sz="0" w:space="0" w:color="auto"/>
            <w:left w:val="none" w:sz="0" w:space="0" w:color="auto"/>
            <w:bottom w:val="none" w:sz="0" w:space="0" w:color="auto"/>
            <w:right w:val="none" w:sz="0" w:space="0" w:color="auto"/>
          </w:divBdr>
        </w:div>
        <w:div w:id="1640115520">
          <w:marLeft w:val="0"/>
          <w:marRight w:val="0"/>
          <w:marTop w:val="0"/>
          <w:marBottom w:val="0"/>
          <w:divBdr>
            <w:top w:val="none" w:sz="0" w:space="0" w:color="auto"/>
            <w:left w:val="none" w:sz="0" w:space="0" w:color="auto"/>
            <w:bottom w:val="none" w:sz="0" w:space="0" w:color="auto"/>
            <w:right w:val="none" w:sz="0" w:space="0" w:color="auto"/>
          </w:divBdr>
        </w:div>
      </w:divsChild>
    </w:div>
    <w:div w:id="302857088">
      <w:bodyDiv w:val="1"/>
      <w:marLeft w:val="0"/>
      <w:marRight w:val="0"/>
      <w:marTop w:val="0"/>
      <w:marBottom w:val="0"/>
      <w:divBdr>
        <w:top w:val="none" w:sz="0" w:space="0" w:color="auto"/>
        <w:left w:val="none" w:sz="0" w:space="0" w:color="auto"/>
        <w:bottom w:val="none" w:sz="0" w:space="0" w:color="auto"/>
        <w:right w:val="none" w:sz="0" w:space="0" w:color="auto"/>
      </w:divBdr>
      <w:divsChild>
        <w:div w:id="301347948">
          <w:marLeft w:val="0"/>
          <w:marRight w:val="0"/>
          <w:marTop w:val="75"/>
          <w:marBottom w:val="150"/>
          <w:divBdr>
            <w:top w:val="none" w:sz="0" w:space="0" w:color="auto"/>
            <w:left w:val="none" w:sz="0" w:space="0" w:color="auto"/>
            <w:bottom w:val="none" w:sz="0" w:space="0" w:color="auto"/>
            <w:right w:val="none" w:sz="0" w:space="0" w:color="auto"/>
          </w:divBdr>
        </w:div>
        <w:div w:id="711268180">
          <w:marLeft w:val="0"/>
          <w:marRight w:val="0"/>
          <w:marTop w:val="0"/>
          <w:marBottom w:val="0"/>
          <w:divBdr>
            <w:top w:val="none" w:sz="0" w:space="0" w:color="auto"/>
            <w:left w:val="none" w:sz="0" w:space="0" w:color="auto"/>
            <w:bottom w:val="none" w:sz="0" w:space="0" w:color="auto"/>
            <w:right w:val="none" w:sz="0" w:space="0" w:color="auto"/>
          </w:divBdr>
        </w:div>
      </w:divsChild>
    </w:div>
    <w:div w:id="574365287">
      <w:bodyDiv w:val="1"/>
      <w:marLeft w:val="0"/>
      <w:marRight w:val="0"/>
      <w:marTop w:val="0"/>
      <w:marBottom w:val="0"/>
      <w:divBdr>
        <w:top w:val="none" w:sz="0" w:space="0" w:color="auto"/>
        <w:left w:val="none" w:sz="0" w:space="0" w:color="auto"/>
        <w:bottom w:val="none" w:sz="0" w:space="0" w:color="auto"/>
        <w:right w:val="none" w:sz="0" w:space="0" w:color="auto"/>
      </w:divBdr>
      <w:divsChild>
        <w:div w:id="1299264027">
          <w:marLeft w:val="0"/>
          <w:marRight w:val="0"/>
          <w:marTop w:val="0"/>
          <w:marBottom w:val="0"/>
          <w:divBdr>
            <w:top w:val="none" w:sz="0" w:space="0" w:color="auto"/>
            <w:left w:val="none" w:sz="0" w:space="0" w:color="auto"/>
            <w:bottom w:val="none" w:sz="0" w:space="0" w:color="auto"/>
            <w:right w:val="none" w:sz="0" w:space="0" w:color="auto"/>
          </w:divBdr>
        </w:div>
        <w:div w:id="1545407950">
          <w:marLeft w:val="0"/>
          <w:marRight w:val="0"/>
          <w:marTop w:val="0"/>
          <w:marBottom w:val="0"/>
          <w:divBdr>
            <w:top w:val="none" w:sz="0" w:space="0" w:color="auto"/>
            <w:left w:val="none" w:sz="0" w:space="0" w:color="auto"/>
            <w:bottom w:val="none" w:sz="0" w:space="0" w:color="auto"/>
            <w:right w:val="none" w:sz="0" w:space="0" w:color="auto"/>
          </w:divBdr>
        </w:div>
      </w:divsChild>
    </w:div>
    <w:div w:id="717048420">
      <w:bodyDiv w:val="1"/>
      <w:marLeft w:val="0"/>
      <w:marRight w:val="0"/>
      <w:marTop w:val="0"/>
      <w:marBottom w:val="0"/>
      <w:divBdr>
        <w:top w:val="none" w:sz="0" w:space="0" w:color="auto"/>
        <w:left w:val="none" w:sz="0" w:space="0" w:color="auto"/>
        <w:bottom w:val="none" w:sz="0" w:space="0" w:color="auto"/>
        <w:right w:val="none" w:sz="0" w:space="0" w:color="auto"/>
      </w:divBdr>
    </w:div>
    <w:div w:id="1434670903">
      <w:bodyDiv w:val="1"/>
      <w:marLeft w:val="0"/>
      <w:marRight w:val="0"/>
      <w:marTop w:val="0"/>
      <w:marBottom w:val="0"/>
      <w:divBdr>
        <w:top w:val="none" w:sz="0" w:space="0" w:color="auto"/>
        <w:left w:val="none" w:sz="0" w:space="0" w:color="auto"/>
        <w:bottom w:val="none" w:sz="0" w:space="0" w:color="auto"/>
        <w:right w:val="none" w:sz="0" w:space="0" w:color="auto"/>
      </w:divBdr>
      <w:divsChild>
        <w:div w:id="485895887">
          <w:marLeft w:val="0"/>
          <w:marRight w:val="0"/>
          <w:marTop w:val="0"/>
          <w:marBottom w:val="0"/>
          <w:divBdr>
            <w:top w:val="none" w:sz="0" w:space="0" w:color="auto"/>
            <w:left w:val="none" w:sz="0" w:space="0" w:color="auto"/>
            <w:bottom w:val="none" w:sz="0" w:space="0" w:color="auto"/>
            <w:right w:val="none" w:sz="0" w:space="0" w:color="auto"/>
          </w:divBdr>
        </w:div>
        <w:div w:id="1579905124">
          <w:marLeft w:val="0"/>
          <w:marRight w:val="0"/>
          <w:marTop w:val="0"/>
          <w:marBottom w:val="0"/>
          <w:divBdr>
            <w:top w:val="none" w:sz="0" w:space="0" w:color="auto"/>
            <w:left w:val="none" w:sz="0" w:space="0" w:color="auto"/>
            <w:bottom w:val="none" w:sz="0" w:space="0" w:color="auto"/>
            <w:right w:val="none" w:sz="0" w:space="0" w:color="auto"/>
          </w:divBdr>
        </w:div>
      </w:divsChild>
    </w:div>
    <w:div w:id="1479568559">
      <w:bodyDiv w:val="1"/>
      <w:marLeft w:val="0"/>
      <w:marRight w:val="0"/>
      <w:marTop w:val="0"/>
      <w:marBottom w:val="0"/>
      <w:divBdr>
        <w:top w:val="none" w:sz="0" w:space="0" w:color="auto"/>
        <w:left w:val="none" w:sz="0" w:space="0" w:color="auto"/>
        <w:bottom w:val="none" w:sz="0" w:space="0" w:color="auto"/>
        <w:right w:val="none" w:sz="0" w:space="0" w:color="auto"/>
      </w:divBdr>
      <w:divsChild>
        <w:div w:id="527529775">
          <w:marLeft w:val="0"/>
          <w:marRight w:val="0"/>
          <w:marTop w:val="0"/>
          <w:marBottom w:val="0"/>
          <w:divBdr>
            <w:top w:val="none" w:sz="0" w:space="0" w:color="auto"/>
            <w:left w:val="none" w:sz="0" w:space="0" w:color="auto"/>
            <w:bottom w:val="none" w:sz="0" w:space="0" w:color="auto"/>
            <w:right w:val="none" w:sz="0" w:space="0" w:color="auto"/>
          </w:divBdr>
        </w:div>
        <w:div w:id="1632057493">
          <w:marLeft w:val="0"/>
          <w:marRight w:val="0"/>
          <w:marTop w:val="0"/>
          <w:marBottom w:val="0"/>
          <w:divBdr>
            <w:top w:val="none" w:sz="0" w:space="0" w:color="auto"/>
            <w:left w:val="none" w:sz="0" w:space="0" w:color="auto"/>
            <w:bottom w:val="none" w:sz="0" w:space="0" w:color="auto"/>
            <w:right w:val="none" w:sz="0" w:space="0" w:color="auto"/>
          </w:divBdr>
        </w:div>
        <w:div w:id="1076171696">
          <w:marLeft w:val="0"/>
          <w:marRight w:val="0"/>
          <w:marTop w:val="0"/>
          <w:marBottom w:val="0"/>
          <w:divBdr>
            <w:top w:val="none" w:sz="0" w:space="0" w:color="auto"/>
            <w:left w:val="none" w:sz="0" w:space="0" w:color="auto"/>
            <w:bottom w:val="none" w:sz="0" w:space="0" w:color="auto"/>
            <w:right w:val="none" w:sz="0" w:space="0" w:color="auto"/>
          </w:divBdr>
        </w:div>
        <w:div w:id="913930575">
          <w:marLeft w:val="0"/>
          <w:marRight w:val="0"/>
          <w:marTop w:val="0"/>
          <w:marBottom w:val="0"/>
          <w:divBdr>
            <w:top w:val="none" w:sz="0" w:space="0" w:color="auto"/>
            <w:left w:val="none" w:sz="0" w:space="0" w:color="auto"/>
            <w:bottom w:val="none" w:sz="0" w:space="0" w:color="auto"/>
            <w:right w:val="none" w:sz="0" w:space="0" w:color="auto"/>
          </w:divBdr>
        </w:div>
        <w:div w:id="1815293514">
          <w:marLeft w:val="0"/>
          <w:marRight w:val="0"/>
          <w:marTop w:val="0"/>
          <w:marBottom w:val="0"/>
          <w:divBdr>
            <w:top w:val="none" w:sz="0" w:space="0" w:color="auto"/>
            <w:left w:val="none" w:sz="0" w:space="0" w:color="auto"/>
            <w:bottom w:val="none" w:sz="0" w:space="0" w:color="auto"/>
            <w:right w:val="none" w:sz="0" w:space="0" w:color="auto"/>
          </w:divBdr>
        </w:div>
      </w:divsChild>
    </w:div>
    <w:div w:id="1941715642">
      <w:bodyDiv w:val="1"/>
      <w:marLeft w:val="0"/>
      <w:marRight w:val="0"/>
      <w:marTop w:val="0"/>
      <w:marBottom w:val="0"/>
      <w:divBdr>
        <w:top w:val="none" w:sz="0" w:space="0" w:color="auto"/>
        <w:left w:val="none" w:sz="0" w:space="0" w:color="auto"/>
        <w:bottom w:val="none" w:sz="0" w:space="0" w:color="auto"/>
        <w:right w:val="none" w:sz="0" w:space="0" w:color="auto"/>
      </w:divBdr>
      <w:divsChild>
        <w:div w:id="807431051">
          <w:marLeft w:val="0"/>
          <w:marRight w:val="0"/>
          <w:marTop w:val="0"/>
          <w:marBottom w:val="0"/>
          <w:divBdr>
            <w:top w:val="none" w:sz="0" w:space="0" w:color="auto"/>
            <w:left w:val="none" w:sz="0" w:space="0" w:color="auto"/>
            <w:bottom w:val="none" w:sz="0" w:space="0" w:color="auto"/>
            <w:right w:val="none" w:sz="0" w:space="0" w:color="auto"/>
          </w:divBdr>
        </w:div>
      </w:divsChild>
    </w:div>
    <w:div w:id="1998262514">
      <w:bodyDiv w:val="1"/>
      <w:marLeft w:val="0"/>
      <w:marRight w:val="0"/>
      <w:marTop w:val="0"/>
      <w:marBottom w:val="0"/>
      <w:divBdr>
        <w:top w:val="none" w:sz="0" w:space="0" w:color="auto"/>
        <w:left w:val="none" w:sz="0" w:space="0" w:color="auto"/>
        <w:bottom w:val="none" w:sz="0" w:space="0" w:color="auto"/>
        <w:right w:val="none" w:sz="0" w:space="0" w:color="auto"/>
      </w:divBdr>
      <w:divsChild>
        <w:div w:id="1461219036">
          <w:marLeft w:val="0"/>
          <w:marRight w:val="0"/>
          <w:marTop w:val="0"/>
          <w:marBottom w:val="0"/>
          <w:divBdr>
            <w:top w:val="none" w:sz="0" w:space="0" w:color="auto"/>
            <w:left w:val="none" w:sz="0" w:space="0" w:color="auto"/>
            <w:bottom w:val="none" w:sz="0" w:space="0" w:color="auto"/>
            <w:right w:val="none" w:sz="0" w:space="0" w:color="auto"/>
          </w:divBdr>
        </w:div>
        <w:div w:id="356548300">
          <w:marLeft w:val="0"/>
          <w:marRight w:val="0"/>
          <w:marTop w:val="0"/>
          <w:marBottom w:val="0"/>
          <w:divBdr>
            <w:top w:val="none" w:sz="0" w:space="0" w:color="auto"/>
            <w:left w:val="none" w:sz="0" w:space="0" w:color="auto"/>
            <w:bottom w:val="none" w:sz="0" w:space="0" w:color="auto"/>
            <w:right w:val="none" w:sz="0" w:space="0" w:color="auto"/>
          </w:divBdr>
        </w:div>
      </w:divsChild>
    </w:div>
    <w:div w:id="21176697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97/00131746-200301000-00006" TargetMode="External"/><Relationship Id="rId21" Type="http://schemas.openxmlformats.org/officeDocument/2006/relationships/hyperlink" Target="https://doi.org/10.4088/pcc.23nr03596" TargetMode="External"/><Relationship Id="rId42" Type="http://schemas.openxmlformats.org/officeDocument/2006/relationships/hyperlink" Target="https://doi.org/10.1192/bjo.2023.41" TargetMode="External"/><Relationship Id="rId47" Type="http://schemas.openxmlformats.org/officeDocument/2006/relationships/hyperlink" Target="https://doi.org/10.1503/cmaj.181008" TargetMode="External"/><Relationship Id="rId63" Type="http://schemas.openxmlformats.org/officeDocument/2006/relationships/hyperlink" Target="https://doi.org/10.1176/ajp.128.5.640" TargetMode="External"/><Relationship Id="rId68" Type="http://schemas.openxmlformats.org/officeDocument/2006/relationships/hyperlink" Target="https://doi.org/10.1111/jpm.13129" TargetMode="External"/><Relationship Id="rId84" Type="http://schemas.openxmlformats.org/officeDocument/2006/relationships/hyperlink" Target="https://www.ncbi.nlm.nih.gov/pmc/articles/PMC3392176" TargetMode="External"/><Relationship Id="rId89" Type="http://schemas.openxmlformats.org/officeDocument/2006/relationships/hyperlink" Target="https://digitallibrary.un.org/record/3937214/files/CAT_OP_MDV_ROSP_2-EN.pdf" TargetMode="External"/><Relationship Id="rId16" Type="http://schemas.openxmlformats.org/officeDocument/2006/relationships/hyperlink" Target="https://doi.org/10.1111/j.1467-8519.1993.tb00291.x" TargetMode="External"/><Relationship Id="rId11" Type="http://schemas.openxmlformats.org/officeDocument/2006/relationships/hyperlink" Target="https://doi.org/10.3389/fpsyt.2020.00127" TargetMode="External"/><Relationship Id="rId32" Type="http://schemas.openxmlformats.org/officeDocument/2006/relationships/hyperlink" Target="https://doi.org/10.1177/1049732314566320" TargetMode="External"/><Relationship Id="rId37" Type="http://schemas.openxmlformats.org/officeDocument/2006/relationships/hyperlink" Target="https://doi.org/10.1176/appi.ps.56.9.1123" TargetMode="External"/><Relationship Id="rId53" Type="http://schemas.openxmlformats.org/officeDocument/2006/relationships/hyperlink" Target="https://doi.org/10.1080/21507740.2023.2292507" TargetMode="External"/><Relationship Id="rId58" Type="http://schemas.openxmlformats.org/officeDocument/2006/relationships/hyperlink" Target="https://doi.org/10.1111/jpm.12585" TargetMode="External"/><Relationship Id="rId74" Type="http://schemas.openxmlformats.org/officeDocument/2006/relationships/hyperlink" Target="https://doi.org/10.1016/j.jaac.2018.02.014" TargetMode="External"/><Relationship Id="rId79" Type="http://schemas.openxmlformats.org/officeDocument/2006/relationships/hyperlink" Target="https://doi.org/10.1136/jme-2023-109578" TargetMode="External"/><Relationship Id="rId5" Type="http://schemas.openxmlformats.org/officeDocument/2006/relationships/hyperlink" Target="https://www.dongascience.com/en/news/62779?utm_source=chatgpt.com" TargetMode="External"/><Relationship Id="rId90" Type="http://schemas.openxmlformats.org/officeDocument/2006/relationships/hyperlink" Target="https://www.ncbi.nlm.nih.gov/pmc/articles/PMC9790957" TargetMode="External"/><Relationship Id="rId95" Type="http://schemas.openxmlformats.org/officeDocument/2006/relationships/hyperlink" Target="https://doi.org/10.22779/kadw.2026.71.71.221" TargetMode="External"/><Relationship Id="rId22" Type="http://schemas.openxmlformats.org/officeDocument/2006/relationships/hyperlink" Target="https://doi.org/10.1016/S0749-0690(18)30331-8" TargetMode="External"/><Relationship Id="rId27" Type="http://schemas.openxmlformats.org/officeDocument/2006/relationships/hyperlink" Target="https://doi.org/10.1353/ken.0.0001" TargetMode="External"/><Relationship Id="rId43" Type="http://schemas.openxmlformats.org/officeDocument/2006/relationships/hyperlink" Target="https://www.ncbi.nlm.nih.gov/pmc/articles/PMC7348457" TargetMode="External"/><Relationship Id="rId48" Type="http://schemas.openxmlformats.org/officeDocument/2006/relationships/hyperlink" Target="https://doi.org/10.1016/j.avb.2024.101926" TargetMode="External"/><Relationship Id="rId64" Type="http://schemas.openxmlformats.org/officeDocument/2006/relationships/hyperlink" Target="https://doi.org/10.1111/appy.12374" TargetMode="External"/><Relationship Id="rId69" Type="http://schemas.openxmlformats.org/officeDocument/2006/relationships/hyperlink" Target="https://doi.org/10.1016/j.pnpbp.2006.01.015" TargetMode="External"/><Relationship Id="rId80" Type="http://schemas.openxmlformats.org/officeDocument/2006/relationships/hyperlink" Target="https://doi.org/10.1016/S2215-0366(23)00221-3" TargetMode="External"/><Relationship Id="rId85" Type="http://schemas.openxmlformats.org/officeDocument/2006/relationships/hyperlink" Target="https://doi.org/10.1111/jpm.12410" TargetMode="External"/><Relationship Id="rId3" Type="http://schemas.openxmlformats.org/officeDocument/2006/relationships/settings" Target="settings.xml"/><Relationship Id="rId12" Type="http://schemas.openxmlformats.org/officeDocument/2006/relationships/hyperlink" Target="https://doi.org/10.1111/jocn.17041" TargetMode="External"/><Relationship Id="rId17" Type="http://schemas.openxmlformats.org/officeDocument/2006/relationships/hyperlink" Target="https://doi.org/10.1192/bjo.2022.574" TargetMode="External"/><Relationship Id="rId25" Type="http://schemas.openxmlformats.org/officeDocument/2006/relationships/hyperlink" Target="https://doi.org/10.1080/21507740.2022.2126539" TargetMode="External"/><Relationship Id="rId33" Type="http://schemas.openxmlformats.org/officeDocument/2006/relationships/hyperlink" Target="https://doi.org/10.1016/j.ijlp.2024.101965" TargetMode="External"/><Relationship Id="rId38" Type="http://schemas.openxmlformats.org/officeDocument/2006/relationships/hyperlink" Target="https://doi.org/10.1176/appi.ps.202200002" TargetMode="External"/><Relationship Id="rId46" Type="http://schemas.openxmlformats.org/officeDocument/2006/relationships/hyperlink" Target="https://doi.org/10.1177/0969733016629770" TargetMode="External"/><Relationship Id="rId59" Type="http://schemas.openxmlformats.org/officeDocument/2006/relationships/hyperlink" Target="https://doi.org/10.1111/inm.12451" TargetMode="External"/><Relationship Id="rId67" Type="http://schemas.openxmlformats.org/officeDocument/2006/relationships/hyperlink" Target="https://doi.org/10.5811/westjem.2011.9.6864" TargetMode="External"/><Relationship Id="rId20" Type="http://schemas.openxmlformats.org/officeDocument/2006/relationships/hyperlink" Target="https://doi.org/10.3389/fpsyt.2019.00491" TargetMode="External"/><Relationship Id="rId41" Type="http://schemas.openxmlformats.org/officeDocument/2006/relationships/hyperlink" Target="https://doi.org/10.1007/s12178-015-9273-z" TargetMode="External"/><Relationship Id="rId54" Type="http://schemas.openxmlformats.org/officeDocument/2006/relationships/hyperlink" Target="https://doi.org/10.1016/j.ijlp.2019.03.001" TargetMode="External"/><Relationship Id="rId62" Type="http://schemas.openxmlformats.org/officeDocument/2006/relationships/hyperlink" Target="https://doi.org/10.1111/1467-9566.13717" TargetMode="External"/><Relationship Id="rId70" Type="http://schemas.openxmlformats.org/officeDocument/2006/relationships/hyperlink" Target="https://doi.org/10.3389/fsoc.2023.1092298" TargetMode="External"/><Relationship Id="rId75" Type="http://schemas.openxmlformats.org/officeDocument/2006/relationships/hyperlink" Target="https://doi.org/10.1093/jmp/jhaa014" TargetMode="External"/><Relationship Id="rId83" Type="http://schemas.openxmlformats.org/officeDocument/2006/relationships/hyperlink" Target="https://doi.org/10.1002/wps.20584" TargetMode="External"/><Relationship Id="rId88" Type="http://schemas.openxmlformats.org/officeDocument/2006/relationships/hyperlink" Target="https://undocs.org/A/HRC/35/21" TargetMode="External"/><Relationship Id="rId91" Type="http://schemas.openxmlformats.org/officeDocument/2006/relationships/hyperlink" Target="https://doi.org/10.1016/j.ijlp.2015.01.006" TargetMode="External"/><Relationship Id="rId96" Type="http://schemas.openxmlformats.org/officeDocument/2006/relationships/hyperlink" Target="https://doi.org/10.23028/moleg.2020.688..007" TargetMode="External"/><Relationship Id="rId1" Type="http://schemas.openxmlformats.org/officeDocument/2006/relationships/numbering" Target="numbering.xml"/><Relationship Id="rId6" Type="http://schemas.openxmlformats.org/officeDocument/2006/relationships/hyperlink" Target="https://doi.org/10.1007/s10912-008-9065-1" TargetMode="External"/><Relationship Id="rId15" Type="http://schemas.openxmlformats.org/officeDocument/2006/relationships/hyperlink" Target="https://doi.org/10.1192/bji.2020.21" TargetMode="External"/><Relationship Id="rId23" Type="http://schemas.openxmlformats.org/officeDocument/2006/relationships/hyperlink" Target="https://doi.org/10.1192/pb.bp.115.050682" TargetMode="External"/><Relationship Id="rId28" Type="http://schemas.openxmlformats.org/officeDocument/2006/relationships/hyperlink" Target="https://doi.org/10.1186/s12913-016-1392-8" TargetMode="External"/><Relationship Id="rId36" Type="http://schemas.openxmlformats.org/officeDocument/2006/relationships/hyperlink" Target="https://doi.org/10.1093/acprof:oso/9780198237907.001.0001" TargetMode="External"/><Relationship Id="rId49" Type="http://schemas.openxmlformats.org/officeDocument/2006/relationships/hyperlink" Target="https://doi.org/10.1371/journal.pone.0128536" TargetMode="External"/><Relationship Id="rId57" Type="http://schemas.openxmlformats.org/officeDocument/2006/relationships/hyperlink" Target="https://undocs.org/A/HRC/22/53" TargetMode="External"/><Relationship Id="rId10" Type="http://schemas.openxmlformats.org/officeDocument/2006/relationships/hyperlink" Target="https://doi.org/10.1093/medlaw/fwl024" TargetMode="External"/><Relationship Id="rId31" Type="http://schemas.openxmlformats.org/officeDocument/2006/relationships/hyperlink" Target="https://www.ncbi.nlm.nih.gov/pmc/articles/PMC8694306" TargetMode="External"/><Relationship Id="rId44" Type="http://schemas.openxmlformats.org/officeDocument/2006/relationships/hyperlink" Target="https://doi.org/10.12968/bjon.2009.18.11.42723" TargetMode="External"/><Relationship Id="rId52" Type="http://schemas.openxmlformats.org/officeDocument/2006/relationships/hyperlink" Target="https://doi.org/10.3390/healthcare12040445" TargetMode="External"/><Relationship Id="rId60" Type="http://schemas.openxmlformats.org/officeDocument/2006/relationships/hyperlink" Target="https://doi.org/10.1007/s00127-024-02739-6" TargetMode="External"/><Relationship Id="rId65" Type="http://schemas.openxmlformats.org/officeDocument/2006/relationships/hyperlink" Target="https://doi.org/10.1136/jme.2007.022780" TargetMode="External"/><Relationship Id="rId73" Type="http://schemas.openxmlformats.org/officeDocument/2006/relationships/hyperlink" Target="https://doi.org/10.1007/978-3-319-17960-5_10" TargetMode="External"/><Relationship Id="rId78" Type="http://schemas.openxmlformats.org/officeDocument/2006/relationships/hyperlink" Target="https://doi.org/10.1176/appi.ps.201600066" TargetMode="External"/><Relationship Id="rId81" Type="http://schemas.openxmlformats.org/officeDocument/2006/relationships/hyperlink" Target="https://doi.org/10.1176/ajp.2006.163.11.1943" TargetMode="External"/><Relationship Id="rId86" Type="http://schemas.openxmlformats.org/officeDocument/2006/relationships/hyperlink" Target="https://undocs.org/CAT/C/GC/2" TargetMode="External"/><Relationship Id="rId94" Type="http://schemas.openxmlformats.org/officeDocument/2006/relationships/hyperlink" Target="https://doi.org/10.1002/wps.20268" TargetMode="External"/><Relationship Id="rId4" Type="http://schemas.openxmlformats.org/officeDocument/2006/relationships/webSettings" Target="webSettings.xml"/><Relationship Id="rId9" Type="http://schemas.openxmlformats.org/officeDocument/2006/relationships/hyperlink" Target="https://doi.org/10.1056/NEJMcp074045" TargetMode="External"/><Relationship Id="rId13" Type="http://schemas.openxmlformats.org/officeDocument/2006/relationships/hyperlink" Target="https://doi.org/10.1093/icon/mov028" TargetMode="External"/><Relationship Id="rId18" Type="http://schemas.openxmlformats.org/officeDocument/2006/relationships/hyperlink" Target="https://www.cms.gov/Medicare/Provider-Enrollment-and-Certification/SurveyCertificationGenInfo/downloads/scletter08-18.pdf" TargetMode="External"/><Relationship Id="rId39" Type="http://schemas.openxmlformats.org/officeDocument/2006/relationships/hyperlink" Target="https://doi.org/10.1007/s11126-011-9178-y" TargetMode="External"/><Relationship Id="rId34" Type="http://schemas.openxmlformats.org/officeDocument/2006/relationships/hyperlink" Target="https://doi.org/10.1513/AnnalsATS.202006-738OC" TargetMode="External"/><Relationship Id="rId50" Type="http://schemas.openxmlformats.org/officeDocument/2006/relationships/hyperlink" Target="https://doi.org/10.4306/jknpa.2025.64.3.109" TargetMode="External"/><Relationship Id="rId55" Type="http://schemas.openxmlformats.org/officeDocument/2006/relationships/hyperlink" Target="https://www.ncbi.nlm.nih.gov/pubmed/12041109" TargetMode="External"/><Relationship Id="rId76" Type="http://schemas.openxmlformats.org/officeDocument/2006/relationships/hyperlink" Target="https://doi.org/10.1007/978-3-319-89647-2_1" TargetMode="External"/><Relationship Id="rId97" Type="http://schemas.openxmlformats.org/officeDocument/2006/relationships/fontTable" Target="fontTable.xml"/><Relationship Id="rId7" Type="http://schemas.openxmlformats.org/officeDocument/2006/relationships/hyperlink" Target="https://doi.org/10.1016/j.ijlp.2021.101685" TargetMode="External"/><Relationship Id="rId71" Type="http://schemas.openxmlformats.org/officeDocument/2006/relationships/hyperlink" Target="https://doi.org/10.2174/1745017901612010075" TargetMode="External"/><Relationship Id="rId92" Type="http://schemas.openxmlformats.org/officeDocument/2006/relationships/hyperlink" Target="https://doi.org/10.4306/jknpa.2018.57.2.145" TargetMode="External"/><Relationship Id="rId2" Type="http://schemas.openxmlformats.org/officeDocument/2006/relationships/styles" Target="styles.xml"/><Relationship Id="rId29" Type="http://schemas.openxmlformats.org/officeDocument/2006/relationships/hyperlink" Target="https://doi.org/10.1016/j.ijlp.2019.101497" TargetMode="External"/><Relationship Id="rId24" Type="http://schemas.openxmlformats.org/officeDocument/2006/relationships/hyperlink" Target="https://doi.org/10.1016/s0277-9536(98)00147-6" TargetMode="External"/><Relationship Id="rId40" Type="http://schemas.openxmlformats.org/officeDocument/2006/relationships/hyperlink" Target="https://doi.org/10.1016/j.ijlp.2025.102098" TargetMode="External"/><Relationship Id="rId45" Type="http://schemas.openxmlformats.org/officeDocument/2006/relationships/hyperlink" Target="https://doi.org/10.1097/01.pra.0000398410.21374.7d" TargetMode="External"/><Relationship Id="rId66" Type="http://schemas.openxmlformats.org/officeDocument/2006/relationships/hyperlink" Target="https://doi.org/10.1176/appi.focus.20190022" TargetMode="External"/><Relationship Id="rId87" Type="http://schemas.openxmlformats.org/officeDocument/2006/relationships/hyperlink" Target="https://undocs.org/CCPR/C/GC/35" TargetMode="External"/><Relationship Id="rId61" Type="http://schemas.openxmlformats.org/officeDocument/2006/relationships/hyperlink" Target="https://doi.org/10.1016/j.jemep.2019.03.003" TargetMode="External"/><Relationship Id="rId82" Type="http://schemas.openxmlformats.org/officeDocument/2006/relationships/hyperlink" Target="https://doi.org/10.1097/00005053-195704000-00017" TargetMode="External"/><Relationship Id="rId19" Type="http://schemas.openxmlformats.org/officeDocument/2006/relationships/hyperlink" Target="https://doi.org/10.3389/fpsyt.2021.790886" TargetMode="External"/><Relationship Id="rId14" Type="http://schemas.openxmlformats.org/officeDocument/2006/relationships/hyperlink" Target="https://doi.org/10.3389/fpsyt.2020.559263" TargetMode="External"/><Relationship Id="rId30" Type="http://schemas.openxmlformats.org/officeDocument/2006/relationships/hyperlink" Target="https://hudoc.echr.coe.int/eng?i=001-57781" TargetMode="External"/><Relationship Id="rId35" Type="http://schemas.openxmlformats.org/officeDocument/2006/relationships/hyperlink" Target="https://doi.org/10.1007/978-94-024-2252-8_74" TargetMode="External"/><Relationship Id="rId56" Type="http://schemas.openxmlformats.org/officeDocument/2006/relationships/hyperlink" Target="https://doi.org/10.1192/bjo.2023.50" TargetMode="External"/><Relationship Id="rId77" Type="http://schemas.openxmlformats.org/officeDocument/2006/relationships/hyperlink" Target="https://doi.org/10.1353/ken.2004.0010" TargetMode="External"/><Relationship Id="rId8" Type="http://schemas.openxmlformats.org/officeDocument/2006/relationships/hyperlink" Target="https://doi.org/10.1177/0957154x13512573" TargetMode="External"/><Relationship Id="rId51" Type="http://schemas.openxmlformats.org/officeDocument/2006/relationships/hyperlink" Target="https://doi.org/10.3389/fpsyt.2019.00400" TargetMode="External"/><Relationship Id="rId72" Type="http://schemas.openxmlformats.org/officeDocument/2006/relationships/hyperlink" Target="https://doi.org/10.3389/fpsyt.2019.00631" TargetMode="External"/><Relationship Id="rId93" Type="http://schemas.openxmlformats.org/officeDocument/2006/relationships/hyperlink" Target="https://doi.org/10.1093/law/9780198846178.003.0018"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26</Pages>
  <Words>8646</Words>
  <Characters>49283</Characters>
  <Application>Microsoft Office Word</Application>
  <DocSecurity>0</DocSecurity>
  <Lines>410</Lines>
  <Paragraphs>115</Paragraphs>
  <ScaleCrop>false</ScaleCrop>
  <HeadingPairs>
    <vt:vector size="2" baseType="variant">
      <vt:variant>
        <vt:lpstr>제목</vt:lpstr>
      </vt:variant>
      <vt:variant>
        <vt:i4>1</vt:i4>
      </vt:variant>
    </vt:vector>
  </HeadingPairs>
  <TitlesOfParts>
    <vt:vector size="1" baseType="lpstr">
      <vt:lpstr>Document</vt:lpstr>
    </vt:vector>
  </TitlesOfParts>
  <Company/>
  <LinksUpToDate>false</LinksUpToDate>
  <CharactersWithSpaces>57814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용식 김</dc:creator>
  <cp:keywords/>
  <cp:lastModifiedBy>용식 김</cp:lastModifiedBy>
  <cp:revision>3</cp:revision>
  <dcterms:created xsi:type="dcterms:W3CDTF">2026-04-25T07:10:00Z</dcterms:created>
  <dcterms:modified xsi:type="dcterms:W3CDTF">2026-04-25T12:46:00Z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date">
    <vt:lpwstr>2026-04-25</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